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617AD" w:rsidRDefault="00EE75C8">
      <w:pPr>
        <w:spacing w:after="704" w:line="259" w:lineRule="auto"/>
        <w:ind w:left="672" w:firstLine="0"/>
        <w:jc w:val="left"/>
      </w:pPr>
      <w:r>
        <w:rPr>
          <w:rFonts w:ascii="Calibri" w:eastAsia="Calibri" w:hAnsi="Calibri" w:cs="Calibri"/>
          <w:noProof/>
        </w:rPr>
        <mc:AlternateContent>
          <mc:Choice Requires="wpg">
            <w:drawing>
              <wp:inline distT="0" distB="0" distL="0" distR="0">
                <wp:extent cx="904494" cy="915315"/>
                <wp:effectExtent l="0" t="0" r="0" b="0"/>
                <wp:docPr id="252523" name="Group 252523"/>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52523" style="width:71.22pt;height:72.072pt;mso-position-horizontal-relative:char;mso-position-vertical-relative:line"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group>
            </w:pict>
          </mc:Fallback>
        </mc:AlternateContent>
      </w:r>
    </w:p>
    <w:p w:rsidR="007617AD" w:rsidRDefault="00EE75C8">
      <w:pPr>
        <w:spacing w:after="0" w:line="259" w:lineRule="auto"/>
        <w:ind w:left="816" w:firstLine="0"/>
        <w:jc w:val="left"/>
      </w:pPr>
      <w:r>
        <w:rPr>
          <w:b/>
        </w:rPr>
        <w:t xml:space="preserve"> </w:t>
      </w:r>
      <w:r>
        <w:rPr>
          <w:b/>
        </w:rPr>
        <w:tab/>
      </w:r>
      <w:r>
        <w:t xml:space="preserve"> </w:t>
      </w:r>
      <w:r>
        <w:tab/>
        <w:t xml:space="preserve"> </w:t>
      </w:r>
      <w:r>
        <w:tab/>
        <w:t xml:space="preserve"> </w:t>
      </w:r>
    </w:p>
    <w:p w:rsidR="007617AD" w:rsidRDefault="00EE75C8">
      <w:pPr>
        <w:spacing w:after="1" w:line="259" w:lineRule="auto"/>
        <w:ind w:left="816" w:firstLine="0"/>
        <w:jc w:val="left"/>
      </w:pPr>
      <w:r>
        <w:t xml:space="preserve"> </w:t>
      </w:r>
      <w:r>
        <w:tab/>
        <w:t xml:space="preserve"> </w:t>
      </w:r>
      <w:r>
        <w:tab/>
        <w:t xml:space="preserve"> </w:t>
      </w:r>
      <w:r>
        <w:tab/>
        <w:t xml:space="preserve"> </w:t>
      </w:r>
    </w:p>
    <w:p w:rsidR="007617AD" w:rsidRDefault="00EE75C8">
      <w:pPr>
        <w:tabs>
          <w:tab w:val="center" w:pos="1832"/>
          <w:tab w:val="center" w:pos="4668"/>
          <w:tab w:val="center" w:pos="6486"/>
          <w:tab w:val="center" w:pos="7763"/>
        </w:tabs>
        <w:spacing w:after="28"/>
        <w:ind w:left="0" w:firstLine="0"/>
        <w:jc w:val="left"/>
      </w:pPr>
      <w:r>
        <w:rPr>
          <w:rFonts w:ascii="Calibri" w:eastAsia="Calibri" w:hAnsi="Calibri" w:cs="Calibri"/>
        </w:rPr>
        <w:tab/>
      </w:r>
      <w:r>
        <w:t xml:space="preserve"> </w:t>
      </w:r>
      <w:r>
        <w:tab/>
      </w:r>
      <w:r>
        <w:rPr>
          <w:b/>
        </w:rPr>
        <w:t xml:space="preserve">                   ACTA </w:t>
      </w:r>
      <w:r>
        <w:rPr>
          <w:b/>
        </w:rPr>
        <w:tab/>
      </w:r>
      <w:r>
        <w:t xml:space="preserve"> </w:t>
      </w:r>
      <w:r>
        <w:tab/>
        <w:t xml:space="preserve">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252525" name="Group 252525"/>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21" name="Shape 121"/>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2525" style="width:477pt;height:2.04pt;mso-position-horizontal-relative:char;mso-position-vertical-relative:line" coordsize="60579,259">
                <v:shape id="Shape 121" style="position:absolute;width:60579;height:0;left:0;top:0;" coordsize="6057900,0" path="m0,0l6057900,0">
                  <v:stroke weight="2.04pt" endcap="square" joinstyle="miter" miterlimit="10" on="true" color="#993366"/>
                  <v:fill on="false" color="#000000" opacity="0"/>
                </v:shape>
              </v:group>
            </w:pict>
          </mc:Fallback>
        </mc:AlternateContent>
      </w:r>
    </w:p>
    <w:p w:rsidR="007617AD" w:rsidRDefault="00EE75C8">
      <w:pPr>
        <w:spacing w:after="0" w:line="259" w:lineRule="auto"/>
        <w:ind w:left="699" w:firstLine="0"/>
        <w:jc w:val="center"/>
      </w:pPr>
      <w:r>
        <w:rPr>
          <w:b/>
        </w:rPr>
        <w:t xml:space="preserve"> </w:t>
      </w:r>
    </w:p>
    <w:p w:rsidR="007617AD" w:rsidRDefault="00EE75C8">
      <w:pPr>
        <w:spacing w:after="0" w:line="259" w:lineRule="auto"/>
        <w:ind w:left="699" w:firstLine="0"/>
        <w:jc w:val="center"/>
      </w:pPr>
      <w:r>
        <w:rPr>
          <w:b/>
        </w:rPr>
        <w:t xml:space="preserve"> </w:t>
      </w:r>
    </w:p>
    <w:p w:rsidR="007617AD" w:rsidRDefault="00EE75C8">
      <w:pPr>
        <w:pStyle w:val="Ttulo1"/>
        <w:spacing w:after="0"/>
        <w:ind w:left="905" w:right="264"/>
      </w:pPr>
      <w:r>
        <w:t xml:space="preserve">DE LA SESIÓN ORDINARIA CELEBRADA POR EL AYUNTAMIENTO PLENO EL DÍA 30 DE JUNIO DE  2022. SESIÓN Nº8/2022 </w:t>
      </w:r>
    </w:p>
    <w:p w:rsidR="007617AD" w:rsidRDefault="00EE75C8">
      <w:pPr>
        <w:spacing w:after="0" w:line="259" w:lineRule="auto"/>
        <w:ind w:left="699" w:firstLine="0"/>
        <w:jc w:val="center"/>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699" w:firstLine="0"/>
        <w:jc w:val="center"/>
      </w:pPr>
      <w:r>
        <w:t xml:space="preserve"> </w:t>
      </w:r>
    </w:p>
    <w:p w:rsidR="007617AD" w:rsidRDefault="00EE75C8">
      <w:pPr>
        <w:spacing w:after="0" w:line="265" w:lineRule="auto"/>
        <w:ind w:left="905" w:right="256"/>
        <w:jc w:val="center"/>
      </w:pPr>
      <w:r>
        <w:rPr>
          <w:b/>
        </w:rPr>
        <w:t xml:space="preserve">SEÑORES ASISTENTES: </w:t>
      </w:r>
    </w:p>
    <w:p w:rsidR="007617AD" w:rsidRDefault="00EE75C8">
      <w:pPr>
        <w:spacing w:after="0" w:line="259" w:lineRule="auto"/>
        <w:ind w:left="3524" w:firstLine="0"/>
        <w:jc w:val="left"/>
      </w:pPr>
      <w:r>
        <w:rPr>
          <w:b/>
        </w:rPr>
        <w:t xml:space="preserve"> </w:t>
      </w:r>
    </w:p>
    <w:p w:rsidR="007617AD" w:rsidRDefault="00EE75C8">
      <w:pPr>
        <w:spacing w:after="0" w:line="259" w:lineRule="auto"/>
        <w:ind w:left="3524" w:firstLine="0"/>
        <w:jc w:val="left"/>
      </w:pPr>
      <w:r>
        <w:rPr>
          <w:b/>
        </w:rPr>
        <w:t xml:space="preserve"> </w:t>
      </w:r>
    </w:p>
    <w:p w:rsidR="007617AD" w:rsidRDefault="00EE75C8">
      <w:pPr>
        <w:spacing w:after="11"/>
        <w:ind w:left="703" w:right="62"/>
      </w:pPr>
      <w:r>
        <w:rPr>
          <w:b/>
        </w:rPr>
        <w:t xml:space="preserve">                                        Alcaldesa-Presidenta: </w:t>
      </w:r>
      <w:r>
        <w:t>Dª María Concepción Brito Núñez.</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699" w:firstLine="0"/>
        <w:jc w:val="center"/>
      </w:pPr>
      <w:r>
        <w:rPr>
          <w:b/>
        </w:rPr>
        <w:t xml:space="preserve"> </w:t>
      </w:r>
    </w:p>
    <w:p w:rsidR="007617AD" w:rsidRDefault="00EE75C8">
      <w:pPr>
        <w:spacing w:after="11"/>
        <w:ind w:left="703" w:right="62"/>
      </w:pPr>
      <w:r>
        <w:rPr>
          <w:b/>
        </w:rPr>
        <w:t xml:space="preserve">               Grupo Socialista</w:t>
      </w:r>
      <w:r>
        <w:t xml:space="preserve">: D. Jorge Baute Delgado, Dª Olivia Concepción Pérez Díaz, D. José </w:t>
      </w:r>
    </w:p>
    <w:p w:rsidR="007617AD" w:rsidRDefault="00EE75C8">
      <w:pPr>
        <w:spacing w:after="0" w:line="248" w:lineRule="auto"/>
        <w:ind w:left="703" w:right="34"/>
        <w:jc w:val="left"/>
      </w:pPr>
      <w:r>
        <w:t>Francisco Pinto Ramos, Dª Hilaria Cecilia Otazo González,</w:t>
      </w:r>
      <w:r>
        <w:t xml:space="preserve"> D. Airam Pérez Chinea, Dª Margarita Eva Tendero Barroso, D. Manuel Alberto González Pestano, D. Olegario Francisco Alonso Bello, D. Reinaldo José Triviño Blanco. </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11"/>
        <w:ind w:left="703" w:right="62"/>
      </w:pPr>
      <w:r>
        <w:rPr>
          <w:b/>
        </w:rPr>
        <w:t xml:space="preserve">               Grupo Popular: </w:t>
      </w:r>
      <w:r>
        <w:t>D. Andrés Rodríguez Delgado y D.Jacobo López Fariña.</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2526" name="Group 25252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24" name="Rectangle 12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25" name="Rectangle 125"/>
                        <wps:cNvSpPr/>
                        <wps:spPr>
                          <a:xfrm rot="-5399999">
                            <a:off x="-2042224" y="1324605"/>
                            <a:ext cx="4350075"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2526" style="width:12.7031pt;height:280.02pt;position:absolute;mso-position-horizontal-relative:page;mso-position-horizontal:absolute;margin-left:682.278pt;mso-position-vertical-relative:page;margin-top:531.9pt;" coordsize="1613,35562">
                <v:rect id="Rectangle 12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25" style="position:absolute;width:43500;height:1132;left:-20422;top:132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192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252527" name="Group 252527"/>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26" name="Shape 126"/>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27" name="Shape 127"/>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2527" style="width:29pt;height:466.28pt;position:absolute;mso-position-horizontal-relative:page;mso-position-horizontal:absolute;margin-left:20pt;mso-position-vertical-relative:page;margin-top:110pt;" coordsize="3683,59217">
                <v:shape id="Shape 126" style="position:absolute;width:3683;height:29291;left:0;top:0;" coordsize="368300,2929128" path="m0,2929128l368300,2929128l368300,0l0,0x">
                  <v:stroke weight="0.5pt" endcap="flat" joinstyle="miter" miterlimit="10" on="true" color="#808080"/>
                  <v:fill on="false" color="#000000" opacity="0"/>
                </v:shape>
                <v:shape id="Shape 127"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p>
    <w:p w:rsidR="007617AD" w:rsidRDefault="00EE75C8">
      <w:pPr>
        <w:spacing w:after="0"/>
        <w:ind w:left="703" w:right="62"/>
      </w:pPr>
      <w:r>
        <w:rPr>
          <w:b/>
        </w:rPr>
        <w:t xml:space="preserve">               Grupo Mixto:</w:t>
      </w:r>
      <w:r>
        <w:t xml:space="preserve"> </w:t>
      </w:r>
      <w:r>
        <w:t>Dª Lourdes del Carmen Mondéjar Rondón y D. Antonio Delgado García (Si Se Puede) Dª Ángela Cruz Perera (Coalición Canaria Partido Nacionalista Canario), y Dª Alicia Mercedes Marrero Meneses (Vecinos por Candelaria).</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t xml:space="preserve"> </w:t>
      </w:r>
    </w:p>
    <w:p w:rsidR="007617AD" w:rsidRDefault="00EE75C8">
      <w:pPr>
        <w:spacing w:after="11"/>
        <w:ind w:left="703" w:right="62"/>
      </w:pPr>
      <w:r>
        <w:rPr>
          <w:b/>
        </w:rPr>
        <w:t xml:space="preserve">                Secretario General: </w:t>
      </w:r>
      <w:r>
        <w:t>D. Octavio Manuel Fernández Hernández.</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11"/>
        <w:ind w:left="703" w:right="62"/>
      </w:pPr>
      <w:r>
        <w:rPr>
          <w:b/>
        </w:rPr>
        <w:t xml:space="preserve">                Interventor:  </w:t>
      </w:r>
      <w:r>
        <w:t>D. Nicolás Rojo Garnica.</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4671" w:firstLine="0"/>
        <w:jc w:val="left"/>
      </w:pPr>
      <w:r>
        <w:t xml:space="preserve"> </w:t>
      </w:r>
    </w:p>
    <w:p w:rsidR="007617AD" w:rsidRDefault="00EE75C8">
      <w:pPr>
        <w:spacing w:after="0"/>
        <w:ind w:left="703" w:right="62"/>
      </w:pPr>
      <w:r>
        <w:t>En Candelaria, a 30 de junio de 2022, siendo las 9:10 horas, se constituyó el Ayuntamiento Pleno en el Salón de Sesiones de la Casa Consistorial con asist</w:t>
      </w:r>
      <w:r>
        <w:t xml:space="preserve">encia de los Sres. Concejales expresados al margen, y al objeto de celebrar sesión ordinaria para tratar los asuntos comprendidos en el orden del día de la convocatoria. </w:t>
      </w:r>
    </w:p>
    <w:p w:rsidR="007617AD" w:rsidRDefault="00EE75C8">
      <w:pPr>
        <w:spacing w:after="0" w:line="259" w:lineRule="auto"/>
        <w:ind w:left="708" w:firstLine="0"/>
        <w:jc w:val="left"/>
      </w:pPr>
      <w:r>
        <w:rPr>
          <w:b/>
        </w:rPr>
        <w:t xml:space="preserve"> </w:t>
      </w:r>
    </w:p>
    <w:p w:rsidR="007617AD" w:rsidRDefault="00EE75C8">
      <w:pPr>
        <w:spacing w:after="1649" w:line="259" w:lineRule="auto"/>
        <w:ind w:left="4671" w:firstLine="0"/>
        <w:jc w:val="left"/>
      </w:pPr>
      <w:r>
        <w:t xml:space="preserve"> </w:t>
      </w:r>
    </w:p>
    <w:p w:rsidR="007617AD" w:rsidRDefault="00EE75C8">
      <w:pPr>
        <w:spacing w:after="0" w:line="259" w:lineRule="auto"/>
        <w:ind w:left="364"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252524" name="Group 25252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2524"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7617AD" w:rsidRDefault="00EE75C8">
      <w:pPr>
        <w:spacing w:after="89" w:line="241" w:lineRule="auto"/>
        <w:ind w:left="2673" w:right="1996" w:firstLine="0"/>
        <w:jc w:val="center"/>
      </w:pPr>
      <w:r>
        <w:rPr>
          <w:sz w:val="14"/>
        </w:rPr>
        <w:t xml:space="preserve">Avenida Constitución Nº 7. Código postal: </w:t>
      </w:r>
      <w:r>
        <w:rPr>
          <w:sz w:val="14"/>
        </w:rPr>
        <w:t xml:space="preserve">38530, Candelaria. Teléfono: 922.500.800. </w:t>
      </w:r>
      <w:r>
        <w:rPr>
          <w:b/>
          <w:sz w:val="14"/>
        </w:rPr>
        <w:t xml:space="preserve">www. candelaria. es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p w:rsidR="007617AD" w:rsidRDefault="00EE75C8">
      <w:pPr>
        <w:spacing w:after="11"/>
        <w:ind w:left="703" w:right="62"/>
      </w:pPr>
      <w:r>
        <w:t xml:space="preserve">El debate íntegro de la sesión del pleno está disponible en: </w:t>
      </w:r>
    </w:p>
    <w:p w:rsidR="007617AD" w:rsidRDefault="00EE75C8">
      <w:pPr>
        <w:spacing w:after="0" w:line="259" w:lineRule="auto"/>
        <w:ind w:left="708" w:firstLine="0"/>
        <w:jc w:val="left"/>
      </w:pPr>
      <w:r>
        <w:rPr>
          <w:b/>
        </w:rPr>
        <w:t xml:space="preserve"> </w:t>
      </w:r>
    </w:p>
    <w:p w:rsidR="007617AD" w:rsidRDefault="00EE75C8">
      <w:pPr>
        <w:spacing w:after="9" w:line="250" w:lineRule="auto"/>
        <w:ind w:left="1426"/>
        <w:jc w:val="left"/>
      </w:pPr>
      <w:r>
        <w:rPr>
          <w:color w:val="0000FF"/>
          <w:u w:val="single" w:color="0000FF"/>
        </w:rPr>
        <w:t>https://www.youtube.com/watch?v=phjw7fC3FTA</w:t>
      </w:r>
      <w:r>
        <w:rPr>
          <w:rFonts w:ascii="Times New Roman" w:eastAsia="Times New Roman" w:hAnsi="Times New Roman" w:cs="Times New Roman"/>
          <w:sz w:val="24"/>
        </w:rPr>
        <w:t xml:space="preserve"> </w:t>
      </w:r>
    </w:p>
    <w:p w:rsidR="007617AD" w:rsidRDefault="00EE75C8">
      <w:pPr>
        <w:spacing w:after="0" w:line="259" w:lineRule="auto"/>
        <w:ind w:left="1416"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pStyle w:val="Ttulo1"/>
        <w:spacing w:after="0"/>
        <w:ind w:left="905" w:right="254"/>
      </w:pPr>
      <w:r>
        <w:t xml:space="preserve">ORDEN DEL DÍA </w:t>
      </w:r>
    </w:p>
    <w:p w:rsidR="007617AD" w:rsidRDefault="00EE75C8">
      <w:pPr>
        <w:spacing w:after="0" w:line="259" w:lineRule="auto"/>
        <w:ind w:left="699" w:firstLine="0"/>
        <w:jc w:val="center"/>
      </w:pPr>
      <w:r>
        <w:rPr>
          <w:b/>
        </w:rPr>
        <w:t xml:space="preserve"> </w:t>
      </w:r>
    </w:p>
    <w:p w:rsidR="007617AD" w:rsidRDefault="00EE75C8">
      <w:pPr>
        <w:spacing w:after="0" w:line="259" w:lineRule="auto"/>
        <w:ind w:left="699" w:firstLine="0"/>
        <w:jc w:val="center"/>
      </w:pPr>
      <w:r>
        <w:rPr>
          <w:b/>
        </w:rPr>
        <w:t xml:space="preserve"> </w:t>
      </w:r>
    </w:p>
    <w:p w:rsidR="007617AD" w:rsidRDefault="00EE75C8">
      <w:pPr>
        <w:spacing w:after="0" w:line="259" w:lineRule="auto"/>
        <w:ind w:left="708" w:firstLine="0"/>
        <w:jc w:val="left"/>
      </w:pPr>
      <w:r>
        <w:t xml:space="preserve"> </w:t>
      </w:r>
    </w:p>
    <w:p w:rsidR="007617AD" w:rsidRDefault="00EE75C8">
      <w:pPr>
        <w:spacing w:after="10" w:line="249" w:lineRule="auto"/>
        <w:ind w:left="1063"/>
        <w:jc w:val="left"/>
      </w:pPr>
      <w:r>
        <w:rPr>
          <w:b/>
        </w:rPr>
        <w:t xml:space="preserve">A) </w:t>
      </w:r>
      <w:r>
        <w:rPr>
          <w:b/>
          <w:u w:val="single" w:color="000000"/>
        </w:rPr>
        <w:t>Parte Resolutiva de la Sesión.</w:t>
      </w: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ind w:left="703" w:right="58"/>
      </w:pPr>
      <w:r>
        <w:rPr>
          <w:b/>
        </w:rPr>
        <w:t xml:space="preserve">1.- </w:t>
      </w:r>
      <w:r>
        <w:rPr>
          <w:b/>
        </w:rPr>
        <w:t>Expediente 1147/2021. Propuesta de la Alcaldesa-Presidenta de 22 de junio de 2022 al Pleno de aprobación del expediente del contrato de servicios de recogida de residuos, limpieza viaria y del litoral de Candelaria y convocar su licitación por importe de 2</w:t>
      </w:r>
      <w:r>
        <w:rPr>
          <w:b/>
        </w:rPr>
        <w:t>1.782.763,33 euros y plazo de ejecución de 7 años.</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ind w:left="703" w:right="58"/>
      </w:pPr>
      <w:r>
        <w:rPr>
          <w:b/>
        </w:rPr>
        <w:t xml:space="preserve">2.- Expediente 6014/2022. Propuesta del Concejal delegado de Hacienda de fecha 22 de junio de 2022 al Pleno de modificación presupuestaria por suplemento de crédito por importe de 301.746,30 euros. </w:t>
      </w:r>
    </w:p>
    <w:p w:rsidR="007617AD" w:rsidRDefault="00EE75C8">
      <w:pPr>
        <w:spacing w:after="0" w:line="259" w:lineRule="auto"/>
        <w:ind w:left="708" w:firstLine="0"/>
        <w:jc w:val="left"/>
      </w:pPr>
      <w:r>
        <w:rPr>
          <w:b/>
        </w:rPr>
        <w:t xml:space="preserve"> </w:t>
      </w:r>
    </w:p>
    <w:p w:rsidR="007617AD" w:rsidRDefault="00EE75C8">
      <w:pPr>
        <w:spacing w:after="0"/>
        <w:ind w:left="703" w:right="58"/>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2474" name="Group 25247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04" name="Rectangle 30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305" name="Rectangle 305"/>
                        <wps:cNvSpPr/>
                        <wps:spPr>
                          <a:xfrm rot="-5399999">
                            <a:off x="-2042224" y="1324605"/>
                            <a:ext cx="4350075"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2474" style="width:12.7031pt;height:280.02pt;position:absolute;mso-position-horizontal-relative:page;mso-position-horizontal:absolute;margin-left:682.278pt;mso-position-vertical-relative:page;margin-top:531.9pt;" coordsize="1613,35562">
                <v:rect id="Rectangle 30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05" style="position:absolute;width:43500;height:1132;left:-20422;top:132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192 </w:t>
                        </w:r>
                      </w:p>
                    </w:txbxContent>
                  </v:textbox>
                </v:rect>
                <w10:wrap type="square"/>
              </v:group>
            </w:pict>
          </mc:Fallback>
        </mc:AlternateContent>
      </w:r>
      <w:r>
        <w:rPr>
          <w:b/>
        </w:rPr>
        <w:t xml:space="preserve">3.- Expediente 5316/2022. Propuesta del Concejal delegado de </w:t>
      </w:r>
      <w:r>
        <w:rPr>
          <w:b/>
        </w:rPr>
        <w:t xml:space="preserve">Hacienda de fecha 22 de junio de 2022 al Pleno de modificación presupuestaria por crédito extraordinario por importe de 1.380.537,83 euros. </w:t>
      </w:r>
    </w:p>
    <w:p w:rsidR="007617AD" w:rsidRDefault="00EE75C8">
      <w:pPr>
        <w:spacing w:after="0" w:line="259" w:lineRule="auto"/>
        <w:ind w:left="708" w:firstLine="0"/>
        <w:jc w:val="left"/>
      </w:pPr>
      <w:r>
        <w:rPr>
          <w:b/>
        </w:rPr>
        <w:t xml:space="preserve"> </w:t>
      </w:r>
    </w:p>
    <w:p w:rsidR="007617AD" w:rsidRDefault="00EE75C8">
      <w:pPr>
        <w:spacing w:after="0"/>
        <w:ind w:left="703" w:right="58"/>
      </w:pPr>
      <w:r>
        <w:rPr>
          <w:b/>
        </w:rPr>
        <w:t>4.- Expediente 10980/2021. Propuesta de la Alcaldesa-Presidenta de fecha 20 de junio de 2022 al Pleno para la apr</w:t>
      </w:r>
      <w:r>
        <w:rPr>
          <w:b/>
        </w:rPr>
        <w:t xml:space="preserve">obación del Plan de Movilidad Urbana Sostenible (PMUS) de Candelaria. </w:t>
      </w:r>
    </w:p>
    <w:p w:rsidR="007617AD" w:rsidRDefault="00EE75C8">
      <w:pPr>
        <w:spacing w:after="0" w:line="259" w:lineRule="auto"/>
        <w:ind w:left="708" w:firstLine="0"/>
        <w:jc w:val="left"/>
      </w:pPr>
      <w:r>
        <w:rPr>
          <w:b/>
        </w:rPr>
        <w:t xml:space="preserve"> </w:t>
      </w:r>
    </w:p>
    <w:p w:rsidR="007617AD" w:rsidRDefault="00EE75C8">
      <w:pPr>
        <w:spacing w:after="0"/>
        <w:ind w:left="703" w:right="58"/>
      </w:pPr>
      <w:r>
        <w:rPr>
          <w:b/>
        </w:rPr>
        <w:t>5.- Expediente 9852/2020. Propuesta de la Alcaldesa-Presidenta de fecha 21 de junio de 2022 al Pleno de aprobación del convenio entre el Consejo Insular de Aguas (CIATF) y los Ayuntam</w:t>
      </w:r>
      <w:r>
        <w:rPr>
          <w:b/>
        </w:rPr>
        <w:t xml:space="preserve">ientos de Arafo, Candelaria y Güimar para la gestión de las infraestructuras de depuración y vertido de las aguas residuales, urbanas e industriales, del Polígono Industrial del Valle de Güimar. </w:t>
      </w:r>
    </w:p>
    <w:p w:rsidR="007617AD" w:rsidRDefault="00EE75C8">
      <w:pPr>
        <w:spacing w:after="0" w:line="259" w:lineRule="auto"/>
        <w:ind w:left="708" w:firstLine="0"/>
        <w:jc w:val="left"/>
      </w:pPr>
      <w:r>
        <w:rPr>
          <w:b/>
        </w:rPr>
        <w:t xml:space="preserve"> </w:t>
      </w:r>
    </w:p>
    <w:p w:rsidR="007617AD" w:rsidRDefault="00EE75C8">
      <w:pPr>
        <w:spacing w:after="0"/>
        <w:ind w:left="703" w:right="58"/>
      </w:pPr>
      <w:r>
        <w:rPr>
          <w:b/>
        </w:rPr>
        <w:t>6.- Expediente 1304/2019. Propuesta de la Alcaldesa-Presid</w:t>
      </w:r>
      <w:r>
        <w:rPr>
          <w:b/>
        </w:rPr>
        <w:t xml:space="preserve">enta de fecha 22 de junio de 2022 al Pleno para la modificación de los plazos contemplados en el “Plan de Etapas” en el marco del expediente 2017/11106 relativo al Emisario del Polígono Industrial del Valle de Güimar. </w:t>
      </w:r>
    </w:p>
    <w:p w:rsidR="007617AD" w:rsidRDefault="00EE75C8">
      <w:pPr>
        <w:spacing w:after="0" w:line="259" w:lineRule="auto"/>
        <w:ind w:left="708" w:firstLine="0"/>
        <w:jc w:val="left"/>
      </w:pPr>
      <w:r>
        <w:rPr>
          <w:b/>
        </w:rPr>
        <w:t xml:space="preserve"> </w:t>
      </w:r>
    </w:p>
    <w:p w:rsidR="007617AD" w:rsidRDefault="00EE75C8">
      <w:pPr>
        <w:spacing w:after="0"/>
        <w:ind w:left="703" w:right="58"/>
      </w:pPr>
      <w:r>
        <w:rPr>
          <w:b/>
        </w:rPr>
        <w:t>7.- Expediente 6212/2022. Moción de</w:t>
      </w:r>
      <w:r>
        <w:rPr>
          <w:b/>
        </w:rPr>
        <w:t xml:space="preserve">l grupo Mixto con nº de Registro de entrada (2022-E-RE2999) del 15 de junio para la creación de un plan de apoyo emocional para jóvenes. </w:t>
      </w:r>
    </w:p>
    <w:p w:rsidR="007617AD" w:rsidRDefault="00EE75C8">
      <w:pPr>
        <w:spacing w:after="0" w:line="259" w:lineRule="auto"/>
        <w:ind w:left="708" w:firstLine="0"/>
        <w:jc w:val="left"/>
      </w:pPr>
      <w:r>
        <w:rPr>
          <w:b/>
        </w:rPr>
        <w:t xml:space="preserve"> </w:t>
      </w:r>
    </w:p>
    <w:p w:rsidR="007617AD" w:rsidRDefault="00EE75C8">
      <w:pPr>
        <w:spacing w:after="0"/>
        <w:ind w:left="703" w:right="58"/>
      </w:pPr>
      <w:r>
        <w:rPr>
          <w:b/>
        </w:rPr>
        <w:lastRenderedPageBreak/>
        <w:t>8.- Expediente 6146/2022. Moción del grupo Mixto con nº de Registro de entrada (2022-E-RE</w:t>
      </w:r>
      <w:r>
        <w:rPr>
          <w:b/>
        </w:rPr>
        <w:t xml:space="preserve">2957) del 14 de junio para impulsar la implantación en Candelaria, del Carnet Joven Local orientado a personas entre 14 y 30 años. </w:t>
      </w:r>
    </w:p>
    <w:p w:rsidR="007617AD" w:rsidRDefault="00EE75C8">
      <w:pPr>
        <w:spacing w:after="0" w:line="259" w:lineRule="auto"/>
        <w:ind w:left="708" w:firstLine="0"/>
        <w:jc w:val="left"/>
      </w:pPr>
      <w:r>
        <w:rPr>
          <w:b/>
        </w:rPr>
        <w:t xml:space="preserve"> </w:t>
      </w:r>
    </w:p>
    <w:p w:rsidR="007617AD" w:rsidRDefault="00EE75C8">
      <w:pPr>
        <w:spacing w:after="11"/>
        <w:ind w:left="703" w:right="58"/>
      </w:pPr>
      <w:r>
        <w:rPr>
          <w:b/>
        </w:rPr>
        <w:t>9.- Urgencias.</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t xml:space="preserve"> </w:t>
      </w:r>
    </w:p>
    <w:p w:rsidR="007617AD" w:rsidRDefault="00EE75C8">
      <w:pPr>
        <w:numPr>
          <w:ilvl w:val="0"/>
          <w:numId w:val="1"/>
        </w:numPr>
        <w:spacing w:after="10" w:line="249" w:lineRule="auto"/>
        <w:ind w:hanging="360"/>
        <w:jc w:val="left"/>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ind w:left="703" w:right="58"/>
      </w:pPr>
      <w:r>
        <w:rPr>
          <w:b/>
        </w:rPr>
        <w:t>10.- Dación de Cuenta de los Decretos de la A</w:t>
      </w:r>
      <w:r>
        <w:rPr>
          <w:b/>
        </w:rPr>
        <w:t xml:space="preserve">lcaldía-Presidencia y de los Concejales delegados. </w:t>
      </w:r>
    </w:p>
    <w:p w:rsidR="007617AD" w:rsidRDefault="00EE75C8">
      <w:pPr>
        <w:spacing w:after="0" w:line="259" w:lineRule="auto"/>
        <w:ind w:left="708" w:firstLine="0"/>
        <w:jc w:val="left"/>
      </w:pPr>
      <w:r>
        <w:rPr>
          <w:b/>
        </w:rPr>
        <w:t xml:space="preserve"> </w:t>
      </w:r>
    </w:p>
    <w:p w:rsidR="007617AD" w:rsidRDefault="00EE75C8">
      <w:pPr>
        <w:spacing w:after="0"/>
        <w:ind w:left="703" w:right="132"/>
      </w:pPr>
      <w:r>
        <w:rPr>
          <w:b/>
        </w:rPr>
        <w:t xml:space="preserve">11.- Informe del Interventor en su caso de las resoluciones adoptadas por la Presidenta de la Corporación Local contrarias a los reparos efectuados en cumplimiento de la Ley 27/2013, de 27 de diciembre </w:t>
      </w:r>
      <w:r>
        <w:rPr>
          <w:b/>
        </w:rPr>
        <w:t>de racionalización y sostenibilidad de la Administración Local</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t xml:space="preserve"> </w:t>
      </w:r>
    </w:p>
    <w:p w:rsidR="007617AD" w:rsidRDefault="00EE75C8">
      <w:pPr>
        <w:numPr>
          <w:ilvl w:val="0"/>
          <w:numId w:val="1"/>
        </w:numPr>
        <w:spacing w:after="10" w:line="249" w:lineRule="auto"/>
        <w:ind w:hanging="360"/>
        <w:jc w:val="left"/>
      </w:pPr>
      <w:r>
        <w:rPr>
          <w:b/>
          <w:u w:val="single" w:color="000000"/>
        </w:rPr>
        <w:t>Ruegos y preguntas</w:t>
      </w:r>
      <w:r>
        <w:rPr>
          <w:b/>
        </w:rPr>
        <w:t>.</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12.- Ruegos y preguntas.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252321" name="Group 252321"/>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419" name="Rectangle 41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420" name="Rectangle 420"/>
                        <wps:cNvSpPr/>
                        <wps:spPr>
                          <a:xfrm rot="-5399999">
                            <a:off x="-2042224" y="1324605"/>
                            <a:ext cx="4350075"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2321" style="width:12.7031pt;height:280.02pt;position:absolute;mso-position-horizontal-relative:page;mso-position-horizontal:absolute;margin-left:682.278pt;mso-position-vertical-relative:page;margin-top:531.9pt;" coordsize="1613,35562">
                <v:rect id="Rectangle 41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420" style="position:absolute;width:43500;height:1132;left:-20422;top:132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192 </w:t>
                        </w:r>
                      </w:p>
                    </w:txbxContent>
                  </v:textbox>
                </v:rect>
                <w10:wrap type="topAndBottom"/>
              </v:group>
            </w:pict>
          </mc:Fallback>
        </mc:AlternateContent>
      </w: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10" w:line="249" w:lineRule="auto"/>
        <w:ind w:left="1063"/>
        <w:jc w:val="left"/>
      </w:pPr>
      <w:r>
        <w:rPr>
          <w:b/>
        </w:rPr>
        <w:t xml:space="preserve">A) </w:t>
      </w:r>
      <w:r>
        <w:rPr>
          <w:b/>
          <w:u w:val="single" w:color="000000"/>
        </w:rPr>
        <w:t>Parte Resolutiva de la Sesión.</w:t>
      </w: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1416" w:firstLine="0"/>
        <w:jc w:val="left"/>
      </w:pPr>
      <w:r>
        <w:t xml:space="preserve"> </w:t>
      </w:r>
    </w:p>
    <w:p w:rsidR="007617AD" w:rsidRDefault="00EE75C8">
      <w:pPr>
        <w:spacing w:after="101" w:line="241" w:lineRule="auto"/>
        <w:ind w:left="703" w:right="56"/>
      </w:pPr>
      <w:r>
        <w:rPr>
          <w:b/>
          <w:sz w:val="24"/>
        </w:rPr>
        <w:t>1.- Expediente 1147/2021</w:t>
      </w:r>
      <w:r>
        <w:rPr>
          <w:sz w:val="24"/>
        </w:rPr>
        <w:t xml:space="preserve">. </w:t>
      </w:r>
      <w:r>
        <w:rPr>
          <w:b/>
          <w:sz w:val="24"/>
        </w:rPr>
        <w:t>Propuesta de la Alcaldesa-</w:t>
      </w:r>
      <w:r>
        <w:rPr>
          <w:b/>
          <w:sz w:val="24"/>
        </w:rPr>
        <w:t>Presidenta de 22 de junio de 2022 al Pleno de aprobación del expediente del contrato de servicios de recogida de residuos, limpieza viaria y del litoral de Candelaria y convocar su licitación por importe de 21.782.763,33 euros y plazo de ejecución de 7 año</w:t>
      </w:r>
      <w:r>
        <w:rPr>
          <w:b/>
          <w:sz w:val="24"/>
        </w:rPr>
        <w:t>s.</w:t>
      </w:r>
      <w:r>
        <w:rPr>
          <w:sz w:val="24"/>
        </w:rPr>
        <w:t xml:space="preserve"> </w:t>
      </w:r>
    </w:p>
    <w:p w:rsidR="007617AD" w:rsidRDefault="00EE75C8">
      <w:pPr>
        <w:spacing w:after="98" w:line="259" w:lineRule="auto"/>
        <w:ind w:left="708" w:firstLine="0"/>
        <w:jc w:val="left"/>
      </w:pPr>
      <w:r>
        <w:rPr>
          <w:b/>
        </w:rPr>
        <w:t xml:space="preserve"> </w:t>
      </w:r>
    </w:p>
    <w:p w:rsidR="007617AD" w:rsidRDefault="00EE75C8">
      <w:pPr>
        <w:ind w:left="703" w:right="58"/>
      </w:pPr>
      <w:r>
        <w:rPr>
          <w:b/>
        </w:rPr>
        <w:t xml:space="preserve">1.- Consta en el expediente Memoria justificativa del contrato firmada por la AlcaldesaPresidenta de 22 de junio de 2022. </w:t>
      </w:r>
    </w:p>
    <w:p w:rsidR="007617AD" w:rsidRDefault="00EE75C8">
      <w:pPr>
        <w:ind w:left="703" w:right="58"/>
      </w:pPr>
      <w:r>
        <w:rPr>
          <w:b/>
        </w:rPr>
        <w:t>2.- Consta en el expediente Pliego de Prescripciones Técnicas particulares firmado el día 27 de junio de 2022 por el Arquitecto</w:t>
      </w:r>
      <w:r>
        <w:rPr>
          <w:b/>
        </w:rPr>
        <w:t xml:space="preserve"> Municipal Don Javier González Gómez junto a los 12 anexos del mismo firmados en la misma fecha de 27 de junio de 2022 después de las correcciones materiales operadas después de celebrada la Comisión Informativa de Hacienda y Servicios Generales y Recursos</w:t>
      </w:r>
      <w:r>
        <w:rPr>
          <w:b/>
        </w:rPr>
        <w:t xml:space="preserve"> Humanos de 27 de junio de 2022. </w:t>
      </w:r>
    </w:p>
    <w:p w:rsidR="007617AD" w:rsidRDefault="00EE75C8">
      <w:pPr>
        <w:ind w:left="703" w:right="58"/>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2868" name="Group 25286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596" name="Rectangle 59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597" name="Rectangle 597"/>
                        <wps:cNvSpPr/>
                        <wps:spPr>
                          <a:xfrm rot="-5399999">
                            <a:off x="-2042224" y="1324605"/>
                            <a:ext cx="4350075"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2868" style="width:12.7031pt;height:280.02pt;position:absolute;mso-position-horizontal-relative:page;mso-position-horizontal:absolute;margin-left:682.278pt;mso-position-vertical-relative:page;margin-top:531.9pt;" coordsize="1613,35562">
                <v:rect id="Rectangle 59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597" style="position:absolute;width:43500;height:1132;left:-20422;top:132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192 </w:t>
                        </w:r>
                      </w:p>
                    </w:txbxContent>
                  </v:textbox>
                </v:rect>
                <w10:wrap type="square"/>
              </v:group>
            </w:pict>
          </mc:Fallback>
        </mc:AlternateContent>
      </w:r>
      <w:r>
        <w:rPr>
          <w:b/>
        </w:rPr>
        <w:t xml:space="preserve">3.- </w:t>
      </w:r>
      <w:r>
        <w:rPr>
          <w:b/>
        </w:rPr>
        <w:t>Consta en el expediente el Pliego de Cláusulas Administrativas particulares de fecha 29 de junio de 2022 firmado por la Técnico de Administración General, Doña Pilar Chico Delgado y el Secretario General, Don Octavio Manuel Fernández Hernández después de l</w:t>
      </w:r>
      <w:r>
        <w:rPr>
          <w:b/>
        </w:rPr>
        <w:t xml:space="preserve">as correcciones materiales operadas después de celebrada la Comisión Informativa de Hacienda y Servicios Generales y Recursos Humanos de 27 de junio de 2022. </w:t>
      </w:r>
    </w:p>
    <w:p w:rsidR="007617AD" w:rsidRDefault="00EE75C8">
      <w:pPr>
        <w:ind w:left="703" w:right="58"/>
      </w:pPr>
      <w:r>
        <w:rPr>
          <w:b/>
        </w:rPr>
        <w:t>4.- Consta en el expediente informe favorable del Interventor Municipal, Don Nicolás Rojo Garnica</w:t>
      </w:r>
      <w:r>
        <w:rPr>
          <w:b/>
        </w:rPr>
        <w:t xml:space="preserve">, de fecha 22 de junio de 2022 y certificaciones de existencia de crédito para el año 2022 y para los ejercicios futuros entre los años 2023 a 2029. </w:t>
      </w:r>
    </w:p>
    <w:p w:rsidR="007617AD" w:rsidRDefault="00EE75C8">
      <w:pPr>
        <w:ind w:left="703" w:right="58"/>
      </w:pPr>
      <w:r>
        <w:rPr>
          <w:b/>
        </w:rPr>
        <w:t>5.- Consta en el expediente informe jurídico favorable de la Técnico de Administración General y del Secre</w:t>
      </w:r>
      <w:r>
        <w:rPr>
          <w:b/>
        </w:rPr>
        <w:t xml:space="preserve">tario General de fecha 22 de junio de 2022. </w:t>
      </w:r>
    </w:p>
    <w:p w:rsidR="007617AD" w:rsidRDefault="00EE75C8">
      <w:pPr>
        <w:ind w:left="703" w:right="58"/>
      </w:pPr>
      <w:r>
        <w:rPr>
          <w:b/>
        </w:rPr>
        <w:t>6.- Consta en el expediente propuesta de la Alcaldesa-Presidenta al Pleno que transcrita literalmente dispone (en la presente propuesta se incluye de forma literal el informe de Secretaría General de fecha 22 de</w:t>
      </w:r>
      <w:r>
        <w:rPr>
          <w:b/>
        </w:rPr>
        <w:t xml:space="preserve"> junio de 2022 que de conformidad con lo dispuesto en el artículo 88.6 de la ley 39/2015, de 1 de octubre, la aceptación de informes y dictámenes sirve de motivación al presente acto administrativo mediante acuerdo del Pleno): </w:t>
      </w:r>
    </w:p>
    <w:p w:rsidR="007617AD" w:rsidRDefault="00EE75C8">
      <w:pPr>
        <w:spacing w:after="141" w:line="259" w:lineRule="auto"/>
        <w:ind w:left="708" w:firstLine="0"/>
        <w:jc w:val="left"/>
      </w:pPr>
      <w:r>
        <w:rPr>
          <w:b/>
        </w:rPr>
        <w:t xml:space="preserve"> </w:t>
      </w:r>
    </w:p>
    <w:p w:rsidR="007617AD" w:rsidRDefault="00EE75C8">
      <w:pPr>
        <w:ind w:left="703" w:right="62"/>
      </w:pPr>
      <w:r>
        <w:t>“Consta en el expediente i</w:t>
      </w:r>
      <w:r>
        <w:t xml:space="preserve">nforme jurídico de la Secretaría General de fecha 22 de junio de 2022: </w:t>
      </w:r>
    </w:p>
    <w:p w:rsidR="007617AD" w:rsidRDefault="00EE75C8">
      <w:pPr>
        <w:spacing w:after="98" w:line="259" w:lineRule="auto"/>
        <w:ind w:left="708" w:firstLine="0"/>
        <w:jc w:val="left"/>
      </w:pPr>
      <w:r>
        <w:t xml:space="preserve"> </w:t>
      </w:r>
    </w:p>
    <w:p w:rsidR="007617AD" w:rsidRDefault="00EE75C8">
      <w:pPr>
        <w:spacing w:after="0" w:line="354" w:lineRule="auto"/>
        <w:ind w:left="1841" w:right="431" w:firstLine="970"/>
      </w:pPr>
      <w:r>
        <w:t xml:space="preserve">INFORME JURÍDICO DE SECRETARÍA GENERAL                          Visto el expediente antedicho se emite el siguiente informe:  </w:t>
      </w:r>
    </w:p>
    <w:p w:rsidR="007617AD" w:rsidRDefault="00EE75C8">
      <w:pPr>
        <w:pStyle w:val="Ttulo2"/>
        <w:spacing w:after="0"/>
        <w:ind w:left="10" w:right="60"/>
        <w:jc w:val="right"/>
      </w:pPr>
      <w:r>
        <w:rPr>
          <w:rFonts w:ascii="Arial" w:eastAsia="Arial" w:hAnsi="Arial" w:cs="Arial"/>
          <w:b w:val="0"/>
          <w:sz w:val="22"/>
        </w:rPr>
        <w:t>PRIMERO. - Consta en el expediente la tramitación de la</w:t>
      </w:r>
      <w:r>
        <w:rPr>
          <w:rFonts w:ascii="Arial" w:eastAsia="Arial" w:hAnsi="Arial" w:cs="Arial"/>
          <w:b w:val="0"/>
          <w:sz w:val="22"/>
        </w:rPr>
        <w:t xml:space="preserve"> aprobación de la estructura</w:t>
      </w:r>
      <w:r>
        <w:rPr>
          <w:rFonts w:ascii="Arial" w:eastAsia="Arial" w:hAnsi="Arial" w:cs="Arial"/>
          <w:b w:val="0"/>
          <w:sz w:val="22"/>
          <w:u w:val="none"/>
        </w:rPr>
        <w:t xml:space="preserve"> </w:t>
      </w:r>
    </w:p>
    <w:p w:rsidR="007617AD" w:rsidRDefault="00EE75C8">
      <w:pPr>
        <w:spacing w:after="111" w:line="249" w:lineRule="auto"/>
        <w:ind w:left="703"/>
        <w:jc w:val="left"/>
      </w:pPr>
      <w:r>
        <w:rPr>
          <w:u w:val="single" w:color="000000"/>
        </w:rPr>
        <w:t>de costes del presente contrato que ha tenido los siguientes trámites:</w:t>
      </w:r>
      <w:r>
        <w:t xml:space="preserve"> </w:t>
      </w:r>
    </w:p>
    <w:p w:rsidR="007617AD" w:rsidRDefault="00EE75C8">
      <w:pPr>
        <w:ind w:left="1851" w:right="62"/>
      </w:pPr>
      <w:r>
        <w:t xml:space="preserve">-Propuesta del Concejal delegado de 10 de febrero de 2021. </w:t>
      </w:r>
    </w:p>
    <w:p w:rsidR="007617AD" w:rsidRDefault="00EE75C8">
      <w:pPr>
        <w:ind w:left="1851" w:right="62"/>
      </w:pPr>
      <w:r>
        <w:t xml:space="preserve">-Informe del Ingeniero de 17 de febrero de 2021. </w:t>
      </w:r>
    </w:p>
    <w:p w:rsidR="007617AD" w:rsidRDefault="00EE75C8">
      <w:pPr>
        <w:spacing w:after="11"/>
        <w:ind w:left="1851" w:right="62"/>
      </w:pPr>
      <w:r>
        <w:t>-Oficio de la Alcaldesa-</w:t>
      </w:r>
      <w:r>
        <w:t xml:space="preserve">Presidenta de 17 de febrero de 2021 de solicitud a las cinco </w:t>
      </w:r>
    </w:p>
    <w:p w:rsidR="007617AD" w:rsidRDefault="00EE75C8">
      <w:pPr>
        <w:ind w:left="703" w:right="62"/>
      </w:pPr>
      <w:r>
        <w:t xml:space="preserve">empresas designadas por el Ingeniero para elaborar la estructura de costes del presente contrato. </w:t>
      </w:r>
    </w:p>
    <w:p w:rsidR="007617AD" w:rsidRDefault="00EE75C8">
      <w:pPr>
        <w:spacing w:after="11"/>
        <w:ind w:left="1851" w:right="62"/>
      </w:pPr>
      <w:r>
        <w:t xml:space="preserve">-Informes de las empresas notificadas sobre la estructura de costes del presente </w:t>
      </w:r>
    </w:p>
    <w:p w:rsidR="007617AD" w:rsidRDefault="00EE75C8">
      <w:pPr>
        <w:ind w:left="703" w:right="62"/>
      </w:pPr>
      <w:r>
        <w:t xml:space="preserve">contrato. </w:t>
      </w:r>
    </w:p>
    <w:p w:rsidR="007617AD" w:rsidRDefault="00EE75C8">
      <w:pPr>
        <w:ind w:left="693" w:right="62" w:firstLine="1133"/>
      </w:pPr>
      <w:r>
        <w:t>-D</w:t>
      </w:r>
      <w:r>
        <w:t xml:space="preserve">ecreto de la Alcaldesa-Presidenta de 14 de abril de 2021 por el que se designa a Don Jaime Mayor Llinares y Javier González Gómez como Técnicos de apoyo a Don Daniel Espejo Cómez. </w:t>
      </w:r>
    </w:p>
    <w:p w:rsidR="007617AD" w:rsidRDefault="00EE75C8">
      <w:pPr>
        <w:spacing w:after="11"/>
        <w:ind w:left="1851" w:right="62"/>
      </w:pPr>
      <w:r>
        <w:t>-Informe de los Técnicos municipales de 21 de abril de 2021 sobre la estruc</w:t>
      </w:r>
      <w:r>
        <w:t xml:space="preserve">tura de </w:t>
      </w:r>
    </w:p>
    <w:p w:rsidR="007617AD" w:rsidRDefault="00EE75C8">
      <w:pPr>
        <w:ind w:left="703" w:right="62"/>
      </w:pPr>
      <w:r>
        <w:t xml:space="preserve">costes del contrato en el que se concluye: </w:t>
      </w:r>
    </w:p>
    <w:p w:rsidR="007617AD" w:rsidRDefault="00EE75C8">
      <w:pPr>
        <w:spacing w:after="110" w:line="248" w:lineRule="auto"/>
        <w:ind w:left="693" w:right="59" w:firstLine="1133"/>
      </w:pPr>
      <w:r>
        <w:rPr>
          <w:i/>
        </w:rPr>
        <w:t>“Conforme lo dispuesto en el artículo 29.4 de la Ley 9/2017 de Contratos del Sector Público, se recoge que un contrato de servicios se podrá establecer un plazo de duración superior al establecido cuando</w:t>
      </w:r>
      <w:r>
        <w:rPr>
          <w:i/>
        </w:rPr>
        <w:t xml:space="preserve"> lo exija el periodo de recuperación de la inversión directamente relacionadas con el contrato y estas no sean susceptibles de utilizarse en el resto de la actividad productiva del contratista o su utilización fuera antieconómica, siempre que la amortizaci</w:t>
      </w:r>
      <w:r>
        <w:rPr>
          <w:i/>
        </w:rPr>
        <w:t>ón de dichas inversiones sea un coste relevante en la prestación del suministro o servicio. La inversión inicial para este tipo de contrato es para la adquisición de contenedores, maquinaria y equipos, siendo este coste amortizable un coste relevante en el</w:t>
      </w:r>
      <w:r>
        <w:rPr>
          <w:i/>
        </w:rPr>
        <w:t xml:space="preserve"> servicio. Por tanto, la duración del contrato tendrá una duración de 7 años como refleja el estudio de la recuperación de la inversión”. </w:t>
      </w:r>
    </w:p>
    <w:p w:rsidR="007617AD" w:rsidRDefault="00EE75C8">
      <w:pPr>
        <w:ind w:left="693" w:right="62" w:firstLine="1133"/>
      </w:pPr>
      <w:r>
        <w:rPr>
          <w:i/>
        </w:rPr>
        <w:t>-</w:t>
      </w:r>
      <w:r>
        <w:t>Informe jurídico favorable de fecha 21 de abril de 2021 de la Técnico de Administración General y del Secretario Gen</w:t>
      </w:r>
      <w:r>
        <w:t xml:space="preserve">eral. </w:t>
      </w:r>
    </w:p>
    <w:p w:rsidR="007617AD" w:rsidRDefault="00EE75C8">
      <w:pPr>
        <w:spacing w:after="11"/>
        <w:ind w:left="1851" w:right="62"/>
      </w:pPr>
      <w:r>
        <w:t xml:space="preserve">-Certificado del Pleno del Ayuntamiento de Candelaria de fecha 29 de abril de 2021 que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2574" name="Group 25257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719" name="Rectangle 71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720" name="Rectangle 720"/>
                        <wps:cNvSpPr/>
                        <wps:spPr>
                          <a:xfrm rot="-5399999">
                            <a:off x="-2042224" y="1324605"/>
                            <a:ext cx="4350075"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plataforma esP</w:t>
                              </w:r>
                              <w:r>
                                <w:rPr>
                                  <w:sz w:val="12"/>
                                </w:rPr>
                                <w:t xml:space="preserve">ublico Gestiona | Página 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2574" style="width:12.7031pt;height:280.02pt;position:absolute;mso-position-horizontal-relative:page;mso-position-horizontal:absolute;margin-left:682.278pt;mso-position-vertical-relative:page;margin-top:531.9pt;" coordsize="1613,35562">
                <v:rect id="Rectangle 71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720" style="position:absolute;width:43500;height:1132;left:-20422;top:132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192 </w:t>
                        </w:r>
                      </w:p>
                    </w:txbxContent>
                  </v:textbox>
                </v:rect>
                <w10:wrap type="square"/>
              </v:group>
            </w:pict>
          </mc:Fallback>
        </mc:AlternateContent>
      </w:r>
      <w:r>
        <w:t xml:space="preserve">en su parte resolutiva dice: </w:t>
      </w:r>
    </w:p>
    <w:p w:rsidR="007617AD" w:rsidRDefault="00EE75C8">
      <w:pPr>
        <w:spacing w:after="11" w:line="248" w:lineRule="auto"/>
        <w:ind w:left="1851" w:right="59"/>
      </w:pPr>
      <w:r>
        <w:rPr>
          <w:i/>
        </w:rPr>
        <w:t xml:space="preserve">PRIMERO. - Aprobar la propuesta de estructura de costes de del servicio de gestión de </w:t>
      </w:r>
    </w:p>
    <w:p w:rsidR="007617AD" w:rsidRDefault="00EE75C8">
      <w:pPr>
        <w:spacing w:after="110" w:line="248" w:lineRule="auto"/>
        <w:ind w:left="703" w:right="59"/>
      </w:pPr>
      <w:r>
        <w:rPr>
          <w:i/>
        </w:rPr>
        <w:t xml:space="preserve">residuos, limpieza viaria y del litoral del municipio de Candelaria, recogida en el informe firmado por el Ingeniero técnico industrial municipal, Arquitecto técnico municipal y por el Agente de Empleo y Desarrollo Local de fecha 21 de abril de 2021.  </w:t>
      </w:r>
    </w:p>
    <w:p w:rsidR="007617AD" w:rsidRDefault="00EE75C8">
      <w:pPr>
        <w:spacing w:after="11" w:line="248" w:lineRule="auto"/>
        <w:ind w:left="1851" w:right="59"/>
      </w:pPr>
      <w:r>
        <w:rPr>
          <w:i/>
        </w:rPr>
        <w:t>SEG</w:t>
      </w:r>
      <w:r>
        <w:rPr>
          <w:i/>
        </w:rPr>
        <w:t xml:space="preserve">UNDO. - Someter la misma a información pública por un período de 20 días </w:t>
      </w:r>
    </w:p>
    <w:p w:rsidR="007617AD" w:rsidRDefault="00EE75C8">
      <w:pPr>
        <w:spacing w:after="110" w:line="248" w:lineRule="auto"/>
        <w:ind w:left="703" w:right="59"/>
      </w:pPr>
      <w:r>
        <w:rPr>
          <w:i/>
        </w:rPr>
        <w:t xml:space="preserve">mediante su publicación en el Boletín Oficial de la Provincia de Santa Cruz de Tenerife.  </w:t>
      </w:r>
    </w:p>
    <w:p w:rsidR="007617AD" w:rsidRDefault="00EE75C8">
      <w:pPr>
        <w:spacing w:after="110" w:line="248" w:lineRule="auto"/>
        <w:ind w:left="693" w:right="59" w:firstLine="1133"/>
      </w:pPr>
      <w:r>
        <w:rPr>
          <w:i/>
        </w:rPr>
        <w:t xml:space="preserve">TERCERO. - Transcurrido el plazo de información pública dar traslado a la Junta Consultiva </w:t>
      </w:r>
      <w:r>
        <w:rPr>
          <w:i/>
        </w:rPr>
        <w:t xml:space="preserve">de Contratación del Gobierno de Canarias para la emisión del pertinente informe. </w:t>
      </w:r>
    </w:p>
    <w:p w:rsidR="007617AD" w:rsidRDefault="00EE75C8">
      <w:pPr>
        <w:ind w:left="703" w:right="62"/>
      </w:pPr>
      <w:r>
        <w:rPr>
          <w:i/>
        </w:rPr>
        <w:t xml:space="preserve"> </w:t>
      </w:r>
      <w:r>
        <w:t xml:space="preserve">-Anuncio en el Boletín Oficial de la Provincia del plazo de información pública por 20 días hábiles de la estructura de costes. </w:t>
      </w:r>
    </w:p>
    <w:p w:rsidR="007617AD" w:rsidRDefault="00EE75C8">
      <w:pPr>
        <w:tabs>
          <w:tab w:val="center" w:pos="708"/>
          <w:tab w:val="center" w:pos="4999"/>
        </w:tabs>
        <w:ind w:left="0" w:firstLine="0"/>
        <w:jc w:val="left"/>
      </w:pPr>
      <w:r>
        <w:rPr>
          <w:rFonts w:ascii="Calibri" w:eastAsia="Calibri" w:hAnsi="Calibri" w:cs="Calibri"/>
        </w:rPr>
        <w:tab/>
      </w:r>
      <w:r>
        <w:t xml:space="preserve"> </w:t>
      </w:r>
      <w:r>
        <w:tab/>
        <w:t>-No presentación de alegaciones durante e</w:t>
      </w:r>
      <w:r>
        <w:t xml:space="preserve">l plazo de información pública. </w:t>
      </w:r>
    </w:p>
    <w:p w:rsidR="007617AD" w:rsidRDefault="00EE75C8">
      <w:pPr>
        <w:ind w:left="703" w:right="62"/>
      </w:pPr>
      <w:r>
        <w:t xml:space="preserve"> -Remisión del expediente a la Junta Consultiva de Contratación Administrativa del Gobierno de Canarias. </w:t>
      </w:r>
    </w:p>
    <w:p w:rsidR="007617AD" w:rsidRDefault="00EE75C8">
      <w:pPr>
        <w:spacing w:after="11"/>
        <w:ind w:left="1851" w:right="62"/>
      </w:pPr>
      <w:r>
        <w:t xml:space="preserve">-Escrito de subsanación de fecha 20 de enero de 2022 en el que se debe remitir el </w:t>
      </w:r>
    </w:p>
    <w:p w:rsidR="007617AD" w:rsidRDefault="00EE75C8">
      <w:pPr>
        <w:ind w:left="703" w:right="62"/>
      </w:pPr>
      <w:r>
        <w:t xml:space="preserve">precio del contrato. </w:t>
      </w:r>
    </w:p>
    <w:p w:rsidR="007617AD" w:rsidRDefault="00EE75C8">
      <w:pPr>
        <w:spacing w:after="11"/>
        <w:ind w:left="1851" w:right="62"/>
      </w:pPr>
      <w:r>
        <w:t>-Informe téc</w:t>
      </w:r>
      <w:r>
        <w:t xml:space="preserve">nico de 21 de enero de 2022 de contestación a la subsanación por parte </w:t>
      </w:r>
    </w:p>
    <w:p w:rsidR="007617AD" w:rsidRDefault="00EE75C8">
      <w:pPr>
        <w:ind w:left="703" w:right="62"/>
      </w:pPr>
      <w:r>
        <w:t xml:space="preserve">del Gobierno de Canarias estableciendo el precio del contrato por 21.782.763,33 € y por un plazo de duración de 7 años. </w:t>
      </w:r>
    </w:p>
    <w:p w:rsidR="007617AD" w:rsidRDefault="00EE75C8">
      <w:pPr>
        <w:ind w:left="1851" w:right="62"/>
      </w:pPr>
      <w:r>
        <w:t>-Certificado del Secretario General 28 de enero de 2022 sobre e</w:t>
      </w:r>
      <w:r>
        <w:t xml:space="preserve">l informe técnico </w:t>
      </w:r>
    </w:p>
    <w:p w:rsidR="007617AD" w:rsidRDefault="00EE75C8">
      <w:pPr>
        <w:ind w:left="703" w:right="62"/>
      </w:pPr>
      <w:r>
        <w:t xml:space="preserve">emitido con fecha 21 de enero de 2022 y su remisión a la Junta Consultiva de Contratación Administrativa. </w:t>
      </w:r>
    </w:p>
    <w:p w:rsidR="007617AD" w:rsidRDefault="00EE75C8">
      <w:pPr>
        <w:spacing w:after="5" w:line="265" w:lineRule="auto"/>
        <w:ind w:left="10" w:right="62"/>
        <w:jc w:val="right"/>
      </w:pPr>
      <w:r>
        <w:t xml:space="preserve">-Informe 1/2022, de 8 de marzo, de la Junta Consultiva de Contratación Administrativa </w:t>
      </w:r>
    </w:p>
    <w:p w:rsidR="007617AD" w:rsidRDefault="00EE75C8">
      <w:pPr>
        <w:ind w:left="703" w:right="62"/>
      </w:pPr>
      <w:r>
        <w:t>de fecha 8 de abril de 2022 sobre la estruc</w:t>
      </w:r>
      <w:r>
        <w:t xml:space="preserve">tura de costes relativo al expediente de servicios de gestión de residuos, limpieza viaria y del litoral del municipio de Candelaria que en sus conclusiones establece: </w:t>
      </w:r>
    </w:p>
    <w:p w:rsidR="007617AD" w:rsidRDefault="00EE75C8">
      <w:pPr>
        <w:spacing w:after="0" w:line="259" w:lineRule="auto"/>
        <w:ind w:left="10" w:right="60"/>
        <w:jc w:val="right"/>
      </w:pPr>
      <w:r>
        <w:rPr>
          <w:i/>
        </w:rPr>
        <w:t xml:space="preserve">“La propuesta de estructura de costes del expediente de contratación del servicio de </w:t>
      </w:r>
    </w:p>
    <w:p w:rsidR="007617AD" w:rsidRDefault="00EE75C8">
      <w:pPr>
        <w:spacing w:after="110" w:line="248" w:lineRule="auto"/>
        <w:ind w:left="703" w:right="59"/>
      </w:pPr>
      <w:r>
        <w:rPr>
          <w:i/>
        </w:rPr>
        <w:t xml:space="preserve">gestión de residuos, limpieza viaria y del litoral de Candelaria sometida a la consideración de la Junta Consultiva de Contratación Administrativa de Canarias, se ajusta a las disposiciones contenidas en el artículo 7 y 9 del Real Decreto 55/2017. </w:t>
      </w:r>
    </w:p>
    <w:p w:rsidR="007617AD" w:rsidRDefault="00EE75C8">
      <w:pPr>
        <w:spacing w:after="110" w:line="248" w:lineRule="auto"/>
        <w:ind w:left="693" w:right="59" w:firstLine="1133"/>
      </w:pPr>
      <w:r>
        <w:rPr>
          <w:i/>
        </w:rPr>
        <w:t>La Junt</w:t>
      </w:r>
      <w:r>
        <w:rPr>
          <w:i/>
        </w:rPr>
        <w:t>a Consultiva de Contratación Administrativa de la Comunidad Autónoma de Canarias, cumple con el trámite de informe preceptivo a la propuesta de estructura de costes remitida por el Ayuntamiento de Candelaria de conformidad con lo dispuesto en la letra d) d</w:t>
      </w:r>
      <w:r>
        <w:rPr>
          <w:i/>
        </w:rPr>
        <w:t xml:space="preserve">el apartado 7 del artículo 9 del Real Decreto 55/2017 ya citado”. </w:t>
      </w:r>
    </w:p>
    <w:p w:rsidR="007617AD" w:rsidRDefault="00EE75C8">
      <w:pPr>
        <w:spacing w:after="98" w:line="259" w:lineRule="auto"/>
        <w:ind w:left="1841" w:firstLine="0"/>
        <w:jc w:val="left"/>
      </w:pPr>
      <w:r>
        <w:rPr>
          <w:i/>
        </w:rPr>
        <w:t xml:space="preserve"> </w:t>
      </w:r>
    </w:p>
    <w:p w:rsidR="007617AD" w:rsidRDefault="00EE75C8">
      <w:pPr>
        <w:spacing w:after="111" w:line="249" w:lineRule="auto"/>
        <w:ind w:left="703"/>
        <w:jc w:val="left"/>
      </w:pPr>
      <w:r>
        <w:rPr>
          <w:i/>
        </w:rPr>
        <w:t xml:space="preserve"> </w:t>
      </w:r>
      <w:r>
        <w:rPr>
          <w:u w:val="single" w:color="000000"/>
        </w:rPr>
        <w:t>SEGUNDO. - Consta en el expediente los trámites relativos a la licitación del contrato de</w:t>
      </w:r>
      <w:r>
        <w:t xml:space="preserve"> </w:t>
      </w:r>
      <w:r>
        <w:rPr>
          <w:u w:val="single" w:color="000000"/>
        </w:rPr>
        <w:t>servicios de recogida de residuos, limpieza viaria y del litoral de Candelaria.</w:t>
      </w:r>
      <w:r>
        <w:t xml:space="preserve"> </w:t>
      </w:r>
    </w:p>
    <w:p w:rsidR="007617AD" w:rsidRDefault="00EE75C8">
      <w:pPr>
        <w:ind w:left="703" w:right="62"/>
      </w:pPr>
      <w:r>
        <w:t xml:space="preserve">Constan en el expediente los siguientes documentos: </w:t>
      </w:r>
    </w:p>
    <w:p w:rsidR="007617AD" w:rsidRDefault="00EE75C8">
      <w:pPr>
        <w:ind w:left="703" w:right="62"/>
      </w:pPr>
      <w:r>
        <w:t xml:space="preserve">Propuesta de la Alcaldía-Presidencia al Pleno de memoria justificativa del contrato de fecha 22 de junio de 2022.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3194" name="Group 25319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822" name="Rectangle 82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Verificación: https://candelaria.sedelec</w:t>
                              </w:r>
                              <w:r>
                                <w:rPr>
                                  <w:sz w:val="12"/>
                                </w:rPr>
                                <w:t xml:space="preserve">tronica.es/ </w:t>
                              </w:r>
                            </w:p>
                          </w:txbxContent>
                        </wps:txbx>
                        <wps:bodyPr horzOverflow="overflow" vert="horz" lIns="0" tIns="0" rIns="0" bIns="0" rtlCol="0">
                          <a:noAutofit/>
                        </wps:bodyPr>
                      </wps:wsp>
                      <wps:wsp>
                        <wps:cNvPr id="823" name="Rectangle 823"/>
                        <wps:cNvSpPr/>
                        <wps:spPr>
                          <a:xfrm rot="-5399999">
                            <a:off x="-2042224" y="1324605"/>
                            <a:ext cx="4350075"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3194" style="width:12.7031pt;height:280.02pt;position:absolute;mso-position-horizontal-relative:page;mso-position-horizontal:absolute;margin-left:682.278pt;mso-position-vertical-relative:page;margin-top:531.9pt;" coordsize="1613,35562">
                <v:rect id="Rectangle 82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823" style="position:absolute;width:43500;height:1132;left:-20422;top:132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192 </w:t>
                        </w:r>
                      </w:p>
                    </w:txbxContent>
                  </v:textbox>
                </v:rect>
                <w10:wrap type="square"/>
              </v:group>
            </w:pict>
          </mc:Fallback>
        </mc:AlternateContent>
      </w:r>
      <w:r>
        <w:t xml:space="preserve">Pliego de prescripciones Técnicas particulares (PPTP): </w:t>
      </w:r>
    </w:p>
    <w:p w:rsidR="007617AD" w:rsidRDefault="00EE75C8">
      <w:pPr>
        <w:ind w:left="703" w:right="62"/>
      </w:pPr>
      <w:r>
        <w:t xml:space="preserve">Anexo 1: Personal a subrogar y convenio de trabajadores. </w:t>
      </w:r>
    </w:p>
    <w:p w:rsidR="007617AD" w:rsidRDefault="00EE75C8">
      <w:pPr>
        <w:ind w:left="703" w:right="62"/>
      </w:pPr>
      <w:r>
        <w:t>Anexo 2: Informática y Comunicacio</w:t>
      </w:r>
      <w:r>
        <w:t xml:space="preserve">nes. </w:t>
      </w:r>
    </w:p>
    <w:p w:rsidR="007617AD" w:rsidRDefault="00EE75C8">
      <w:pPr>
        <w:ind w:left="703" w:right="62"/>
      </w:pPr>
      <w:r>
        <w:t xml:space="preserve">Anexo 3: Criterios de Adjudicación. </w:t>
      </w:r>
    </w:p>
    <w:p w:rsidR="007617AD" w:rsidRDefault="00EE75C8">
      <w:pPr>
        <w:spacing w:after="11"/>
        <w:ind w:left="703" w:right="62"/>
      </w:pPr>
      <w:r>
        <w:t xml:space="preserve">Anexo 4: Puntuación de los criterios que dependen de un juicio de valor.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Anexo 5: Modelo de cuadro de Servicios.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Anexo 6: Listado de fiestas y eventos especiales a considerar para limpieza viaria.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Anexo 7: Sectores del municipio.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Anexo 8: Inventario de contenedores y papeleras.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Anexo 9: Maquinaria mínima de nueva adquisición.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Anexo 10: Planes a desarrollar en la oferta.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Anexo 11: Justificación de la no división en lotes. </w:t>
      </w:r>
    </w:p>
    <w:p w:rsidR="007617AD" w:rsidRDefault="00EE75C8">
      <w:pPr>
        <w:spacing w:after="0" w:line="259" w:lineRule="auto"/>
        <w:ind w:left="708" w:firstLine="0"/>
        <w:jc w:val="left"/>
      </w:pPr>
      <w:r>
        <w:t xml:space="preserve"> </w:t>
      </w:r>
    </w:p>
    <w:p w:rsidR="007617AD" w:rsidRDefault="00EE75C8">
      <w:pPr>
        <w:spacing w:after="11"/>
        <w:ind w:left="703" w:right="62"/>
      </w:pPr>
      <w:r>
        <w:t>Anexo 12: Es</w:t>
      </w:r>
      <w:r>
        <w:t xml:space="preserve">tudio económico. </w:t>
      </w:r>
    </w:p>
    <w:p w:rsidR="007617AD" w:rsidRDefault="00EE75C8">
      <w:pPr>
        <w:spacing w:after="0" w:line="259" w:lineRule="auto"/>
        <w:ind w:left="708" w:firstLine="0"/>
        <w:jc w:val="left"/>
      </w:pPr>
      <w:r>
        <w:t xml:space="preserve"> </w:t>
      </w:r>
    </w:p>
    <w:p w:rsidR="007617AD" w:rsidRDefault="00EE75C8">
      <w:pPr>
        <w:spacing w:after="137"/>
        <w:ind w:left="703" w:right="62"/>
      </w:pPr>
      <w:r>
        <w:t xml:space="preserve">-Consta en el expediente informe de la Intervención de 22 de junio de 2022 que en su parte de conclusiones dispone: </w:t>
      </w:r>
    </w:p>
    <w:p w:rsidR="007617AD" w:rsidRDefault="00EE75C8">
      <w:pPr>
        <w:spacing w:after="110" w:line="248" w:lineRule="auto"/>
        <w:ind w:left="703" w:right="59"/>
      </w:pPr>
      <w:r>
        <w:rPr>
          <w:i/>
        </w:rPr>
        <w:t>“Qué, existe consignación presupuestaria en la aplicación 163.00- 227.00 (RC 222004024) en el Presupuesto General del 2</w:t>
      </w:r>
      <w:r>
        <w:rPr>
          <w:i/>
        </w:rPr>
        <w:t>022, para hacer frente al coste de los meses de noviembre y diciembre del presente año, por la cantidad de 518.637,22 Euros. En la elaboración de los Presupuestos de los ejercicios siguientes, deberán preverse los créditos que resulten de la adjudicación d</w:t>
      </w:r>
      <w:r>
        <w:rPr>
          <w:i/>
        </w:rPr>
        <w:t xml:space="preserve">el contrato para todo el ejercicio.  </w:t>
      </w:r>
    </w:p>
    <w:p w:rsidR="007617AD" w:rsidRDefault="00EE75C8">
      <w:pPr>
        <w:spacing w:after="110" w:line="248" w:lineRule="auto"/>
        <w:ind w:left="703" w:right="59"/>
      </w:pPr>
      <w:r>
        <w:rPr>
          <w:i/>
        </w:rPr>
        <w:t xml:space="preserve">Por tanto, este Interventor informa favorablemente el contrato de servicios sujeto a regulación armonizada por procedimiento abierto de gestión de residuos, limpieza viaria y del litoral del municipio de candelaria” </w:t>
      </w:r>
    </w:p>
    <w:p w:rsidR="007617AD" w:rsidRDefault="00EE75C8">
      <w:pPr>
        <w:ind w:left="703" w:right="62"/>
      </w:pPr>
      <w:r>
        <w:t>-</w:t>
      </w:r>
      <w:r>
        <w:t xml:space="preserve">Consta en el expediente el pliego de cláusulas administrativas particulares (PCAP) de fecha 22 de junio de 2022 firmado la Técnico de Administración General y el Secretario General. </w:t>
      </w:r>
    </w:p>
    <w:p w:rsidR="007617AD" w:rsidRDefault="00EE75C8">
      <w:pPr>
        <w:spacing w:after="98" w:line="259" w:lineRule="auto"/>
        <w:ind w:left="708" w:firstLine="0"/>
        <w:jc w:val="left"/>
      </w:pPr>
      <w:r>
        <w:t xml:space="preserve"> </w:t>
      </w:r>
    </w:p>
    <w:p w:rsidR="007617AD" w:rsidRDefault="00EE75C8">
      <w:pPr>
        <w:ind w:left="2986" w:right="62"/>
      </w:pPr>
      <w:r>
        <w:t xml:space="preserve">FUNDAMENTOS DE DERECHO  </w:t>
      </w:r>
    </w:p>
    <w:p w:rsidR="007617AD" w:rsidRDefault="00EE75C8">
      <w:pPr>
        <w:spacing w:after="111" w:line="249" w:lineRule="auto"/>
        <w:ind w:left="1851"/>
        <w:jc w:val="left"/>
      </w:pPr>
      <w:r>
        <w:rPr>
          <w:u w:val="single" w:color="000000"/>
        </w:rPr>
        <w:t>PRIMERO. - Órgano de contratación: el Pleno de</w:t>
      </w:r>
      <w:r>
        <w:rPr>
          <w:u w:val="single" w:color="000000"/>
        </w:rPr>
        <w:t xml:space="preserve"> la Corporación.</w:t>
      </w:r>
      <w:r>
        <w:t xml:space="preserve"> </w:t>
      </w:r>
    </w:p>
    <w:p w:rsidR="007617AD" w:rsidRDefault="00EE75C8">
      <w:pPr>
        <w:ind w:left="1851" w:right="62"/>
      </w:pPr>
      <w:r>
        <w:t xml:space="preserve">Disposición Adicional Segunda de la LCSP: </w:t>
      </w:r>
    </w:p>
    <w:p w:rsidR="007617AD" w:rsidRDefault="00EE75C8">
      <w:pPr>
        <w:numPr>
          <w:ilvl w:val="0"/>
          <w:numId w:val="2"/>
        </w:numPr>
        <w:spacing w:after="10" w:line="248" w:lineRule="auto"/>
        <w:ind w:left="2133" w:right="58" w:hanging="292"/>
      </w:pPr>
      <w:r>
        <w:rPr>
          <w:i/>
          <w:u w:val="single" w:color="000000"/>
        </w:rPr>
        <w:t>Corresponden a los Alcaldes y a los Presidentes de las Entidades Locales las</w:t>
      </w:r>
      <w:r>
        <w:rPr>
          <w:i/>
        </w:rPr>
        <w:t xml:space="preserve"> </w:t>
      </w:r>
    </w:p>
    <w:p w:rsidR="007617AD" w:rsidRDefault="00EE75C8">
      <w:pPr>
        <w:spacing w:after="110" w:line="248" w:lineRule="auto"/>
        <w:ind w:left="703" w:right="59"/>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5097" name="Group 25509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974" name="Rectangle 97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975" name="Rectangle 975"/>
                        <wps:cNvSpPr/>
                        <wps:spPr>
                          <a:xfrm rot="-5399999">
                            <a:off x="-2042224" y="1324605"/>
                            <a:ext cx="4350075"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5097" style="width:12.7031pt;height:280.02pt;position:absolute;mso-position-horizontal-relative:page;mso-position-horizontal:absolute;margin-left:682.278pt;mso-position-vertical-relative:page;margin-top:531.9pt;" coordsize="1613,35562">
                <v:rect id="Rectangle 97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975" style="position:absolute;width:43500;height:1132;left:-20422;top:132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192 </w:t>
                        </w:r>
                      </w:p>
                    </w:txbxContent>
                  </v:textbox>
                </v:rect>
                <w10:wrap type="square"/>
              </v:group>
            </w:pict>
          </mc:Fallback>
        </mc:AlternateContent>
      </w:r>
      <w:r>
        <w:rPr>
          <w:i/>
          <w:u w:val="single" w:color="000000"/>
        </w:rPr>
        <w:t>competencias como órgano de contratación</w:t>
      </w:r>
      <w:r>
        <w:rPr>
          <w:i/>
        </w:rPr>
        <w:t xml:space="preserve"> respecto de los contratos de obras, de suministro, de servicios, los contratos de concesión de obras, los contratos de con</w:t>
      </w:r>
      <w:r>
        <w:rPr>
          <w:i/>
        </w:rPr>
        <w:t xml:space="preserve">cesión de servicios y los contratos administrativos especiales, </w:t>
      </w:r>
      <w:r>
        <w:rPr>
          <w:i/>
          <w:u w:val="single" w:color="000000"/>
        </w:rPr>
        <w:t>cuando su valor estimado no supere el 10 por ciento de los</w:t>
      </w:r>
      <w:r>
        <w:rPr>
          <w:i/>
        </w:rPr>
        <w:t xml:space="preserve"> </w:t>
      </w:r>
      <w:r>
        <w:rPr>
          <w:i/>
          <w:u w:val="single" w:color="000000"/>
        </w:rPr>
        <w:t>recursos ordinarios del presupuesto ni, en cualquier caso, la cuantía de seis millones de euros,</w:t>
      </w:r>
      <w:r>
        <w:rPr>
          <w:i/>
        </w:rPr>
        <w:t xml:space="preserve"> </w:t>
      </w:r>
      <w:r>
        <w:rPr>
          <w:i/>
          <w:u w:val="single" w:color="000000"/>
        </w:rPr>
        <w:t>incluidos los de carácter plurianual</w:t>
      </w:r>
      <w:r>
        <w:rPr>
          <w:i/>
          <w:u w:val="single" w:color="000000"/>
        </w:rPr>
        <w:t xml:space="preserve"> cuando su duración no sea superior a cuatro años,</w:t>
      </w:r>
      <w:r>
        <w:rPr>
          <w:i/>
        </w:rPr>
        <w:t xml:space="preserve"> eventuales prórrogas incluidas siempre que el importe acumulado de todas sus anualidades no supere ni el porcentaje indicado, referido a los recursos ordinarios del presupuesto del primer ejercicio, ni la </w:t>
      </w:r>
      <w:r>
        <w:rPr>
          <w:i/>
        </w:rPr>
        <w:t>cuantía señalada</w:t>
      </w:r>
      <w:r>
        <w:t xml:space="preserve"> </w:t>
      </w:r>
    </w:p>
    <w:p w:rsidR="007617AD" w:rsidRDefault="00EE75C8">
      <w:pPr>
        <w:numPr>
          <w:ilvl w:val="0"/>
          <w:numId w:val="2"/>
        </w:numPr>
        <w:spacing w:after="10" w:line="248" w:lineRule="auto"/>
        <w:ind w:left="2133" w:right="58" w:hanging="292"/>
      </w:pPr>
      <w:r>
        <w:rPr>
          <w:i/>
          <w:u w:val="single" w:color="000000"/>
        </w:rPr>
        <w:t>Corresponden al Pleno las competencias como órgano de contratación respecto de</w:t>
      </w:r>
      <w:r>
        <w:rPr>
          <w:i/>
        </w:rPr>
        <w:t xml:space="preserve"> </w:t>
      </w:r>
    </w:p>
    <w:p w:rsidR="007617AD" w:rsidRDefault="00EE75C8">
      <w:pPr>
        <w:spacing w:after="113" w:line="248" w:lineRule="auto"/>
        <w:ind w:left="703" w:right="58"/>
      </w:pPr>
      <w:r>
        <w:rPr>
          <w:i/>
          <w:u w:val="single" w:color="000000"/>
        </w:rPr>
        <w:t>los contratos mencionados en el apartado anterior que celebre la Entidad Local,</w:t>
      </w:r>
      <w:r>
        <w:rPr>
          <w:i/>
        </w:rPr>
        <w:t xml:space="preserve"> </w:t>
      </w:r>
      <w:r>
        <w:rPr>
          <w:i/>
          <w:u w:val="single" w:color="000000"/>
        </w:rPr>
        <w:t>cuando por su</w:t>
      </w:r>
      <w:r>
        <w:rPr>
          <w:i/>
        </w:rPr>
        <w:t xml:space="preserve"> </w:t>
      </w:r>
      <w:r>
        <w:rPr>
          <w:i/>
          <w:u w:val="single" w:color="000000"/>
        </w:rPr>
        <w:t>valor o duración no correspondan al Alcalde o Presidente de la Entidad Local, conforme al apartado</w:t>
      </w:r>
      <w:r>
        <w:rPr>
          <w:i/>
        </w:rPr>
        <w:t xml:space="preserve"> </w:t>
      </w:r>
      <w:r>
        <w:rPr>
          <w:i/>
          <w:u w:val="single" w:color="000000"/>
        </w:rPr>
        <w:t>anterior</w:t>
      </w:r>
      <w:r>
        <w:rPr>
          <w:i/>
        </w:rPr>
        <w:t>. Asimismo, corresponde al Pleno la aprobación de los pliegos de cláusulas administrativas generales a los que se refiere el artículo 121 de esta Ley</w:t>
      </w:r>
      <w:r>
        <w:rPr>
          <w:i/>
        </w:rPr>
        <w:t>.</w:t>
      </w:r>
      <w:r>
        <w:t xml:space="preserve"> </w:t>
      </w:r>
    </w:p>
    <w:p w:rsidR="007617AD" w:rsidRDefault="00EE75C8">
      <w:pPr>
        <w:ind w:left="1851" w:right="62"/>
      </w:pPr>
      <w:r>
        <w:t xml:space="preserve">En el presente contrato el órgano de contratación es el Pleno de la Corporación porque: </w:t>
      </w:r>
    </w:p>
    <w:p w:rsidR="007617AD" w:rsidRDefault="00EE75C8">
      <w:pPr>
        <w:spacing w:after="11"/>
        <w:ind w:left="1851" w:right="62"/>
      </w:pPr>
      <w:r>
        <w:t>1.- El contrato tiene carácter plurianual ya que la duración del contrato es de 7 años.</w:t>
      </w:r>
    </w:p>
    <w:p w:rsidR="007617AD" w:rsidRDefault="00EE75C8">
      <w:pPr>
        <w:spacing w:after="105" w:line="259" w:lineRule="auto"/>
        <w:ind w:left="708" w:firstLine="0"/>
        <w:jc w:val="left"/>
      </w:pPr>
      <w:r>
        <w:t xml:space="preserve"> </w:t>
      </w:r>
      <w:r>
        <w:tab/>
        <w:t xml:space="preserve"> </w:t>
      </w:r>
    </w:p>
    <w:p w:rsidR="007617AD" w:rsidRDefault="00EE75C8">
      <w:pPr>
        <w:ind w:left="693" w:right="62" w:firstLine="1133"/>
      </w:pPr>
      <w:r>
        <w:t>2.- El valor estimado supera el 10 por ciento de los recursos ordinarios</w:t>
      </w:r>
      <w:r>
        <w:t xml:space="preserve"> del presupuesto ya que el presente contrato es de 21.782.763,33 € y el presupuesto municipal anual es de 25.292.037,05 según la publicación del BOP de fecha 9 de mayo de 2022. </w:t>
      </w:r>
    </w:p>
    <w:p w:rsidR="007617AD" w:rsidRDefault="00EE75C8">
      <w:pPr>
        <w:spacing w:after="111" w:line="249" w:lineRule="auto"/>
        <w:ind w:left="693" w:firstLine="708"/>
        <w:jc w:val="left"/>
      </w:pPr>
      <w:r>
        <w:rPr>
          <w:u w:val="single" w:color="000000"/>
        </w:rPr>
        <w:t>SEGUNDO. - Procedimiento legalmente establecido para la licitación del present</w:t>
      </w:r>
      <w:r>
        <w:rPr>
          <w:u w:val="single" w:color="000000"/>
        </w:rPr>
        <w:t>e contrato</w:t>
      </w:r>
      <w:r>
        <w:t xml:space="preserve"> </w:t>
      </w:r>
      <w:r>
        <w:rPr>
          <w:u w:val="single" w:color="000000"/>
        </w:rPr>
        <w:t>de servicios:</w:t>
      </w:r>
      <w:r>
        <w:t xml:space="preserve"> </w:t>
      </w:r>
    </w:p>
    <w:p w:rsidR="007617AD" w:rsidRDefault="00EE75C8">
      <w:pPr>
        <w:spacing w:after="110" w:line="248" w:lineRule="auto"/>
        <w:ind w:left="703" w:right="59"/>
      </w:pPr>
      <w:r>
        <w:rPr>
          <w:i/>
        </w:rPr>
        <w:t>1. La celebración de contratos por parte de las Administraciones Públicas requerirá la previa tramitación del correspondiente expediente, que se iniciará por el órgano de contratación motivando la necesidad del contrato en los tér</w:t>
      </w:r>
      <w:r>
        <w:rPr>
          <w:i/>
        </w:rPr>
        <w:t xml:space="preserve">minos previstos en el artículo 28 de esta Ley y que deberá ser publicado en el perfil de contratante (…). </w:t>
      </w:r>
    </w:p>
    <w:p w:rsidR="007617AD" w:rsidRDefault="00EE75C8">
      <w:pPr>
        <w:numPr>
          <w:ilvl w:val="0"/>
          <w:numId w:val="3"/>
        </w:numPr>
        <w:spacing w:after="110" w:line="248" w:lineRule="auto"/>
        <w:ind w:left="940" w:right="59" w:hanging="247"/>
      </w:pPr>
      <w:r>
        <w:rPr>
          <w:i/>
        </w:rPr>
        <w:t xml:space="preserve">Al expediente se incorporarán el pliego de cláusulas administrativas particulares y el de prescripciones técnicas que hayan de regir el contrato. </w:t>
      </w:r>
    </w:p>
    <w:p w:rsidR="007617AD" w:rsidRDefault="00EE75C8">
      <w:pPr>
        <w:spacing w:after="168" w:line="248" w:lineRule="auto"/>
        <w:ind w:left="703" w:right="59"/>
      </w:pPr>
      <w:r>
        <w:rPr>
          <w:i/>
        </w:rPr>
        <w:t>As</w:t>
      </w:r>
      <w:r>
        <w:rPr>
          <w:i/>
        </w:rPr>
        <w:t xml:space="preserve">imismo, deberá incorporarse el certificado de existencia de crédito. </w:t>
      </w:r>
    </w:p>
    <w:p w:rsidR="007617AD" w:rsidRDefault="00EE75C8">
      <w:pPr>
        <w:numPr>
          <w:ilvl w:val="0"/>
          <w:numId w:val="3"/>
        </w:numPr>
        <w:spacing w:after="185" w:line="248" w:lineRule="auto"/>
        <w:ind w:left="940" w:right="59" w:hanging="247"/>
      </w:pPr>
      <w:r>
        <w:rPr>
          <w:i/>
        </w:rPr>
        <w:t xml:space="preserve">En el expediente se justificará adecuadamente: </w:t>
      </w:r>
    </w:p>
    <w:p w:rsidR="007617AD" w:rsidRDefault="00EE75C8">
      <w:pPr>
        <w:numPr>
          <w:ilvl w:val="0"/>
          <w:numId w:val="4"/>
        </w:numPr>
        <w:spacing w:after="149" w:line="248" w:lineRule="auto"/>
        <w:ind w:right="59" w:hanging="259"/>
      </w:pPr>
      <w:r>
        <w:rPr>
          <w:i/>
        </w:rPr>
        <w:t>La elección del procedimiento de licitación.</w:t>
      </w:r>
      <w:r>
        <w:rPr>
          <w:rFonts w:ascii="Times New Roman" w:eastAsia="Times New Roman" w:hAnsi="Times New Roman" w:cs="Times New Roman"/>
          <w:sz w:val="24"/>
        </w:rPr>
        <w:t xml:space="preserve"> </w:t>
      </w:r>
    </w:p>
    <w:p w:rsidR="007617AD" w:rsidRDefault="00EE75C8">
      <w:pPr>
        <w:numPr>
          <w:ilvl w:val="0"/>
          <w:numId w:val="4"/>
        </w:numPr>
        <w:spacing w:after="171" w:line="248" w:lineRule="auto"/>
        <w:ind w:right="59" w:hanging="259"/>
      </w:pPr>
      <w:r>
        <w:rPr>
          <w:i/>
        </w:rPr>
        <w:t xml:space="preserve">La clasificación que se exija a los participantes. </w:t>
      </w:r>
    </w:p>
    <w:p w:rsidR="007617AD" w:rsidRDefault="00EE75C8">
      <w:pPr>
        <w:numPr>
          <w:ilvl w:val="0"/>
          <w:numId w:val="4"/>
        </w:numPr>
        <w:spacing w:after="171" w:line="248" w:lineRule="auto"/>
        <w:ind w:right="59" w:hanging="259"/>
      </w:pPr>
      <w:r>
        <w:rPr>
          <w:i/>
        </w:rPr>
        <w:t xml:space="preserve">Los criterios de solvencia técnica o profesional, y económica y financiera, y los criterios que se tendrán en consideración para adjudicar el contrato, así como las condiciones especiales de ejecución del mismo. </w:t>
      </w:r>
    </w:p>
    <w:p w:rsidR="007617AD" w:rsidRDefault="00EE75C8">
      <w:pPr>
        <w:numPr>
          <w:ilvl w:val="0"/>
          <w:numId w:val="4"/>
        </w:numPr>
        <w:spacing w:after="174" w:line="248" w:lineRule="auto"/>
        <w:ind w:right="59" w:hanging="259"/>
      </w:pPr>
      <w:r>
        <w:rPr>
          <w:i/>
        </w:rPr>
        <w:t>El valor estimado del contrato con una indi</w:t>
      </w:r>
      <w:r>
        <w:rPr>
          <w:i/>
        </w:rPr>
        <w:t xml:space="preserve">cación de todos los conceptos que lo integran, inclu-yendo siempre los costes laborales si existiesen. </w:t>
      </w:r>
    </w:p>
    <w:p w:rsidR="007617AD" w:rsidRDefault="00EE75C8">
      <w:pPr>
        <w:numPr>
          <w:ilvl w:val="0"/>
          <w:numId w:val="4"/>
        </w:numPr>
        <w:spacing w:after="171" w:line="248" w:lineRule="auto"/>
        <w:ind w:right="59" w:hanging="259"/>
      </w:pPr>
      <w:r>
        <w:rPr>
          <w:i/>
        </w:rPr>
        <w:t>La necesidad de la Administración a la que se pretende dar satisfacción mediante la contratación de las prestaciones correspondientes; y su relación con</w:t>
      </w:r>
      <w:r>
        <w:rPr>
          <w:i/>
        </w:rPr>
        <w:t xml:space="preserve"> el objeto del contrato, que deberá ser directa, clara y proporcional. </w:t>
      </w:r>
    </w:p>
    <w:p w:rsidR="007617AD" w:rsidRDefault="00EE75C8">
      <w:pPr>
        <w:numPr>
          <w:ilvl w:val="0"/>
          <w:numId w:val="4"/>
        </w:numPr>
        <w:spacing w:after="169" w:line="248" w:lineRule="auto"/>
        <w:ind w:right="59" w:hanging="259"/>
      </w:pPr>
      <w:r>
        <w:rPr>
          <w:i/>
        </w:rPr>
        <w:t xml:space="preserve">En los contratos de servicios, el informe de insuficiencia de medios. </w:t>
      </w:r>
    </w:p>
    <w:p w:rsidR="007617AD" w:rsidRDefault="00EE75C8">
      <w:pPr>
        <w:numPr>
          <w:ilvl w:val="0"/>
          <w:numId w:val="4"/>
        </w:numPr>
        <w:spacing w:after="171" w:line="248" w:lineRule="auto"/>
        <w:ind w:right="59" w:hanging="259"/>
      </w:pPr>
      <w:r>
        <w:rPr>
          <w:i/>
        </w:rPr>
        <w:t xml:space="preserve">La decisión de no dividir en lotes el objeto del contrato, en su caso. </w:t>
      </w:r>
    </w:p>
    <w:p w:rsidR="007617AD" w:rsidRDefault="00EE75C8">
      <w:pPr>
        <w:spacing w:after="111" w:line="249" w:lineRule="auto"/>
        <w:ind w:left="693" w:firstLine="708"/>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4673" name="Group 254673"/>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091" name="Rectangle 109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w:t>
                              </w:r>
                              <w:r>
                                <w:rPr>
                                  <w:sz w:val="12"/>
                                </w:rPr>
                                <w:t xml:space="preserve">N2EM | Verificación: https://candelaria.sedelectronica.es/ </w:t>
                              </w:r>
                            </w:p>
                          </w:txbxContent>
                        </wps:txbx>
                        <wps:bodyPr horzOverflow="overflow" vert="horz" lIns="0" tIns="0" rIns="0" bIns="0" rtlCol="0">
                          <a:noAutofit/>
                        </wps:bodyPr>
                      </wps:wsp>
                      <wps:wsp>
                        <wps:cNvPr id="1092" name="Rectangle 1092"/>
                        <wps:cNvSpPr/>
                        <wps:spPr>
                          <a:xfrm rot="-5399999">
                            <a:off x="-2042224" y="1324605"/>
                            <a:ext cx="4350075"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4673" style="width:12.7031pt;height:280.02pt;position:absolute;mso-position-horizontal-relative:page;mso-position-horizontal:absolute;margin-left:682.278pt;mso-position-vertical-relative:page;margin-top:531.9pt;" coordsize="1613,35562">
                <v:rect id="Rectangle 109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092" style="position:absolute;width:43500;height:1132;left:-20422;top:132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192 </w:t>
                        </w:r>
                      </w:p>
                    </w:txbxContent>
                  </v:textbox>
                </v:rect>
                <w10:wrap type="square"/>
              </v:group>
            </w:pict>
          </mc:Fallback>
        </mc:AlternateContent>
      </w:r>
      <w:r>
        <w:rPr>
          <w:u w:val="single" w:color="000000"/>
        </w:rPr>
        <w:t>Por tanto, con carácter previo a su aprobación por el órgano de contratación que es el Pleno</w:t>
      </w:r>
      <w:r>
        <w:t xml:space="preserve"> </w:t>
      </w:r>
      <w:r>
        <w:rPr>
          <w:u w:val="single" w:color="000000"/>
        </w:rPr>
        <w:t>debe constar en el expediente los siguientes documentos:</w:t>
      </w:r>
      <w:r>
        <w:t xml:space="preserve"> </w:t>
      </w:r>
    </w:p>
    <w:p w:rsidR="007617AD" w:rsidRDefault="00EE75C8">
      <w:pPr>
        <w:ind w:left="703" w:right="62"/>
      </w:pPr>
      <w:r>
        <w:t xml:space="preserve">1.- Propuesta de la Alcaldesa-Presidenta al Pleno de Memoria justificativa sobre la necesidad a satisfacer en el contrato para su aprobación por el órgano de contratación. </w:t>
      </w:r>
    </w:p>
    <w:p w:rsidR="007617AD" w:rsidRDefault="00EE75C8">
      <w:pPr>
        <w:ind w:left="703" w:right="62"/>
      </w:pPr>
      <w:r>
        <w:t xml:space="preserve">2.- </w:t>
      </w:r>
      <w:r>
        <w:t xml:space="preserve">Pliego de prescripciones técnicas particulares (PPTP). </w:t>
      </w:r>
    </w:p>
    <w:p w:rsidR="007617AD" w:rsidRDefault="00EE75C8">
      <w:pPr>
        <w:ind w:left="703" w:right="62"/>
      </w:pPr>
      <w:r>
        <w:t xml:space="preserve">3.- Anexos del PPTP: </w:t>
      </w:r>
    </w:p>
    <w:p w:rsidR="007617AD" w:rsidRDefault="00EE75C8">
      <w:pPr>
        <w:spacing w:after="100" w:line="259" w:lineRule="auto"/>
        <w:ind w:left="708" w:firstLine="0"/>
        <w:jc w:val="left"/>
      </w:pPr>
      <w:r>
        <w:t xml:space="preserve"> </w:t>
      </w:r>
    </w:p>
    <w:p w:rsidR="007617AD" w:rsidRDefault="00EE75C8">
      <w:pPr>
        <w:ind w:left="703" w:right="62"/>
      </w:pPr>
      <w:r>
        <w:t xml:space="preserve">Anexo 1: Personal a subrogar y convenio de trabajadores. </w:t>
      </w:r>
    </w:p>
    <w:p w:rsidR="007617AD" w:rsidRDefault="00EE75C8">
      <w:pPr>
        <w:ind w:left="703" w:right="62"/>
      </w:pPr>
      <w:r>
        <w:t xml:space="preserve">Anexo 2: Informática y Comunicaciones. </w:t>
      </w:r>
    </w:p>
    <w:p w:rsidR="007617AD" w:rsidRDefault="00EE75C8">
      <w:pPr>
        <w:ind w:left="703" w:right="62"/>
      </w:pPr>
      <w:r>
        <w:t xml:space="preserve">Anexo 3: Criterios de Adjudicación. </w:t>
      </w:r>
    </w:p>
    <w:p w:rsidR="007617AD" w:rsidRDefault="00EE75C8">
      <w:pPr>
        <w:spacing w:after="11"/>
        <w:ind w:left="703" w:right="62"/>
      </w:pPr>
      <w:r>
        <w:t xml:space="preserve">Anexo 4: Puntuación de los criterios que </w:t>
      </w:r>
      <w:r>
        <w:t xml:space="preserve">dependen de un juicio de valor.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Anexo 5: Modelo de cuadro de Servicios.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Anexo 6: Listado de fiestas y eventos especiales a considerar para limpieza viaria.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Anexo 7: Sectores del municipio.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Anexo 8: Inventario de contenedores y papeleras. </w:t>
      </w:r>
    </w:p>
    <w:p w:rsidR="007617AD" w:rsidRDefault="00EE75C8">
      <w:pPr>
        <w:spacing w:after="0" w:line="259" w:lineRule="auto"/>
        <w:ind w:left="708" w:firstLine="0"/>
        <w:jc w:val="left"/>
      </w:pPr>
      <w:r>
        <w:t xml:space="preserve"> </w:t>
      </w:r>
    </w:p>
    <w:p w:rsidR="007617AD" w:rsidRDefault="00EE75C8">
      <w:pPr>
        <w:spacing w:after="11"/>
        <w:ind w:left="703" w:right="62"/>
      </w:pPr>
      <w:r>
        <w:t>Ane</w:t>
      </w:r>
      <w:r>
        <w:t xml:space="preserve">xo 9: Maquinaria mínima de nueva adquisición.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Anexo 10: Planes a desarrollar en la oferta.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Anexo 11: Justificación de la no división en lotes.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Anexo 12: Estudio económico. </w:t>
      </w:r>
    </w:p>
    <w:p w:rsidR="007617AD" w:rsidRDefault="00EE75C8">
      <w:pPr>
        <w:spacing w:after="0" w:line="259" w:lineRule="auto"/>
        <w:ind w:left="708" w:firstLine="0"/>
        <w:jc w:val="left"/>
      </w:pPr>
      <w:r>
        <w:t xml:space="preserve"> </w:t>
      </w:r>
    </w:p>
    <w:p w:rsidR="007617AD" w:rsidRDefault="00EE75C8">
      <w:pPr>
        <w:spacing w:after="98" w:line="259" w:lineRule="auto"/>
        <w:ind w:left="708" w:firstLine="0"/>
        <w:jc w:val="left"/>
      </w:pPr>
      <w:r>
        <w:t xml:space="preserve"> </w:t>
      </w:r>
    </w:p>
    <w:p w:rsidR="007617AD" w:rsidRDefault="00EE75C8">
      <w:pPr>
        <w:ind w:left="703" w:right="62"/>
      </w:pPr>
      <w:r>
        <w:t xml:space="preserve">4.- Pliego de Cláusulas Administrativas particulares (PCAP). </w:t>
      </w:r>
    </w:p>
    <w:p w:rsidR="007617AD" w:rsidRDefault="00EE75C8">
      <w:pPr>
        <w:spacing w:after="98" w:line="259" w:lineRule="auto"/>
        <w:ind w:left="708" w:firstLine="0"/>
        <w:jc w:val="left"/>
      </w:pPr>
      <w:r>
        <w:t xml:space="preserve"> </w:t>
      </w:r>
    </w:p>
    <w:p w:rsidR="007617AD" w:rsidRDefault="00EE75C8">
      <w:pPr>
        <w:ind w:left="703" w:right="62"/>
      </w:pPr>
      <w:r>
        <w:t xml:space="preserve">5.- </w:t>
      </w:r>
      <w:r>
        <w:t xml:space="preserve">Certificado de existencia de crédito. </w:t>
      </w:r>
    </w:p>
    <w:p w:rsidR="007617AD" w:rsidRDefault="00EE75C8">
      <w:pPr>
        <w:spacing w:after="100" w:line="259" w:lineRule="auto"/>
        <w:ind w:left="708" w:firstLine="0"/>
        <w:jc w:val="left"/>
      </w:pPr>
      <w:r>
        <w:t xml:space="preserve"> </w:t>
      </w:r>
    </w:p>
    <w:p w:rsidR="007617AD" w:rsidRDefault="00EE75C8">
      <w:pPr>
        <w:ind w:left="703" w:right="62"/>
      </w:pPr>
      <w:r>
        <w:t xml:space="preserve">6.- Informe de fiscalización de la Intervención. </w:t>
      </w:r>
    </w:p>
    <w:p w:rsidR="007617AD" w:rsidRDefault="00EE75C8">
      <w:pPr>
        <w:spacing w:after="100" w:line="259" w:lineRule="auto"/>
        <w:ind w:left="708" w:firstLine="0"/>
        <w:jc w:val="left"/>
      </w:pPr>
      <w:r>
        <w:t xml:space="preserve"> </w:t>
      </w:r>
    </w:p>
    <w:p w:rsidR="007617AD" w:rsidRDefault="00EE75C8">
      <w:pPr>
        <w:ind w:left="703" w:right="62"/>
      </w:pPr>
      <w:r>
        <w:t xml:space="preserve">7.- Propuesta de la Alcaldesa-Presidenta al Pleno. </w:t>
      </w:r>
    </w:p>
    <w:p w:rsidR="007617AD" w:rsidRDefault="00EE75C8">
      <w:pPr>
        <w:spacing w:after="98" w:line="259" w:lineRule="auto"/>
        <w:ind w:left="708" w:firstLine="0"/>
        <w:jc w:val="left"/>
      </w:pPr>
      <w:r>
        <w:t xml:space="preserve"> </w:t>
      </w:r>
    </w:p>
    <w:p w:rsidR="007617AD" w:rsidRDefault="00EE75C8">
      <w:pPr>
        <w:ind w:left="703" w:right="62"/>
      </w:pPr>
      <w:r>
        <w:t xml:space="preserve">Todos los documentos constan en el expediente. </w:t>
      </w:r>
    </w:p>
    <w:p w:rsidR="007617AD" w:rsidRDefault="00EE75C8">
      <w:pPr>
        <w:spacing w:after="98" w:line="259" w:lineRule="auto"/>
        <w:ind w:left="708" w:firstLine="0"/>
        <w:jc w:val="left"/>
      </w:pPr>
      <w:r>
        <w:t xml:space="preserve"> </w:t>
      </w:r>
    </w:p>
    <w:p w:rsidR="007617AD" w:rsidRDefault="00EE75C8">
      <w:pPr>
        <w:pStyle w:val="Ttulo2"/>
        <w:spacing w:after="0"/>
        <w:ind w:left="10" w:right="60"/>
        <w:jc w:val="right"/>
      </w:pPr>
      <w:r>
        <w:rPr>
          <w:rFonts w:ascii="Arial" w:eastAsia="Arial" w:hAnsi="Arial" w:cs="Arial"/>
          <w:b w:val="0"/>
          <w:sz w:val="22"/>
        </w:rPr>
        <w:t>TERCERO.-  Duración del contrato: los contratos de servicio</w:t>
      </w:r>
      <w:r>
        <w:rPr>
          <w:rFonts w:ascii="Arial" w:eastAsia="Arial" w:hAnsi="Arial" w:cs="Arial"/>
          <w:b w:val="0"/>
          <w:sz w:val="22"/>
        </w:rPr>
        <w:t>s tienen un plazo de</w:t>
      </w:r>
      <w:r>
        <w:rPr>
          <w:rFonts w:ascii="Arial" w:eastAsia="Arial" w:hAnsi="Arial" w:cs="Arial"/>
          <w:b w:val="0"/>
          <w:sz w:val="22"/>
          <w:u w:val="none"/>
        </w:rPr>
        <w:t xml:space="preserve"> </w:t>
      </w:r>
    </w:p>
    <w:p w:rsidR="007617AD" w:rsidRDefault="00EE75C8">
      <w:pPr>
        <w:spacing w:after="167" w:line="249" w:lineRule="auto"/>
        <w:ind w:left="703"/>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46810" name="Group 24681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210" name="Rectangle 121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211" name="Rectangle 1211"/>
                        <wps:cNvSpPr/>
                        <wps:spPr>
                          <a:xfrm rot="-5399999">
                            <a:off x="-2042224" y="1324605"/>
                            <a:ext cx="4350075"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46810" style="width:12.7031pt;height:280.02pt;position:absolute;mso-position-horizontal-relative:page;mso-position-horizontal:absolute;margin-left:682.278pt;mso-position-vertical-relative:page;margin-top:531.9pt;" coordsize="1613,35562">
                <v:rect id="Rectangle 121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211" style="position:absolute;width:43500;height:1132;left:-20422;top:132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192 </w:t>
                        </w:r>
                      </w:p>
                    </w:txbxContent>
                  </v:textbox>
                </v:rect>
                <w10:wrap type="square"/>
              </v:group>
            </w:pict>
          </mc:Fallback>
        </mc:AlternateContent>
      </w:r>
      <w:r>
        <w:rPr>
          <w:u w:val="single" w:color="000000"/>
        </w:rPr>
        <w:t>duración de 5 años salvo la previsión del artículo 29.4 de la LCSP.</w:t>
      </w:r>
      <w:r>
        <w:t xml:space="preserve"> </w:t>
      </w:r>
    </w:p>
    <w:p w:rsidR="007617AD" w:rsidRDefault="00EE75C8">
      <w:pPr>
        <w:spacing w:after="0" w:line="259" w:lineRule="auto"/>
        <w:ind w:left="10" w:right="60"/>
        <w:jc w:val="right"/>
      </w:pPr>
      <w:r>
        <w:rPr>
          <w:i/>
        </w:rPr>
        <w:t xml:space="preserve">4. Los contratos de suministros y de servicios de prestación sucesiva tendrán un plazo </w:t>
      </w:r>
    </w:p>
    <w:p w:rsidR="007617AD" w:rsidRDefault="00EE75C8">
      <w:pPr>
        <w:spacing w:after="171" w:line="248" w:lineRule="auto"/>
        <w:ind w:left="703" w:right="59"/>
      </w:pPr>
      <w:r>
        <w:rPr>
          <w:i/>
        </w:rPr>
        <w:t xml:space="preserve">máximo de duración de cinco años, incluyendo las posibles prórrogas que en aplicación del apartado </w:t>
      </w:r>
      <w:r>
        <w:rPr>
          <w:i/>
        </w:rPr>
        <w:t xml:space="preserve">segundo de este artículo acuerde el órgano de contratación, respetando las condiciones y límites establecidos en las respectivas normas presupuestarias que sean aplicables al ente contratante. </w:t>
      </w:r>
    </w:p>
    <w:p w:rsidR="007617AD" w:rsidRDefault="00EE75C8">
      <w:pPr>
        <w:spacing w:after="0" w:line="259" w:lineRule="auto"/>
        <w:ind w:left="0" w:right="72" w:firstLine="0"/>
        <w:jc w:val="right"/>
      </w:pPr>
      <w:r>
        <w:rPr>
          <w:i/>
        </w:rPr>
        <w:t>Excepcionalmente</w:t>
      </w:r>
      <w:r>
        <w:rPr>
          <w:i/>
          <w:u w:val="single" w:color="000000"/>
        </w:rPr>
        <w:t>, en los contratos de suministros y de servici</w:t>
      </w:r>
      <w:r>
        <w:rPr>
          <w:i/>
          <w:u w:val="single" w:color="000000"/>
        </w:rPr>
        <w:t>os se podrá establecer</w:t>
      </w:r>
      <w:r>
        <w:rPr>
          <w:i/>
        </w:rPr>
        <w:t xml:space="preserve"> </w:t>
      </w:r>
    </w:p>
    <w:p w:rsidR="007617AD" w:rsidRDefault="00EE75C8">
      <w:pPr>
        <w:spacing w:after="156" w:line="248" w:lineRule="auto"/>
        <w:ind w:left="703" w:right="59"/>
      </w:pPr>
      <w:r>
        <w:rPr>
          <w:i/>
          <w:u w:val="single" w:color="000000"/>
        </w:rPr>
        <w:t>un plazo de duración superior al establecido en el párrafo anterior, cuando lo exija el período de</w:t>
      </w:r>
      <w:r>
        <w:rPr>
          <w:i/>
        </w:rPr>
        <w:t xml:space="preserve"> </w:t>
      </w:r>
      <w:r>
        <w:rPr>
          <w:i/>
          <w:u w:val="single" w:color="000000"/>
        </w:rPr>
        <w:t>recuperación de las inversiones directamente relacionadas con el contrato y estas no sean susceptibles de utilizarse en el resto de l</w:t>
      </w:r>
      <w:r>
        <w:rPr>
          <w:i/>
          <w:u w:val="single" w:color="000000"/>
        </w:rPr>
        <w:t>a actividad productiva del contratista o su utilización fuera antieconómica,</w:t>
      </w:r>
      <w:r>
        <w:rPr>
          <w:i/>
        </w:rPr>
        <w:t xml:space="preserve"> siempre que la amortización de dichas inversiones sea un coste relevante en la prestación del suministro o servicio, circunstancias que deberán ser justificadas en el expediente d</w:t>
      </w:r>
      <w:r>
        <w:rPr>
          <w:i/>
        </w:rPr>
        <w:t>e contratación con indicación de las inversiones a las que se refiera y de su período de recuperación. El concepto de coste relevante en la prestación del suministro o servicio será objeto de desarrollo reglamentario.</w:t>
      </w:r>
      <w:r>
        <w:rPr>
          <w:rFonts w:ascii="Times New Roman" w:eastAsia="Times New Roman" w:hAnsi="Times New Roman" w:cs="Times New Roman"/>
          <w:sz w:val="24"/>
        </w:rPr>
        <w:t xml:space="preserve"> </w:t>
      </w:r>
    </w:p>
    <w:p w:rsidR="007617AD" w:rsidRDefault="00EE75C8">
      <w:pPr>
        <w:spacing w:after="5" w:line="265" w:lineRule="auto"/>
        <w:ind w:left="10" w:right="62"/>
        <w:jc w:val="right"/>
      </w:pPr>
      <w:r>
        <w:t>El presente contrato según los inform</w:t>
      </w:r>
      <w:r>
        <w:t xml:space="preserve">es técnicos emitidos de 3 de marzo de 2021 y 21 </w:t>
      </w:r>
    </w:p>
    <w:p w:rsidR="007617AD" w:rsidRDefault="00EE75C8">
      <w:pPr>
        <w:ind w:left="703" w:right="62"/>
      </w:pPr>
      <w:r>
        <w:t xml:space="preserve">de marzo de 2021 tiene una duración de 7 años que es el tiempo que se estima necesario para la recuperación de la inversión y cuyas conclusiones son: </w:t>
      </w:r>
    </w:p>
    <w:p w:rsidR="007617AD" w:rsidRDefault="00EE75C8">
      <w:pPr>
        <w:spacing w:after="110" w:line="248" w:lineRule="auto"/>
        <w:ind w:left="693" w:right="59" w:firstLine="1133"/>
      </w:pPr>
      <w:r>
        <w:rPr>
          <w:i/>
        </w:rPr>
        <w:t>“Conforme lo dispuesto en el artículo 29.4 de la Ley 9/2</w:t>
      </w:r>
      <w:r>
        <w:rPr>
          <w:i/>
        </w:rPr>
        <w:t>017 de Contratos del Sector Público, se recoge que un contrato de servicios se podrá establecer un plazo de duración superior al establecido cuando lo exija el periodo de recuperación de la inversión directamente relacionadas con el contrato y estas no sea</w:t>
      </w:r>
      <w:r>
        <w:rPr>
          <w:i/>
        </w:rPr>
        <w:t xml:space="preserve">n susceptibles de utilizarse en el resto de la actividad productiva del contratista o su utilización fuera antieconómica, siempre que la amortización de dichas inversiones sea un coste relevante en la prestación del suministro o servicio.  </w:t>
      </w:r>
    </w:p>
    <w:p w:rsidR="007617AD" w:rsidRDefault="00EE75C8">
      <w:pPr>
        <w:spacing w:after="110" w:line="248" w:lineRule="auto"/>
        <w:ind w:left="693" w:right="59" w:firstLine="1133"/>
      </w:pPr>
      <w:r>
        <w:rPr>
          <w:i/>
        </w:rPr>
        <w:t>La inversión in</w:t>
      </w:r>
      <w:r>
        <w:rPr>
          <w:i/>
        </w:rPr>
        <w:t xml:space="preserve">icial para este tipo de contrato es para la adquisición de contenedores, maquinaria y equipos, siendo este coste amortizable un coste relevante en el servicio. Los vehículos utilizados en el contrato se componen de cabezas tractoras y equipos, las cabezas </w:t>
      </w:r>
      <w:r>
        <w:rPr>
          <w:i/>
        </w:rPr>
        <w:t xml:space="preserve">tractoras tienen una vida útil de 10-14 años pero los equipos montados a estas (cajas compactadoras, multilifts, cubas, etc.) su vida útil se reduce a 8 años.  </w:t>
      </w:r>
    </w:p>
    <w:p w:rsidR="007617AD" w:rsidRDefault="00EE75C8">
      <w:pPr>
        <w:spacing w:after="11" w:line="248" w:lineRule="auto"/>
        <w:ind w:left="1851" w:right="59"/>
      </w:pPr>
      <w:r>
        <w:rPr>
          <w:i/>
        </w:rPr>
        <w:t xml:space="preserve">Estos equipos, a partir del año 8 los costes de mantenimiento y reparación ya son </w:t>
      </w:r>
    </w:p>
    <w:p w:rsidR="007617AD" w:rsidRDefault="00EE75C8">
      <w:pPr>
        <w:spacing w:after="110" w:line="248" w:lineRule="auto"/>
        <w:ind w:left="703" w:right="59"/>
      </w:pPr>
      <w:r>
        <w:rPr>
          <w:i/>
        </w:rPr>
        <w:t xml:space="preserve">considerables, siendo su utilización antieconómica frente a nuevos equipos con tecnologías más eficientes.  </w:t>
      </w:r>
    </w:p>
    <w:p w:rsidR="007617AD" w:rsidRDefault="00EE75C8">
      <w:pPr>
        <w:spacing w:after="27" w:line="248" w:lineRule="auto"/>
        <w:ind w:left="1851" w:right="59"/>
      </w:pPr>
      <w:r>
        <w:rPr>
          <w:i/>
        </w:rPr>
        <w:t xml:space="preserve">Por tanto, la duración del contrato tendrá una duración de 7 años como refleja el estudio </w:t>
      </w:r>
    </w:p>
    <w:p w:rsidR="007617AD" w:rsidRDefault="00EE75C8">
      <w:pPr>
        <w:spacing w:after="110" w:line="248" w:lineRule="auto"/>
        <w:ind w:left="703" w:right="59"/>
      </w:pPr>
      <w:r>
        <w:rPr>
          <w:i/>
        </w:rPr>
        <w:t xml:space="preserve">de la recuperación de la inversión”. </w:t>
      </w:r>
    </w:p>
    <w:p w:rsidR="007617AD" w:rsidRDefault="00EE75C8">
      <w:pPr>
        <w:spacing w:after="98" w:line="259" w:lineRule="auto"/>
        <w:ind w:left="1841" w:firstLine="0"/>
        <w:jc w:val="left"/>
      </w:pPr>
      <w:r>
        <w:rPr>
          <w:i/>
        </w:rPr>
        <w:t xml:space="preserve"> </w:t>
      </w:r>
    </w:p>
    <w:p w:rsidR="007617AD" w:rsidRDefault="00EE75C8">
      <w:pPr>
        <w:spacing w:after="111" w:line="249" w:lineRule="auto"/>
        <w:ind w:left="1851"/>
        <w:jc w:val="left"/>
      </w:pPr>
      <w:r>
        <w:rPr>
          <w:u w:val="single" w:color="000000"/>
        </w:rPr>
        <w:t>CUARTO.- Caracte</w:t>
      </w:r>
      <w:r>
        <w:rPr>
          <w:u w:val="single" w:color="000000"/>
        </w:rPr>
        <w:t>rísticas y naturaleza jurídica del contrato:</w:t>
      </w:r>
      <w:r>
        <w:t xml:space="preserve"> </w:t>
      </w:r>
    </w:p>
    <w:p w:rsidR="007617AD" w:rsidRDefault="00EE75C8">
      <w:pPr>
        <w:spacing w:after="11"/>
        <w:ind w:left="1851" w:right="62"/>
      </w:pPr>
      <w:r>
        <w:t xml:space="preserve">1.-Contrato de servicios: De conformidad con el artículo 17 de la LCSP es un contrato </w:t>
      </w:r>
    </w:p>
    <w:p w:rsidR="007617AD" w:rsidRDefault="00EE75C8">
      <w:pPr>
        <w:ind w:left="703" w:right="62"/>
      </w:pPr>
      <w:r>
        <w:t>de servicios aquellos cuyo objeto son prestaciones de hacer consistentes en el desarrollo de una actividad o dirigidas a la</w:t>
      </w:r>
      <w:r>
        <w:t xml:space="preserve"> obtención de un resultado distinto de una obra o suministro, incluyendo aquellos en que el adjudicatario se obligue a ejecutar el servicio de forma sucesiva y por precio unitario. </w:t>
      </w:r>
    </w:p>
    <w:p w:rsidR="007617AD" w:rsidRDefault="00EE75C8">
      <w:pPr>
        <w:spacing w:after="11"/>
        <w:ind w:left="1851" w:right="62"/>
      </w:pPr>
      <w:r>
        <w:t>Al respecto la doctrina distingue entre contrato de servicios y contrato d</w:t>
      </w:r>
      <w:r>
        <w:t xml:space="preserve">e concesión de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47232" name="Group 24723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333" name="Rectangle 1333"/>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334" name="Rectangle 1334"/>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47232" style="width:12.7031pt;height:280.02pt;position:absolute;mso-position-horizontal-relative:page;mso-position-horizontal:absolute;margin-left:682.278pt;mso-position-vertical-relative:page;margin-top:531.9pt;" coordsize="1613,35562">
                <v:rect id="Rectangle 1333"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334"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192 </w:t>
                        </w:r>
                      </w:p>
                    </w:txbxContent>
                  </v:textbox>
                </v:rect>
                <w10:wrap type="square"/>
              </v:group>
            </w:pict>
          </mc:Fallback>
        </mc:AlternateContent>
      </w:r>
      <w:r>
        <w:t xml:space="preserve">servicios siendo el elemento diferenciador de ambos la transmisión o no del riesgo operacional al contratista. </w:t>
      </w:r>
    </w:p>
    <w:p w:rsidR="007617AD" w:rsidRDefault="00EE75C8">
      <w:pPr>
        <w:spacing w:after="11"/>
        <w:ind w:left="1851" w:right="62"/>
      </w:pPr>
      <w:r>
        <w:t xml:space="preserve">En el contrato de concesión de servicios se transmite el riesgo operacional al contratista </w:t>
      </w:r>
    </w:p>
    <w:p w:rsidR="007617AD" w:rsidRDefault="00EE75C8">
      <w:pPr>
        <w:ind w:left="703" w:right="62"/>
      </w:pPr>
      <w:r>
        <w:t>mientras que en el contrato de servicios no se trans</w:t>
      </w:r>
      <w:r>
        <w:t xml:space="preserve">mite el riesgo operacional. </w:t>
      </w:r>
    </w:p>
    <w:p w:rsidR="007617AD" w:rsidRDefault="00EE75C8">
      <w:pPr>
        <w:spacing w:after="11"/>
        <w:ind w:left="1851" w:right="62"/>
      </w:pPr>
      <w:r>
        <w:t xml:space="preserve">En este caso estamos ante un contrato de servicios ya que no hay una transmisión del </w:t>
      </w:r>
    </w:p>
    <w:p w:rsidR="007617AD" w:rsidRDefault="00EE75C8">
      <w:pPr>
        <w:ind w:left="703" w:right="62"/>
      </w:pPr>
      <w:r>
        <w:t>riesgo operacional al contratista ya que por tanto está garantizado que el contratista va a recuperar las inversiones y a cubrir los costes e</w:t>
      </w:r>
      <w:r>
        <w:t>n que hubieren incurrido como consecuencia del presente contrato de servicios y se justifica en los informes técnicos existentes en el expediente de aprobación de la estructura de costes del contrato de fechas 3 de marzo y 21 de marzo de 2021 y en la aprob</w:t>
      </w:r>
      <w:r>
        <w:t xml:space="preserve">ación de la estructura de costes realizada por el Pleno de la Corporación el día 29 de abril de 2021 y conformada por la Junta Consultiva de Contratación Administrativa de fecha 8 de abril de 2022. </w:t>
      </w:r>
    </w:p>
    <w:p w:rsidR="007617AD" w:rsidRDefault="00EE75C8">
      <w:pPr>
        <w:ind w:left="693" w:right="62" w:firstLine="1133"/>
      </w:pPr>
      <w:r>
        <w:t>A este respecto destacamos la siguiente consulta de “El C</w:t>
      </w:r>
      <w:r>
        <w:t xml:space="preserve">onsultor de los Ayuntamientos y Juzgados” que se expone a continuación: </w:t>
      </w:r>
    </w:p>
    <w:p w:rsidR="007617AD" w:rsidRDefault="00EE75C8">
      <w:pPr>
        <w:spacing w:after="548"/>
        <w:ind w:left="693" w:right="62" w:firstLine="1133"/>
      </w:pPr>
      <w:r>
        <w:t>Diferencia entre contrato de servicios y contrato de concesión de servicios. Redacción de El Consultor de los Ayuntamientos. El Consultor de los Ayuntamientos, 4 de Febrero de 2018, W</w:t>
      </w:r>
      <w:r>
        <w:t xml:space="preserve">olters Kluwers. LA LEY 3086/2018. </w:t>
      </w:r>
    </w:p>
    <w:p w:rsidR="007617AD" w:rsidRDefault="00EE75C8">
      <w:pPr>
        <w:spacing w:after="248" w:line="248" w:lineRule="auto"/>
        <w:ind w:left="4122" w:right="59"/>
      </w:pPr>
      <w:r>
        <w:rPr>
          <w:i/>
        </w:rPr>
        <w:t xml:space="preserve">Antecedentes </w:t>
      </w:r>
    </w:p>
    <w:p w:rsidR="007617AD" w:rsidRDefault="00EE75C8">
      <w:pPr>
        <w:spacing w:after="441" w:line="340" w:lineRule="auto"/>
        <w:ind w:left="703" w:right="59"/>
      </w:pPr>
      <w:r>
        <w:rPr>
          <w:i/>
        </w:rPr>
        <w:t>El consultante describe que pretende abrir un procedimiento de contratación administrativa para limpieza viaria punto limpio, eliminación de pintadas y recogida de residuos sólidos urbanos. Como se va a apro</w:t>
      </w:r>
      <w:r>
        <w:rPr>
          <w:i/>
        </w:rPr>
        <w:t xml:space="preserve">bar el expediente ya vigente la </w:t>
      </w:r>
      <w:r>
        <w:rPr>
          <w:i/>
          <w:u w:val="single" w:color="000000"/>
        </w:rPr>
        <w:t>LCSP 2017 (LA LEY 17734/2017)</w:t>
      </w:r>
      <w:r>
        <w:rPr>
          <w:i/>
        </w:rPr>
        <w:t xml:space="preserve"> pregunta cómo debe tipificar el contrato como servicios  o como concesión de servicios.</w:t>
      </w:r>
      <w:r>
        <w:rPr>
          <w:rFonts w:ascii="Times New Roman" w:eastAsia="Times New Roman" w:hAnsi="Times New Roman" w:cs="Times New Roman"/>
          <w:sz w:val="24"/>
        </w:rPr>
        <w:t xml:space="preserve"> </w:t>
      </w:r>
    </w:p>
    <w:p w:rsidR="007617AD" w:rsidRDefault="00EE75C8">
      <w:pPr>
        <w:spacing w:after="237" w:line="259" w:lineRule="auto"/>
        <w:ind w:left="643" w:firstLine="0"/>
        <w:jc w:val="center"/>
      </w:pPr>
      <w:r>
        <w:rPr>
          <w:i/>
        </w:rPr>
        <w:t xml:space="preserve">Contestación </w:t>
      </w:r>
    </w:p>
    <w:p w:rsidR="007617AD" w:rsidRDefault="00EE75C8">
      <w:pPr>
        <w:spacing w:after="131" w:line="248" w:lineRule="auto"/>
        <w:ind w:left="703" w:right="59"/>
      </w:pPr>
      <w:r>
        <w:rPr>
          <w:i/>
        </w:rPr>
        <w:t xml:space="preserve">Para contestar correctamente a la consulta nos hemos de remitir a la </w:t>
      </w:r>
      <w:r>
        <w:rPr>
          <w:i/>
          <w:u w:val="single" w:color="000000"/>
        </w:rPr>
        <w:t>LCSP 2017 (LA LEY</w:t>
      </w:r>
      <w:r>
        <w:rPr>
          <w:i/>
        </w:rPr>
        <w:t xml:space="preserve"> </w:t>
      </w:r>
    </w:p>
    <w:p w:rsidR="007617AD" w:rsidRDefault="00EE75C8">
      <w:pPr>
        <w:spacing w:after="0" w:line="342" w:lineRule="auto"/>
        <w:ind w:left="703" w:right="59"/>
      </w:pPr>
      <w:r>
        <w:rPr>
          <w:i/>
          <w:u w:val="single" w:color="000000"/>
        </w:rPr>
        <w:t>177</w:t>
      </w:r>
      <w:r>
        <w:rPr>
          <w:i/>
          <w:u w:val="single" w:color="000000"/>
        </w:rPr>
        <w:t>34/2017)</w:t>
      </w:r>
      <w:r>
        <w:rPr>
          <w:i/>
        </w:rPr>
        <w:t>. En concreto, en el apartado IV de su exposición de motivos, se establece que, “en lo que respecta a los contratos de concesión de obras y de concesión de servicios merece destacarse que en ambas figuras necesariamente debe haber una transferencia</w:t>
      </w:r>
      <w:r>
        <w:rPr>
          <w:i/>
        </w:rPr>
        <w:t xml:space="preserve"> del riesgo operacional de la Administración al concesionario. Es ello consecuencia de la regulación de la </w:t>
      </w:r>
      <w:r>
        <w:rPr>
          <w:i/>
          <w:u w:val="single" w:color="000000"/>
        </w:rPr>
        <w:t>Directiva 2014/23/UE,</w:t>
      </w:r>
      <w:r>
        <w:rPr>
          <w:i/>
        </w:rPr>
        <w:t xml:space="preserve"> </w:t>
      </w:r>
      <w:r>
        <w:rPr>
          <w:i/>
          <w:u w:val="single" w:color="000000"/>
        </w:rPr>
        <w:t>de 26 de febrero de 2014 (LA LEY 4612/2014)</w:t>
      </w:r>
      <w:r>
        <w:rPr>
          <w:i/>
        </w:rPr>
        <w:t xml:space="preserve">, para la cual, como dice la citada exposición de motivos, “el criterio delimitador </w:t>
      </w:r>
      <w:r>
        <w:rPr>
          <w:i/>
        </w:rPr>
        <w:t>del contrato de concesión de servicios respecto del contrato de servicios es, como se ha dicho antes, quién asume el riesgo operacional. En el caso de que lo asuma el contratista, el contrato será de</w:t>
      </w:r>
      <w:r>
        <w:t xml:space="preserve"> </w:t>
      </w:r>
      <w:r>
        <w:rPr>
          <w:i/>
        </w:rPr>
        <w:t>concesión de servicios. Por el contrario, cuando el ries</w:t>
      </w:r>
      <w:r>
        <w:rPr>
          <w:i/>
        </w:rPr>
        <w:t>go operacional lo asuma la Administración, estaremos ante un contrato de servicios”.</w:t>
      </w:r>
      <w:r>
        <w:rPr>
          <w:rFonts w:ascii="Times New Roman" w:eastAsia="Times New Roman" w:hAnsi="Times New Roman" w:cs="Times New Roman"/>
          <w:sz w:val="24"/>
        </w:rPr>
        <w:t xml:space="preserve"> </w:t>
      </w:r>
    </w:p>
    <w:p w:rsidR="007617AD" w:rsidRDefault="00EE75C8">
      <w:pPr>
        <w:spacing w:after="24" w:line="340" w:lineRule="auto"/>
        <w:ind w:left="703" w:right="59"/>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47420" name="Group 24742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436" name="Rectangle 143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437" name="Rectangle 1437"/>
                        <wps:cNvSpPr/>
                        <wps:spPr>
                          <a:xfrm rot="-5399999">
                            <a:off x="-2066649" y="1300180"/>
                            <a:ext cx="4398923"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47420" style="width:12.7031pt;height:280.02pt;position:absolute;mso-position-horizontal-relative:page;mso-position-horizontal:absolute;margin-left:682.278pt;mso-position-vertical-relative:page;margin-top:531.9pt;" coordsize="1613,35562">
                <v:rect id="Rectangle 143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437" style="position:absolute;width:43989;height:1132;left:-20666;top:1300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192 </w:t>
                        </w:r>
                      </w:p>
                    </w:txbxContent>
                  </v:textbox>
                </v:rect>
                <w10:wrap type="square"/>
              </v:group>
            </w:pict>
          </mc:Fallback>
        </mc:AlternateContent>
      </w:r>
      <w:r>
        <w:rPr>
          <w:i/>
        </w:rPr>
        <w:t>Por tanto, no es el número de prestaciones que engloba el contrato ni el importe de las misma lo que determina su calificación jurídica sino que lo es quién asume</w:t>
      </w:r>
      <w:r>
        <w:rPr>
          <w:i/>
        </w:rPr>
        <w:t xml:space="preserve"> el riesgo operacional. Y, en este sentido, conforme al </w:t>
      </w:r>
      <w:r>
        <w:rPr>
          <w:i/>
          <w:u w:val="single" w:color="000000"/>
        </w:rPr>
        <w:t>artículo 14.4 (LA LEY 17734/2017)</w:t>
      </w:r>
      <w:r>
        <w:rPr>
          <w:i/>
        </w:rPr>
        <w:t xml:space="preserve">, segundo párrafo, de la </w:t>
      </w:r>
      <w:r>
        <w:rPr>
          <w:i/>
          <w:u w:val="single" w:color="000000"/>
        </w:rPr>
        <w:t>LCSP 2017 (LA</w:t>
      </w:r>
      <w:r>
        <w:rPr>
          <w:i/>
        </w:rPr>
        <w:t xml:space="preserve"> </w:t>
      </w:r>
    </w:p>
    <w:p w:rsidR="007617AD" w:rsidRDefault="00EE75C8">
      <w:pPr>
        <w:spacing w:after="0" w:line="343" w:lineRule="auto"/>
        <w:ind w:left="703" w:right="59"/>
      </w:pPr>
      <w:r>
        <w:rPr>
          <w:i/>
          <w:u w:val="single" w:color="000000"/>
        </w:rPr>
        <w:t>LEY 17734/2017)</w:t>
      </w:r>
      <w:r>
        <w:rPr>
          <w:i/>
        </w:rPr>
        <w:t>, “se considerará que el concesionario asume un riesgo operacional cuando no esté garantizado que, en condicione</w:t>
      </w:r>
      <w:r>
        <w:rPr>
          <w:i/>
        </w:rPr>
        <w:t>s normales de funcionamiento, el mismo vaya a recuperar las inversiones realizadas ni a cubrir los costes en que hubiera incurrido como consecuencia de la explotación de las obras que sean objeto de la concesión.  La parte de los riesgos transferidos al co</w:t>
      </w:r>
      <w:r>
        <w:rPr>
          <w:i/>
        </w:rPr>
        <w:t>ncesionario debe suponer una exposición real a las incertidumbres del mercado que implique que cualquier pérdida potencial estimada en que incurra el concesionario no es meramente nominal o desdeñable”.</w:t>
      </w:r>
      <w:r>
        <w:rPr>
          <w:rFonts w:ascii="Times New Roman" w:eastAsia="Times New Roman" w:hAnsi="Times New Roman" w:cs="Times New Roman"/>
          <w:sz w:val="24"/>
        </w:rPr>
        <w:t xml:space="preserve"> </w:t>
      </w:r>
    </w:p>
    <w:p w:rsidR="007617AD" w:rsidRDefault="00EE75C8">
      <w:pPr>
        <w:spacing w:after="0" w:line="331" w:lineRule="auto"/>
        <w:ind w:left="703" w:right="58"/>
      </w:pPr>
      <w:r>
        <w:rPr>
          <w:i/>
          <w:u w:val="single" w:color="000000"/>
        </w:rPr>
        <w:t>Por tanto, para responder al consultante: si hay tra</w:t>
      </w:r>
      <w:r>
        <w:rPr>
          <w:i/>
          <w:u w:val="single" w:color="000000"/>
        </w:rPr>
        <w:t>nsferencia de riesgo operacional al contratista,</w:t>
      </w:r>
      <w:r>
        <w:rPr>
          <w:i/>
        </w:rPr>
        <w:t xml:space="preserve"> </w:t>
      </w:r>
      <w:r>
        <w:rPr>
          <w:i/>
          <w:u w:val="single" w:color="000000"/>
        </w:rPr>
        <w:t>el contrato debe considerarse como de concesión de servicios. En caso contrario, el contrato deberá calificarse como de servicios.</w:t>
      </w:r>
      <w:r>
        <w:rPr>
          <w:rFonts w:ascii="Times New Roman" w:eastAsia="Times New Roman" w:hAnsi="Times New Roman" w:cs="Times New Roman"/>
          <w:sz w:val="24"/>
        </w:rPr>
        <w:t xml:space="preserve"> </w:t>
      </w:r>
    </w:p>
    <w:p w:rsidR="007617AD" w:rsidRDefault="00EE75C8">
      <w:pPr>
        <w:spacing w:after="100" w:line="259" w:lineRule="auto"/>
        <w:ind w:left="708" w:firstLine="0"/>
        <w:jc w:val="left"/>
      </w:pPr>
      <w:r>
        <w:t xml:space="preserve"> </w:t>
      </w:r>
    </w:p>
    <w:p w:rsidR="007617AD" w:rsidRDefault="00EE75C8">
      <w:pPr>
        <w:spacing w:after="98" w:line="259" w:lineRule="auto"/>
        <w:ind w:left="708" w:firstLine="0"/>
        <w:jc w:val="left"/>
      </w:pPr>
      <w:r>
        <w:t xml:space="preserve"> </w:t>
      </w:r>
    </w:p>
    <w:p w:rsidR="007617AD" w:rsidRDefault="00EE75C8">
      <w:pPr>
        <w:spacing w:after="98" w:line="259" w:lineRule="auto"/>
        <w:ind w:left="1841" w:firstLine="0"/>
        <w:jc w:val="left"/>
      </w:pPr>
      <w:r>
        <w:t xml:space="preserve"> </w:t>
      </w:r>
    </w:p>
    <w:p w:rsidR="007617AD" w:rsidRDefault="00EE75C8">
      <w:pPr>
        <w:spacing w:after="101" w:line="259" w:lineRule="auto"/>
        <w:ind w:left="1841" w:firstLine="0"/>
        <w:jc w:val="left"/>
      </w:pPr>
      <w:r>
        <w:t xml:space="preserve"> </w:t>
      </w:r>
    </w:p>
    <w:p w:rsidR="007617AD" w:rsidRDefault="00EE75C8">
      <w:pPr>
        <w:spacing w:after="98" w:line="259" w:lineRule="auto"/>
        <w:ind w:left="1841" w:firstLine="0"/>
        <w:jc w:val="left"/>
      </w:pPr>
      <w:r>
        <w:t xml:space="preserve"> </w:t>
      </w:r>
    </w:p>
    <w:p w:rsidR="007617AD" w:rsidRDefault="00EE75C8">
      <w:pPr>
        <w:spacing w:after="0" w:line="259" w:lineRule="auto"/>
        <w:ind w:left="1841" w:firstLine="0"/>
        <w:jc w:val="left"/>
      </w:pPr>
      <w:r>
        <w:t xml:space="preserve"> </w:t>
      </w:r>
    </w:p>
    <w:p w:rsidR="007617AD" w:rsidRDefault="00EE75C8">
      <w:pPr>
        <w:spacing w:after="100" w:line="259" w:lineRule="auto"/>
        <w:ind w:left="1841" w:firstLine="0"/>
        <w:jc w:val="left"/>
      </w:pPr>
      <w:r>
        <w:t xml:space="preserve"> </w:t>
      </w:r>
    </w:p>
    <w:p w:rsidR="007617AD" w:rsidRDefault="00EE75C8">
      <w:pPr>
        <w:spacing w:after="10" w:line="249" w:lineRule="auto"/>
        <w:ind w:left="1851"/>
        <w:jc w:val="left"/>
      </w:pPr>
      <w:r>
        <w:rPr>
          <w:u w:val="single" w:color="000000"/>
        </w:rPr>
        <w:t xml:space="preserve">QUINTO.- Pliego de </w:t>
      </w:r>
      <w:r>
        <w:rPr>
          <w:u w:val="single" w:color="000000"/>
        </w:rPr>
        <w:t>prescripciones técnicas particulares (PPTP): principales</w:t>
      </w:r>
      <w:r>
        <w:t xml:space="preserve"> </w:t>
      </w:r>
    </w:p>
    <w:p w:rsidR="007617AD" w:rsidRDefault="00EE75C8">
      <w:pPr>
        <w:spacing w:after="111" w:line="249" w:lineRule="auto"/>
        <w:ind w:left="703"/>
        <w:jc w:val="left"/>
      </w:pPr>
      <w:r>
        <w:rPr>
          <w:u w:val="single" w:color="000000"/>
        </w:rPr>
        <w:t>características:</w:t>
      </w:r>
      <w:r>
        <w:t xml:space="preserve"> </w:t>
      </w:r>
    </w:p>
    <w:p w:rsidR="007617AD" w:rsidRDefault="00EE75C8">
      <w:pPr>
        <w:ind w:left="1851" w:right="62"/>
      </w:pPr>
      <w:r>
        <w:t xml:space="preserve">1.- Objeto del contrato: recogida de residuos, limpieza viaria y limpieza del litoral. </w:t>
      </w:r>
    </w:p>
    <w:p w:rsidR="007617AD" w:rsidRDefault="00EE75C8">
      <w:pPr>
        <w:ind w:left="1851" w:right="62"/>
      </w:pPr>
      <w:r>
        <w:t xml:space="preserve">2.- Duración del contrato: 7 años. </w:t>
      </w:r>
    </w:p>
    <w:p w:rsidR="007617AD" w:rsidRDefault="00EE75C8">
      <w:pPr>
        <w:ind w:left="1851" w:right="62"/>
      </w:pPr>
      <w:r>
        <w:t>3.- Condiciones especiales de ejecución: una social y un</w:t>
      </w:r>
      <w:r>
        <w:t xml:space="preserve">a medioambiental. </w:t>
      </w:r>
    </w:p>
    <w:p w:rsidR="007617AD" w:rsidRDefault="00EE75C8">
      <w:pPr>
        <w:ind w:left="1851" w:right="62"/>
      </w:pPr>
      <w:r>
        <w:t xml:space="preserve">4.- Servicios de limpieza viaria y del litoral: se especifican y detallan. </w:t>
      </w:r>
    </w:p>
    <w:p w:rsidR="007617AD" w:rsidRDefault="00EE75C8">
      <w:pPr>
        <w:ind w:left="1851" w:right="62"/>
      </w:pPr>
      <w:r>
        <w:t xml:space="preserve">5.- Servicios de recogida y transporte de residuos: se especifican y detallan. </w:t>
      </w:r>
    </w:p>
    <w:p w:rsidR="007617AD" w:rsidRDefault="00EE75C8">
      <w:pPr>
        <w:spacing w:after="11"/>
        <w:ind w:left="1851" w:right="62"/>
      </w:pPr>
      <w:r>
        <w:t>6.- Personal y medios materiales: se especifican los medios personales que son el</w:t>
      </w:r>
      <w:r>
        <w:t xml:space="preserve"> </w:t>
      </w:r>
    </w:p>
    <w:p w:rsidR="007617AD" w:rsidRDefault="00EE75C8">
      <w:pPr>
        <w:ind w:left="703" w:right="62"/>
      </w:pPr>
      <w:r>
        <w:t xml:space="preserve">personal a subrogar y el resto del personal que se contrate por la empresa que resulte adjudicataria. Estableciendo un personal mínimo compuesto por 56 trabajadores  </w:t>
      </w:r>
    </w:p>
    <w:p w:rsidR="007617AD" w:rsidRDefault="00EE75C8">
      <w:pPr>
        <w:ind w:left="1851" w:right="62"/>
      </w:pPr>
      <w:r>
        <w:t xml:space="preserve">7.- Vehículos, maquinaria y herramientas:  </w:t>
      </w:r>
    </w:p>
    <w:p w:rsidR="007617AD" w:rsidRDefault="00EE75C8">
      <w:pPr>
        <w:spacing w:after="11"/>
        <w:ind w:left="1851" w:right="62"/>
      </w:pPr>
      <w:r>
        <w:t>-La empresa adjudicataria deberá recibir la</w:t>
      </w:r>
      <w:r>
        <w:t xml:space="preserve"> totalidad de vehículos y maquinaria </w:t>
      </w:r>
    </w:p>
    <w:p w:rsidR="007617AD" w:rsidRDefault="00EE75C8">
      <w:pPr>
        <w:ind w:left="703" w:right="62"/>
      </w:pPr>
      <w:r>
        <w:t xml:space="preserve">aportados por el Ayuntamiento debiendo asumir los costes de traspaso de la titularidad de los mismos. </w:t>
      </w:r>
    </w:p>
    <w:p w:rsidR="007617AD" w:rsidRDefault="00EE75C8">
      <w:pPr>
        <w:spacing w:after="11"/>
        <w:ind w:left="1851" w:right="62"/>
      </w:pPr>
      <w:r>
        <w:t xml:space="preserve">-Si los vehículos llegan al final de su vida útil antes de la finalización del contrato, la </w:t>
      </w:r>
    </w:p>
    <w:p w:rsidR="007617AD" w:rsidRDefault="00EE75C8">
      <w:pPr>
        <w:ind w:left="703" w:right="62"/>
      </w:pPr>
      <w:r>
        <w:t xml:space="preserve">empresa adjudicataria los dará de baja. </w:t>
      </w:r>
    </w:p>
    <w:p w:rsidR="007617AD" w:rsidRDefault="00EE75C8">
      <w:pPr>
        <w:spacing w:after="11"/>
        <w:ind w:left="1851" w:right="62"/>
      </w:pPr>
      <w:r>
        <w:t xml:space="preserve">-Los vehículos y maquinaria a emplear por la empresa tendrán que ser de nueva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49199" name="Group 24919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574" name="Rectangle 157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575" name="Rectangle 1575"/>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w:t>
                              </w:r>
                              <w:r>
                                <w:rPr>
                                  <w:sz w:val="12"/>
                                </w:rPr>
                                <w:t xml:space="preserve">e desde la plataforma esPublico Gestiona | Página 12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49199" style="width:12.7031pt;height:280.02pt;position:absolute;mso-position-horizontal-relative:page;mso-position-horizontal:absolute;margin-left:682.278pt;mso-position-vertical-relative:page;margin-top:531.9pt;" coordsize="1613,35562">
                <v:rect id="Rectangle 157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575"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192 </w:t>
                        </w:r>
                      </w:p>
                    </w:txbxContent>
                  </v:textbox>
                </v:rect>
                <w10:wrap type="square"/>
              </v:group>
            </w:pict>
          </mc:Fallback>
        </mc:AlternateContent>
      </w:r>
      <w:r>
        <w:t xml:space="preserve">adquisición. </w:t>
      </w:r>
    </w:p>
    <w:p w:rsidR="007617AD" w:rsidRDefault="00EE75C8">
      <w:pPr>
        <w:tabs>
          <w:tab w:val="center" w:pos="708"/>
          <w:tab w:val="center" w:pos="5549"/>
        </w:tabs>
        <w:ind w:left="0" w:firstLine="0"/>
        <w:jc w:val="left"/>
      </w:pPr>
      <w:r>
        <w:rPr>
          <w:rFonts w:ascii="Calibri" w:eastAsia="Calibri" w:hAnsi="Calibri" w:cs="Calibri"/>
        </w:rPr>
        <w:tab/>
      </w:r>
      <w:r>
        <w:t xml:space="preserve"> </w:t>
      </w:r>
      <w:r>
        <w:tab/>
        <w:t xml:space="preserve">-A efectos económicos, el período de amortización de los vehículos será de 10 años. </w:t>
      </w:r>
    </w:p>
    <w:p w:rsidR="007617AD" w:rsidRDefault="00EE75C8">
      <w:pPr>
        <w:ind w:left="703" w:right="62"/>
      </w:pPr>
      <w:r>
        <w:t xml:space="preserve"> -A la finalización del contrato todos los vehículos, maquinaria y equipos y herramientas rev</w:t>
      </w:r>
      <w:r>
        <w:t xml:space="preserve">ertirán al Ayuntamiento, mediante el abono del valor residual que será equivalente a la amortización pendiente de los mismos, tal y como se refleja en el estudio de costes. </w:t>
      </w:r>
    </w:p>
    <w:p w:rsidR="007617AD" w:rsidRDefault="00EE75C8">
      <w:pPr>
        <w:ind w:left="703" w:right="62"/>
      </w:pPr>
      <w:r>
        <w:t xml:space="preserve"> -Los vehículos, maquinaria, equipos y herramientas revertirán en perfecto estado </w:t>
      </w:r>
      <w:r>
        <w:t xml:space="preserve">de uso y conservación, libre de cargas, corriendo a cargo de la empresa adjudicataria la gestión y los gastos de tramitación de la transmisión, sin tener derecho a abono de comisiones o gastos adicionales. Con licencia de uso software en vigor. </w:t>
      </w:r>
    </w:p>
    <w:p w:rsidR="007617AD" w:rsidRDefault="00EE75C8">
      <w:pPr>
        <w:ind w:left="703" w:right="62"/>
      </w:pPr>
      <w:r>
        <w:t xml:space="preserve"> -Concienc</w:t>
      </w:r>
      <w:r>
        <w:t xml:space="preserve">iación medioambiental: se dispondrá de una partida económica como mínimo de 15.000 euros anuales.  </w:t>
      </w:r>
    </w:p>
    <w:p w:rsidR="007617AD" w:rsidRDefault="00EE75C8">
      <w:pPr>
        <w:ind w:left="703" w:right="62"/>
      </w:pPr>
      <w:r>
        <w:t xml:space="preserve"> -Medición y abono de los servicios: se establecen los criterios para la medición y el abono de los servicios. </w:t>
      </w:r>
    </w:p>
    <w:p w:rsidR="007617AD" w:rsidRDefault="00EE75C8">
      <w:pPr>
        <w:spacing w:after="98" w:line="259" w:lineRule="auto"/>
        <w:ind w:left="708" w:firstLine="0"/>
        <w:jc w:val="left"/>
      </w:pPr>
      <w:r>
        <w:t xml:space="preserve"> </w:t>
      </w:r>
    </w:p>
    <w:p w:rsidR="007617AD" w:rsidRDefault="00EE75C8">
      <w:pPr>
        <w:spacing w:after="111" w:line="249" w:lineRule="auto"/>
        <w:ind w:left="1851"/>
        <w:jc w:val="left"/>
      </w:pPr>
      <w:r>
        <w:rPr>
          <w:u w:val="single" w:color="000000"/>
        </w:rPr>
        <w:t>SEXTO.- Anexos:</w:t>
      </w:r>
      <w:r>
        <w:t xml:space="preserve">  </w:t>
      </w:r>
    </w:p>
    <w:p w:rsidR="007617AD" w:rsidRDefault="00EE75C8">
      <w:pPr>
        <w:spacing w:after="111" w:line="249" w:lineRule="auto"/>
        <w:ind w:left="703"/>
        <w:jc w:val="left"/>
      </w:pPr>
      <w:r>
        <w:rPr>
          <w:u w:val="single" w:color="000000"/>
        </w:rPr>
        <w:t>Anexo 1: Personal a subr</w:t>
      </w:r>
      <w:r>
        <w:rPr>
          <w:u w:val="single" w:color="000000"/>
        </w:rPr>
        <w:t>ogar y convenio de trabajadores.</w:t>
      </w:r>
      <w:r>
        <w:t xml:space="preserve"> </w:t>
      </w:r>
    </w:p>
    <w:p w:rsidR="007617AD" w:rsidRDefault="00EE75C8">
      <w:pPr>
        <w:ind w:left="703" w:right="62"/>
      </w:pPr>
      <w:r>
        <w:t xml:space="preserve">Es de aplicación el artículo 130 del PCAP que establece: </w:t>
      </w:r>
    </w:p>
    <w:p w:rsidR="007617AD" w:rsidRDefault="00EE75C8">
      <w:pPr>
        <w:ind w:left="1426" w:right="62"/>
      </w:pPr>
      <w:r>
        <w:t xml:space="preserve">130 de la LCSP: </w:t>
      </w:r>
    </w:p>
    <w:p w:rsidR="007617AD" w:rsidRDefault="00EE75C8">
      <w:pPr>
        <w:spacing w:after="170" w:line="248" w:lineRule="auto"/>
        <w:ind w:left="693" w:right="58" w:firstLine="708"/>
      </w:pPr>
      <w:r>
        <w:rPr>
          <w:i/>
        </w:rPr>
        <w:t xml:space="preserve">1. Cuando una norma legal un convenio colectivo o un acuerdo de negociación colectiva de eficacia general, imponga al adjudicatario la obligación de subrogarse como empleador en determinadas relaciones laborales, </w:t>
      </w:r>
      <w:r>
        <w:rPr>
          <w:i/>
          <w:u w:val="single" w:color="000000"/>
        </w:rPr>
        <w:t>los servicios dependientes del órgano de co</w:t>
      </w:r>
      <w:r>
        <w:rPr>
          <w:i/>
          <w:u w:val="single" w:color="000000"/>
        </w:rPr>
        <w:t>ntratación deberán</w:t>
      </w:r>
      <w:r>
        <w:rPr>
          <w:i/>
        </w:rPr>
        <w:t xml:space="preserve"> </w:t>
      </w:r>
      <w:r>
        <w:rPr>
          <w:i/>
          <w:u w:val="single" w:color="000000"/>
        </w:rPr>
        <w:t>facilitar a los licitadores, en el propio pliego, la información sobre las condiciones de los contratos</w:t>
      </w:r>
      <w:r>
        <w:rPr>
          <w:i/>
        </w:rPr>
        <w:t xml:space="preserve"> </w:t>
      </w:r>
      <w:r>
        <w:rPr>
          <w:i/>
          <w:u w:val="single" w:color="000000"/>
        </w:rPr>
        <w:t>de los trabajadores a los que afecte la subrogación que resulte necesaria para permitir una exacta</w:t>
      </w:r>
      <w:r>
        <w:rPr>
          <w:i/>
        </w:rPr>
        <w:t xml:space="preserve"> </w:t>
      </w:r>
      <w:r>
        <w:rPr>
          <w:i/>
          <w:u w:val="single" w:color="000000"/>
        </w:rPr>
        <w:t>evaluación de los costes laborales que implicará tal medida, debiendo hacer constar igualmente</w:t>
      </w:r>
      <w:r>
        <w:rPr>
          <w:i/>
        </w:rPr>
        <w:t xml:space="preserve"> </w:t>
      </w:r>
      <w:r>
        <w:rPr>
          <w:i/>
          <w:u w:val="single" w:color="000000"/>
        </w:rPr>
        <w:t>que tal información se facilita en cumplimiento de lo previsto en el presente artículo.</w:t>
      </w:r>
      <w:r>
        <w:t xml:space="preserve"> </w:t>
      </w:r>
    </w:p>
    <w:p w:rsidR="007617AD" w:rsidRDefault="00EE75C8">
      <w:pPr>
        <w:spacing w:after="153" w:line="248" w:lineRule="auto"/>
        <w:ind w:left="693" w:right="59" w:firstLine="360"/>
      </w:pPr>
      <w:r>
        <w:rPr>
          <w:i/>
          <w:u w:val="single" w:color="000000"/>
        </w:rPr>
        <w:t xml:space="preserve">A estos efectos, la empresa que viniese efectuando la prestación objeto </w:t>
      </w:r>
      <w:r>
        <w:rPr>
          <w:i/>
          <w:u w:val="single" w:color="000000"/>
        </w:rPr>
        <w:t>del contrato a adjudicar</w:t>
      </w:r>
      <w:r>
        <w:rPr>
          <w:i/>
        </w:rPr>
        <w:t xml:space="preserve"> </w:t>
      </w:r>
      <w:r>
        <w:rPr>
          <w:i/>
          <w:u w:val="single" w:color="000000"/>
        </w:rPr>
        <w:t>y que tenga la condición de empleadora de los trabajadores afectados estará obligada a proporcionar la referida información al órgano de contratación, a requerimiento de este.</w:t>
      </w:r>
      <w:r>
        <w:rPr>
          <w:i/>
        </w:rPr>
        <w:t xml:space="preserve"> Como parte de esta información en todo caso se deberán </w:t>
      </w:r>
      <w:r>
        <w:rPr>
          <w:i/>
        </w:rPr>
        <w:t>aportar los listados del personal objeto de subrogación, indicándose: el convenio colectivo de aplicación y los detalles de categoría, tipo de contrato, jornada, fecha de antigüedad, vencimiento del contrato, salario bruto anual de cada trabajador, así com</w:t>
      </w:r>
      <w:r>
        <w:rPr>
          <w:i/>
        </w:rPr>
        <w:t>o todos los pactos en vigor aplicables a los trabajadores a los que afecte la subrogación. La Administración comunicará al nuevo empresario la información que le hubiere sido facilitada por el anterior contratista.</w:t>
      </w:r>
      <w:r>
        <w:rPr>
          <w:rFonts w:ascii="Times New Roman" w:eastAsia="Times New Roman" w:hAnsi="Times New Roman" w:cs="Times New Roman"/>
          <w:sz w:val="24"/>
        </w:rPr>
        <w:t xml:space="preserve"> </w:t>
      </w:r>
    </w:p>
    <w:p w:rsidR="007617AD" w:rsidRDefault="00EE75C8">
      <w:pPr>
        <w:spacing w:after="183"/>
        <w:ind w:left="693" w:right="62" w:firstLine="360"/>
      </w:pPr>
      <w:r>
        <w:t>Consta en el expediente la información s</w:t>
      </w:r>
      <w:r>
        <w:t xml:space="preserve">uministrada por el actual adjudicatario del contrato según escrito de 25 de mayo de 2022 con el siguiente asunto: </w:t>
      </w:r>
      <w:r>
        <w:rPr>
          <w:rFonts w:ascii="Times New Roman" w:eastAsia="Times New Roman" w:hAnsi="Times New Roman" w:cs="Times New Roman"/>
          <w:sz w:val="24"/>
        </w:rPr>
        <w:t xml:space="preserve"> </w:t>
      </w:r>
    </w:p>
    <w:p w:rsidR="007617AD" w:rsidRDefault="00EE75C8">
      <w:pPr>
        <w:spacing w:after="11"/>
        <w:ind w:left="1851" w:right="62"/>
      </w:pPr>
      <w:r>
        <w:t xml:space="preserve">“Relación personal, coste laboral para el año 2022 y coste de los incrementos salariales </w:t>
      </w:r>
    </w:p>
    <w:p w:rsidR="007617AD" w:rsidRDefault="00EE75C8">
      <w:pPr>
        <w:ind w:left="703" w:right="62"/>
      </w:pPr>
      <w:r>
        <w:t xml:space="preserve">devengados durante los años 2020, 2021 y 2022 por </w:t>
      </w:r>
      <w:r>
        <w:t>la Plantilla de Personal adscrita al centro de trabajo de Urbaser en el municipio de Candelaria para la presentación de los servicios de recogida de residuos urbanos, limpieza viaria, limpieza de centros y dependencias municipales y otros servicios en dich</w:t>
      </w:r>
      <w:r>
        <w:t xml:space="preserve">o municipio” </w:t>
      </w:r>
    </w:p>
    <w:p w:rsidR="007617AD" w:rsidRDefault="00EE75C8">
      <w:pPr>
        <w:spacing w:after="11"/>
        <w:ind w:left="1851" w:right="62"/>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49507" name="Group 24950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690" name="Rectangle 169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691" name="Rectangle 1691"/>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49507" style="width:12.7031pt;height:280.02pt;position:absolute;mso-position-horizontal-relative:page;mso-position-horizontal:absolute;margin-left:682.278pt;mso-position-vertical-relative:page;margin-top:531.9pt;" coordsize="1613,35562">
                <v:rect id="Rectangle 169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691"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192 </w:t>
                        </w:r>
                      </w:p>
                    </w:txbxContent>
                  </v:textbox>
                </v:rect>
                <w10:wrap type="square"/>
              </v:group>
            </w:pict>
          </mc:Fallback>
        </mc:AlternateContent>
      </w:r>
      <w:r>
        <w:t>El escrito consta de dos Anexos, ya que el co</w:t>
      </w:r>
      <w:r>
        <w:t xml:space="preserve">ntrato vigente desde el año 2000 abarca </w:t>
      </w:r>
    </w:p>
    <w:p w:rsidR="007617AD" w:rsidRDefault="00EE75C8">
      <w:pPr>
        <w:ind w:left="703" w:right="62"/>
      </w:pPr>
      <w:r>
        <w:t xml:space="preserve">tanto los servicios de recogida de residuos y limpieza viaria como los servicios de limpieza de edificios, locales y dependencias municipales, centros docentes y colegios públicos. </w:t>
      </w:r>
    </w:p>
    <w:p w:rsidR="007617AD" w:rsidRDefault="00EE75C8">
      <w:pPr>
        <w:spacing w:after="11"/>
        <w:ind w:left="1851" w:right="62"/>
      </w:pPr>
      <w:r>
        <w:t>Sólo el personal que figura en el</w:t>
      </w:r>
      <w:r>
        <w:t xml:space="preserve"> Anexo 1 es el que es objeto de subrogación ya que </w:t>
      </w:r>
    </w:p>
    <w:p w:rsidR="007617AD" w:rsidRDefault="00EE75C8">
      <w:pPr>
        <w:ind w:left="703" w:right="62"/>
      </w:pPr>
      <w:r>
        <w:t xml:space="preserve">abarca el objeto del contrato consistente en:  </w:t>
      </w:r>
    </w:p>
    <w:p w:rsidR="007617AD" w:rsidRDefault="00EE75C8">
      <w:pPr>
        <w:spacing w:after="11"/>
        <w:ind w:left="1851" w:right="62"/>
      </w:pPr>
      <w:r>
        <w:t xml:space="preserve">“Relación coste laboral para el año 2022 y coste de los incrementos salariales </w:t>
      </w:r>
    </w:p>
    <w:p w:rsidR="007617AD" w:rsidRDefault="00EE75C8">
      <w:pPr>
        <w:ind w:left="703" w:right="62"/>
      </w:pPr>
      <w:r>
        <w:t>devengados durante los años 2020, 2021 y 2022 de la plantilla de Urbaser, S. A. centro de trabajo de la Villa de Candelaria (Tenerife), adscrito a los servicios de recogida de residuos sólidos urbanos y/o asimilables a estos y transporte de los mismos, col</w:t>
      </w:r>
      <w:r>
        <w:t>ocación, mantenimiento y lavado de contenedores, limpieza viaria, limpieza de jardines y zonas ajardinadas públicas del Ayuntamiento de la Villa de Candelaria, que cumplen los requisitos de subrogación en los servicios, según el convenio colectivo de Urbas</w:t>
      </w:r>
      <w:r>
        <w:t xml:space="preserve">er S.A.” </w:t>
      </w:r>
    </w:p>
    <w:p w:rsidR="007617AD" w:rsidRDefault="00EE75C8">
      <w:pPr>
        <w:spacing w:after="11"/>
        <w:ind w:left="1851" w:right="62"/>
      </w:pPr>
      <w:r>
        <w:t xml:space="preserve">El personal que figura en el Anexo 2 no es objeto de subrogación ya que será objeto </w:t>
      </w:r>
    </w:p>
    <w:p w:rsidR="007617AD" w:rsidRDefault="00EE75C8">
      <w:pPr>
        <w:ind w:left="703" w:right="62"/>
      </w:pPr>
      <w:r>
        <w:t xml:space="preserve">de una licitación distinta. </w:t>
      </w:r>
    </w:p>
    <w:p w:rsidR="007617AD" w:rsidRDefault="00EE75C8">
      <w:pPr>
        <w:ind w:left="1851" w:right="62"/>
      </w:pPr>
      <w:r>
        <w:t xml:space="preserve">Se adjunta igualmente el convenio colectivo vigente de fecha 9 de agosto de 2019. </w:t>
      </w:r>
    </w:p>
    <w:p w:rsidR="007617AD" w:rsidRDefault="00EE75C8">
      <w:pPr>
        <w:spacing w:after="11"/>
        <w:ind w:left="1851" w:right="62"/>
      </w:pPr>
      <w:r>
        <w:t>A este respecto destacamos este artículo doctrina</w:t>
      </w:r>
      <w:r>
        <w:t xml:space="preserve">l sobre la información incluida en los </w:t>
      </w:r>
    </w:p>
    <w:p w:rsidR="007617AD" w:rsidRDefault="00EE75C8">
      <w:pPr>
        <w:ind w:left="703" w:right="62"/>
      </w:pPr>
      <w:r>
        <w:t xml:space="preserve">pliegos sobre el personal a subrogar que dice lo siguiente: </w:t>
      </w:r>
    </w:p>
    <w:p w:rsidR="007617AD" w:rsidRDefault="00EE75C8">
      <w:pPr>
        <w:spacing w:after="0" w:line="248" w:lineRule="auto"/>
        <w:ind w:left="703" w:right="59"/>
      </w:pPr>
      <w:r>
        <w:rPr>
          <w:i/>
        </w:rPr>
        <w:t>Información que debe incluirse en el pliego en los casos en que exista obligación de subrogación de acuerdo con lo dispuesto en el artículo 130 LCSP:</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i/>
        </w:rPr>
        <w:t xml:space="preserve">Por </w:t>
      </w:r>
      <w:r>
        <w:rPr>
          <w:i/>
          <w:color w:val="B40031"/>
          <w:u w:val="single" w:color="B40031"/>
        </w:rPr>
        <w:t>María Asunción Sanmartín Mora</w:t>
      </w:r>
      <w:r>
        <w:rPr>
          <w:rFonts w:ascii="Times New Roman" w:eastAsia="Times New Roman" w:hAnsi="Times New Roman" w:cs="Times New Roman"/>
          <w:sz w:val="24"/>
        </w:rPr>
        <w:t xml:space="preserve"> </w:t>
      </w:r>
    </w:p>
    <w:p w:rsidR="007617AD" w:rsidRDefault="00EE75C8">
      <w:pPr>
        <w:spacing w:after="11" w:line="248" w:lineRule="auto"/>
        <w:ind w:left="703" w:right="59"/>
      </w:pPr>
      <w:r>
        <w:rPr>
          <w:i/>
        </w:rPr>
        <w:t xml:space="preserve">17/03/2021 </w:t>
      </w:r>
    </w:p>
    <w:p w:rsidR="007617AD" w:rsidRDefault="00EE75C8">
      <w:pPr>
        <w:spacing w:after="299" w:line="239" w:lineRule="auto"/>
        <w:ind w:left="703"/>
        <w:jc w:val="left"/>
      </w:pPr>
      <w:r>
        <w:rPr>
          <w:i/>
        </w:rPr>
        <w:t xml:space="preserve">Resoluciones 1398/2020 y 1406/2020 Tribunal Administrativo Central de Recursos Contractuales El articulo 130 LCSP establece la obligación de facilitar, cuando una norma legal un convenio colectivo o un acuerdo de </w:t>
      </w:r>
      <w:r>
        <w:rPr>
          <w:i/>
        </w:rPr>
        <w:t>negociación colectiva de eficacia general, imponga al adjudicatario la obligación de subrogarse como empleador en determinadas relaciones laborales, la información sobre las condiciones de los contratos de los trabajadores a los que afecte la subrogación q</w:t>
      </w:r>
      <w:r>
        <w:rPr>
          <w:i/>
        </w:rPr>
        <w:t xml:space="preserve">ue resulte necesaria para permitir una exacta evaluación de los costes laborales que implicará tal medida. </w:t>
      </w:r>
    </w:p>
    <w:p w:rsidR="007617AD" w:rsidRDefault="00EE75C8">
      <w:pPr>
        <w:spacing w:after="273" w:line="248" w:lineRule="auto"/>
        <w:ind w:left="703" w:right="59"/>
      </w:pPr>
      <w:r>
        <w:rPr>
          <w:i/>
        </w:rPr>
        <w:t>La relevancia de las obligaciones que impone es articulo 130 LCSP es máxima, por cuanto como ha señalado el Tribunal Administrativo Central de Recur</w:t>
      </w:r>
      <w:r>
        <w:rPr>
          <w:i/>
        </w:rPr>
        <w:t>sos Contractuales en la resolución 410/2020, la falta de inclusión de la cláusula de subrogación y la omisión de información es un defecto insubsanable atinente a la preparación de los contratos que justifica, conforme al artículo 152.4 LCSP, el desistimie</w:t>
      </w:r>
      <w:r>
        <w:rPr>
          <w:i/>
        </w:rPr>
        <w:t>nto.</w:t>
      </w:r>
      <w:r>
        <w:rPr>
          <w:rFonts w:ascii="Times New Roman" w:eastAsia="Times New Roman" w:hAnsi="Times New Roman" w:cs="Times New Roman"/>
          <w:sz w:val="24"/>
        </w:rPr>
        <w:t xml:space="preserve"> </w:t>
      </w:r>
    </w:p>
    <w:p w:rsidR="007617AD" w:rsidRDefault="00EE75C8">
      <w:pPr>
        <w:spacing w:after="294" w:line="248" w:lineRule="auto"/>
        <w:ind w:left="703" w:right="59"/>
      </w:pPr>
      <w:r>
        <w:rPr>
          <w:i/>
        </w:rPr>
        <w:t xml:space="preserve">Sobre la concreta información que debe incluirse en el pliego en cumplimiento del artículo 130 se ha pronunciado la Junta Consultiva de Contratación Pública del Estado, y el Tribunal Administrativo Central de Recursos Contractuales también ha fijado </w:t>
      </w:r>
      <w:r>
        <w:rPr>
          <w:i/>
        </w:rPr>
        <w:t xml:space="preserve">algunos criterios al respecto. </w:t>
      </w:r>
    </w:p>
    <w:p w:rsidR="007617AD" w:rsidRDefault="00EE75C8">
      <w:pPr>
        <w:spacing w:after="289" w:line="248" w:lineRule="auto"/>
        <w:ind w:left="703" w:right="59"/>
      </w:pPr>
      <w:r>
        <w:rPr>
          <w:i/>
        </w:rPr>
        <w:t xml:space="preserve">El informe 35/19 de Junta Consultiva de Contratación Pública del Estado señala que esta información es una lista abierta, debe incluir la documentación que enumera el articulo 130 como mínimo, y la que el órgano de contratación o los licitadores soliciten </w:t>
      </w:r>
      <w:r>
        <w:rPr>
          <w:i/>
        </w:rPr>
        <w:t xml:space="preserve">para la “exacta evaluación de los costes laborales”. Esta información comprendería: </w:t>
      </w:r>
    </w:p>
    <w:p w:rsidR="007617AD" w:rsidRDefault="00EE75C8">
      <w:pPr>
        <w:numPr>
          <w:ilvl w:val="0"/>
          <w:numId w:val="5"/>
        </w:numPr>
        <w:spacing w:after="131" w:line="248" w:lineRule="auto"/>
        <w:ind w:right="59" w:hanging="360"/>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48939" name="Group 24893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819" name="Rectangle 181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820" name="Rectangle 1820"/>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48939" style="width:12.7031pt;height:280.02pt;position:absolute;mso-position-horizontal-relative:page;mso-position-horizontal:absolute;margin-left:682.278pt;mso-position-vertical-relative:page;margin-top:531.9pt;" coordsize="1613,35562">
                <v:rect id="Rectangle 181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820"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192 </w:t>
                        </w:r>
                      </w:p>
                    </w:txbxContent>
                  </v:textbox>
                </v:rect>
                <w10:wrap type="square"/>
              </v:group>
            </w:pict>
          </mc:Fallback>
        </mc:AlternateContent>
      </w:r>
      <w:r>
        <w:rPr>
          <w:i/>
        </w:rPr>
        <w:t xml:space="preserve">El convenio colectivo sectorial del que emana la subrogación. </w:t>
      </w:r>
    </w:p>
    <w:p w:rsidR="007617AD" w:rsidRDefault="00EE75C8">
      <w:pPr>
        <w:numPr>
          <w:ilvl w:val="0"/>
          <w:numId w:val="5"/>
        </w:numPr>
        <w:spacing w:after="133" w:line="248" w:lineRule="auto"/>
        <w:ind w:right="59" w:hanging="360"/>
      </w:pPr>
      <w:r>
        <w:rPr>
          <w:i/>
        </w:rPr>
        <w:t xml:space="preserve">La identificación de los trabajadores que actualmente están vinculados con la prestación. </w:t>
      </w:r>
    </w:p>
    <w:p w:rsidR="007617AD" w:rsidRDefault="00EE75C8">
      <w:pPr>
        <w:numPr>
          <w:ilvl w:val="0"/>
          <w:numId w:val="5"/>
        </w:numPr>
        <w:spacing w:after="144" w:line="248" w:lineRule="auto"/>
        <w:ind w:right="59" w:hanging="360"/>
      </w:pPr>
      <w:r>
        <w:rPr>
          <w:i/>
        </w:rPr>
        <w:t>Los dato</w:t>
      </w:r>
      <w:r>
        <w:rPr>
          <w:i/>
        </w:rPr>
        <w:t xml:space="preserve">s que tienen relación con el cumplimiento de los requisitos que los convenios colectivos de ámbito superior al de empresa establezcan para ser subrogados. </w:t>
      </w:r>
    </w:p>
    <w:p w:rsidR="007617AD" w:rsidRDefault="00EE75C8">
      <w:pPr>
        <w:numPr>
          <w:ilvl w:val="0"/>
          <w:numId w:val="5"/>
        </w:numPr>
        <w:spacing w:after="133" w:line="248" w:lineRule="auto"/>
        <w:ind w:right="59" w:hanging="360"/>
      </w:pPr>
      <w:r>
        <w:rPr>
          <w:i/>
        </w:rPr>
        <w:t xml:space="preserve">La actividad económica de la empresa y la ocupación de cada trabajador </w:t>
      </w:r>
    </w:p>
    <w:p w:rsidR="007617AD" w:rsidRDefault="00EE75C8">
      <w:pPr>
        <w:numPr>
          <w:ilvl w:val="0"/>
          <w:numId w:val="5"/>
        </w:numPr>
        <w:spacing w:after="145" w:line="248" w:lineRule="auto"/>
        <w:ind w:right="59" w:hanging="360"/>
      </w:pPr>
      <w:r>
        <w:rPr>
          <w:i/>
        </w:rPr>
        <w:t>El tipo de contrato, categor</w:t>
      </w:r>
      <w:r>
        <w:rPr>
          <w:i/>
        </w:rPr>
        <w:t xml:space="preserve">ía, jornada, fecha de antigüedad, vencimiento del contrato, salario bruto anual de cada trabajador. También sería oportuno mencionar las situaciones de baja o incapacidad o excedencia que les afecten a los efectos del cálculo del coste salarial, que puede </w:t>
      </w:r>
      <w:r>
        <w:rPr>
          <w:i/>
        </w:rPr>
        <w:t xml:space="preserve">ser menor o no existir. </w:t>
      </w:r>
    </w:p>
    <w:p w:rsidR="007617AD" w:rsidRDefault="00EE75C8">
      <w:pPr>
        <w:numPr>
          <w:ilvl w:val="0"/>
          <w:numId w:val="5"/>
        </w:numPr>
        <w:spacing w:after="133" w:line="248" w:lineRule="auto"/>
        <w:ind w:right="59" w:hanging="360"/>
      </w:pPr>
      <w:r>
        <w:rPr>
          <w:i/>
        </w:rPr>
        <w:t xml:space="preserve">La existencia de otros pluses o complementos. </w:t>
      </w:r>
    </w:p>
    <w:p w:rsidR="007617AD" w:rsidRDefault="00EE75C8">
      <w:pPr>
        <w:spacing w:after="292" w:line="248" w:lineRule="auto"/>
        <w:ind w:left="703" w:right="59"/>
      </w:pPr>
      <w:r>
        <w:rPr>
          <w:i/>
        </w:rPr>
        <w:t xml:space="preserve">Quedan excluidas de este deber de información: </w:t>
      </w:r>
    </w:p>
    <w:p w:rsidR="007617AD" w:rsidRDefault="00EE75C8">
      <w:pPr>
        <w:numPr>
          <w:ilvl w:val="0"/>
          <w:numId w:val="5"/>
        </w:numPr>
        <w:spacing w:after="146" w:line="248" w:lineRule="auto"/>
        <w:ind w:right="59" w:hanging="360"/>
      </w:pPr>
      <w:r>
        <w:rPr>
          <w:i/>
        </w:rPr>
        <w:t xml:space="preserve">Las circunstancias relacionadas con la ejecución del anterior contrato que no tengan una repercusión cierta en los costes laborales del nuevo ( en el mismo sentido se pronunció el Tribunal Central de Recursos Contractuales en su Resolución 729/2018) </w:t>
      </w:r>
    </w:p>
    <w:p w:rsidR="007617AD" w:rsidRDefault="00EE75C8">
      <w:pPr>
        <w:numPr>
          <w:ilvl w:val="0"/>
          <w:numId w:val="5"/>
        </w:numPr>
        <w:spacing w:after="146" w:line="248" w:lineRule="auto"/>
        <w:ind w:right="59" w:hanging="360"/>
      </w:pPr>
      <w:r>
        <w:rPr>
          <w:i/>
        </w:rPr>
        <w:t>El po</w:t>
      </w:r>
      <w:r>
        <w:rPr>
          <w:i/>
        </w:rPr>
        <w:t xml:space="preserve">rcentaje medio de absentismo del último año de ejecución del servicio y de la información sobre si el contratista saliente se encuentra en situación de concurso de acreedores voluntario o necesario. </w:t>
      </w:r>
    </w:p>
    <w:p w:rsidR="007617AD" w:rsidRDefault="00EE75C8">
      <w:pPr>
        <w:numPr>
          <w:ilvl w:val="0"/>
          <w:numId w:val="5"/>
        </w:numPr>
        <w:spacing w:after="110" w:line="248" w:lineRule="auto"/>
        <w:ind w:right="59" w:hanging="360"/>
      </w:pPr>
      <w:r>
        <w:rPr>
          <w:i/>
        </w:rPr>
        <w:t>Certificaciones de estar al corriente de las obligacione</w:t>
      </w:r>
      <w:r>
        <w:rPr>
          <w:i/>
        </w:rPr>
        <w:t xml:space="preserve">s tributarias y de la acreditación de los ingresos a cuenta del IRPF. </w:t>
      </w:r>
    </w:p>
    <w:p w:rsidR="007617AD" w:rsidRDefault="00EE75C8">
      <w:pPr>
        <w:spacing w:after="299" w:line="239" w:lineRule="auto"/>
        <w:ind w:left="703"/>
        <w:jc w:val="left"/>
      </w:pPr>
      <w:r>
        <w:rPr>
          <w:i/>
        </w:rPr>
        <w:t>El Tribunal Administrativo Central de Recursos Contractuales se ha pronunciado en varias resoluciones del año 2020 sobre otros aspectos de la información a aportar en relación con la su</w:t>
      </w:r>
      <w:r>
        <w:rPr>
          <w:i/>
        </w:rPr>
        <w:t xml:space="preserve">brogación. </w:t>
      </w:r>
    </w:p>
    <w:p w:rsidR="007617AD" w:rsidRDefault="00EE75C8">
      <w:pPr>
        <w:spacing w:after="294" w:line="248" w:lineRule="auto"/>
        <w:ind w:left="703" w:right="59"/>
      </w:pPr>
      <w:r>
        <w:rPr>
          <w:i/>
        </w:rPr>
        <w:t xml:space="preserve">Así, en la resolución 1398/2020 señala que la ley no impone la obligación de informar de cuántos trabajadores son discapacitados de los incluidos en la relación de trabajadores subrogables y si están o no bonificados. </w:t>
      </w:r>
    </w:p>
    <w:p w:rsidR="007617AD" w:rsidRDefault="00EE75C8">
      <w:pPr>
        <w:spacing w:after="0" w:line="248" w:lineRule="auto"/>
        <w:ind w:left="703" w:right="59"/>
      </w:pPr>
      <w:r>
        <w:rPr>
          <w:i/>
        </w:rPr>
        <w:t>En la resolución 1406/202</w:t>
      </w:r>
      <w:r>
        <w:rPr>
          <w:i/>
        </w:rPr>
        <w:t>0 entiende que no es necesario incluir la información de condición de representante de los trabajadores, porque el crédito de horas se pierde con la subrogación, manteniendo los trabajadores sólo determinadas garantías de conservación del puesto de trabajo</w:t>
      </w:r>
      <w:r>
        <w:rPr>
          <w:i/>
        </w:rPr>
        <w:t xml:space="preserve">. </w:t>
      </w:r>
    </w:p>
    <w:p w:rsidR="007617AD" w:rsidRDefault="00EE75C8">
      <w:pPr>
        <w:spacing w:after="98" w:line="259" w:lineRule="auto"/>
        <w:ind w:left="708" w:firstLine="0"/>
        <w:jc w:val="left"/>
      </w:pPr>
      <w:r>
        <w:rPr>
          <w:i/>
        </w:rPr>
        <w:t xml:space="preserve"> </w:t>
      </w:r>
    </w:p>
    <w:p w:rsidR="007617AD" w:rsidRDefault="00EE75C8">
      <w:pPr>
        <w:spacing w:after="109" w:line="250" w:lineRule="auto"/>
        <w:ind w:left="703"/>
        <w:jc w:val="left"/>
      </w:pPr>
      <w:r>
        <w:rPr>
          <w:color w:val="0000FF"/>
          <w:u w:val="single" w:color="0000FF"/>
        </w:rPr>
        <w:t>http://www.obcp.es/sites/default/files/2021-03/Recurso%201166-2020%20CLM%20892020%20%28Res.%201398%29%2030-12-2020.pdf</w:t>
      </w:r>
      <w:r>
        <w:t xml:space="preserve"> </w:t>
      </w:r>
    </w:p>
    <w:p w:rsidR="007617AD" w:rsidRDefault="00EE75C8">
      <w:pPr>
        <w:spacing w:after="11"/>
        <w:ind w:left="703" w:right="62"/>
      </w:pPr>
      <w:r>
        <w:t xml:space="preserve">Recurso nº 1166/2020 C.A. Castilla-La Mancha 89/2020 Resolución nº 1398/2020 RESOLUCIÓN </w:t>
      </w:r>
    </w:p>
    <w:p w:rsidR="007617AD" w:rsidRDefault="00EE75C8">
      <w:pPr>
        <w:ind w:left="703" w:right="62"/>
      </w:pPr>
      <w:r>
        <w:t>DEL TRIBUNAL ADMINISTRATIVO CENTRAL DE REC</w:t>
      </w:r>
      <w:r>
        <w:t xml:space="preserve">URSOS CONTRACTUALES </w:t>
      </w:r>
    </w:p>
    <w:p w:rsidR="007617AD" w:rsidRDefault="00EE75C8">
      <w:pPr>
        <w:spacing w:after="110" w:line="248" w:lineRule="auto"/>
        <w:ind w:left="703" w:right="59"/>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49799" name="Group 24979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946" name="Rectangle 194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947" name="Rectangle 1947"/>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49799" style="width:12.7031pt;height:280.02pt;position:absolute;mso-position-horizontal-relative:page;mso-position-horizontal:absolute;margin-left:682.278pt;mso-position-vertical-relative:page;margin-top:531.9pt;" coordsize="1613,35562">
                <v:rect id="Rectangle 194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947"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192 </w:t>
                        </w:r>
                      </w:p>
                    </w:txbxContent>
                  </v:textbox>
                </v:rect>
                <w10:wrap type="square"/>
              </v:group>
            </w:pict>
          </mc:Fallback>
        </mc:AlternateContent>
      </w:r>
      <w:r>
        <w:rPr>
          <w:i/>
        </w:rPr>
        <w:t>Trasladando esta doctrina al caso que nos ocupa, la obligación de información prevista en el apartado 1 del artículo 130 de la LCSP ha sido cumplida más que con creces por el órgano de contratación, pues éste ha recabado del contratista anterior los listad</w:t>
      </w:r>
      <w:r>
        <w:rPr>
          <w:i/>
        </w:rPr>
        <w:t>os del personal objeto de subrogación, con indicación del convenio colectivo de aplicación -«Convenio Colectivo provincial de limpieza de edificios y locales de Albacete publicado en el BOP de fecha 9 de Octubre 2017, con los incrementos correspondientes d</w:t>
      </w:r>
      <w:r>
        <w:rPr>
          <w:i/>
        </w:rPr>
        <w:t xml:space="preserve">e un 2% para el presente año y los siguientes del contrato»- </w:t>
      </w:r>
      <w:r>
        <w:rPr>
          <w:i/>
          <w:u w:val="single" w:color="000000"/>
        </w:rPr>
        <w:t>y los detalles de categoría, tipo de contrato, jornada, fecha de antigüedad, vencimiento del contrato,</w:t>
      </w:r>
      <w:r>
        <w:rPr>
          <w:i/>
        </w:rPr>
        <w:t xml:space="preserve"> </w:t>
      </w:r>
      <w:r>
        <w:rPr>
          <w:i/>
          <w:u w:val="single" w:color="000000"/>
        </w:rPr>
        <w:t>salario bruto anual de cada trabajador, así como todos los pactos en vigor aplicables a los</w:t>
      </w:r>
      <w:r>
        <w:rPr>
          <w:i/>
        </w:rPr>
        <w:t xml:space="preserve"> </w:t>
      </w:r>
      <w:r>
        <w:rPr>
          <w:i/>
          <w:u w:val="single" w:color="000000"/>
        </w:rPr>
        <w:t>trabajadores a los que afecte la subrogación, información que, una vez remitida por el contratista</w:t>
      </w:r>
      <w:r>
        <w:rPr>
          <w:i/>
        </w:rPr>
        <w:t xml:space="preserve"> </w:t>
      </w:r>
      <w:r>
        <w:rPr>
          <w:i/>
          <w:u w:val="single" w:color="000000"/>
        </w:rPr>
        <w:t>ha sido puesta a disposición de los licitadores, como resulta del documento nº 13 del EA, que se</w:t>
      </w:r>
      <w:r>
        <w:rPr>
          <w:i/>
        </w:rPr>
        <w:t xml:space="preserve"> </w:t>
      </w:r>
      <w:r>
        <w:rPr>
          <w:i/>
          <w:u w:val="single" w:color="000000"/>
        </w:rPr>
        <w:t>transcribe parcialmente en el informe del órgano de contrata</w:t>
      </w:r>
      <w:r>
        <w:rPr>
          <w:i/>
          <w:u w:val="single" w:color="000000"/>
        </w:rPr>
        <w:t>ción.</w:t>
      </w:r>
      <w:r>
        <w:t xml:space="preserve"> </w:t>
      </w:r>
    </w:p>
    <w:p w:rsidR="007617AD" w:rsidRDefault="00EE75C8">
      <w:pPr>
        <w:ind w:left="703" w:right="62"/>
      </w:pPr>
      <w:r>
        <w:t xml:space="preserve">Por tanto, se concluye que la información que se incluye en el Anexo 1 del PCAP es una información completa y se ajusta al artículo 130 de la LCSP. </w:t>
      </w:r>
    </w:p>
    <w:p w:rsidR="007617AD" w:rsidRDefault="00EE75C8">
      <w:pPr>
        <w:ind w:left="703" w:right="62"/>
      </w:pPr>
      <w:r>
        <w:t>La relación de costes desglosados que es suficiente para que los licitadores tengan la información q</w:t>
      </w:r>
      <w:r>
        <w:t xml:space="preserve">ue exige el artículo 130 de la LCSP. </w:t>
      </w:r>
    </w:p>
    <w:p w:rsidR="007617AD" w:rsidRDefault="00EE75C8">
      <w:pPr>
        <w:spacing w:after="111" w:line="249" w:lineRule="auto"/>
        <w:ind w:left="703"/>
        <w:jc w:val="left"/>
      </w:pPr>
      <w:r>
        <w:rPr>
          <w:u w:val="single" w:color="000000"/>
        </w:rPr>
        <w:t>-Costes desglosados que figuran en el Anexo 1 del Anexo 1: personal a subrogar.</w:t>
      </w:r>
      <w:r>
        <w:t xml:space="preserve"> </w:t>
      </w:r>
    </w:p>
    <w:p w:rsidR="007617AD" w:rsidRDefault="00EE75C8">
      <w:pPr>
        <w:ind w:left="703" w:right="62"/>
      </w:pPr>
      <w:r>
        <w:t xml:space="preserve">Apellidos y nombre que se omiten por protección de datos de carácter personal. </w:t>
      </w:r>
    </w:p>
    <w:p w:rsidR="007617AD" w:rsidRDefault="00EE75C8">
      <w:pPr>
        <w:ind w:left="703" w:right="62"/>
      </w:pPr>
      <w:r>
        <w:t>Fechas de antigüedad, código de contrato, categoría profe</w:t>
      </w:r>
      <w:r>
        <w:t>sional, servicio, salario anual, plus de antigüedad año 2022, complementos “ad personam” año 2022, masa salarial año 2022, seguridad social, coste seguridad social 2022, coste salario año 2022, coste uniforme y epis anual, coste formación anual, coste reco</w:t>
      </w:r>
      <w:r>
        <w:t>nocimiento médico y vigilancia de salud, total coste personal año 2022, incrementos salariales (años 2020, 2021 y 2022), incrementos plus antigüedad años 2020, 2021 y 2022), incrementos complementos “·ad personam” (años 2020, 2021 y 2022), % seguridad soci</w:t>
      </w:r>
      <w:r>
        <w:t xml:space="preserve">al, coste seguridad social (años 2020, 2021 y 2022), total costes incrementos salariales (años 2020, 2021 y 2022). </w:t>
      </w:r>
    </w:p>
    <w:p w:rsidR="007617AD" w:rsidRDefault="00EE75C8">
      <w:pPr>
        <w:ind w:left="703" w:right="62"/>
      </w:pPr>
      <w:r>
        <w:t xml:space="preserve">-El Anexo 2 del Anexo 1 no es de aplicación ya que es no es el objeto de este contrato. </w:t>
      </w:r>
    </w:p>
    <w:p w:rsidR="007617AD" w:rsidRDefault="00EE75C8">
      <w:pPr>
        <w:ind w:left="703" w:right="62"/>
      </w:pPr>
      <w:r>
        <w:t>-</w:t>
      </w:r>
      <w:r>
        <w:t xml:space="preserve">Convenio colectivo publicado en el BOP de 9 de agosto de 2019. </w:t>
      </w:r>
    </w:p>
    <w:p w:rsidR="007617AD" w:rsidRDefault="00EE75C8">
      <w:pPr>
        <w:spacing w:after="100" w:line="259" w:lineRule="auto"/>
        <w:ind w:left="708" w:firstLine="0"/>
        <w:jc w:val="left"/>
      </w:pPr>
      <w:r>
        <w:t xml:space="preserve"> </w:t>
      </w:r>
    </w:p>
    <w:p w:rsidR="007617AD" w:rsidRDefault="00EE75C8">
      <w:pPr>
        <w:spacing w:after="111" w:line="249" w:lineRule="auto"/>
        <w:ind w:left="703"/>
        <w:jc w:val="left"/>
      </w:pPr>
      <w:r>
        <w:rPr>
          <w:u w:val="single" w:color="000000"/>
        </w:rPr>
        <w:t>Anexo 2: Informática y comunicaciones:</w:t>
      </w:r>
      <w:r>
        <w:t xml:space="preserve"> </w:t>
      </w:r>
    </w:p>
    <w:p w:rsidR="007617AD" w:rsidRDefault="00EE75C8">
      <w:pPr>
        <w:ind w:left="703" w:right="62"/>
      </w:pPr>
      <w:r>
        <w:t xml:space="preserve">Consta en el expediente informe técnico informático favorable. </w:t>
      </w:r>
    </w:p>
    <w:p w:rsidR="007617AD" w:rsidRDefault="00EE75C8">
      <w:pPr>
        <w:spacing w:after="111" w:line="249" w:lineRule="auto"/>
        <w:ind w:left="703"/>
        <w:jc w:val="left"/>
      </w:pPr>
      <w:r>
        <w:rPr>
          <w:u w:val="single" w:color="000000"/>
        </w:rPr>
        <w:t>Anexo 3: Criterios de adjudicación.</w:t>
      </w:r>
      <w:r>
        <w:t xml:space="preserve"> </w:t>
      </w:r>
    </w:p>
    <w:p w:rsidR="007617AD" w:rsidRDefault="00EE75C8">
      <w:pPr>
        <w:spacing w:after="171"/>
        <w:ind w:left="703" w:right="62"/>
      </w:pPr>
      <w:r>
        <w:t>La regulación jurídica de los criterios de adjudi</w:t>
      </w:r>
      <w:r>
        <w:t xml:space="preserve">cación es la establecida en el artículo 145.5 y 145.6 de la LCSP que exponemos y posteriormente procederemos a la aplicación de dichos preceptos al supuesto de hecho concreto que es este expediente: </w:t>
      </w:r>
    </w:p>
    <w:p w:rsidR="007617AD" w:rsidRDefault="00EE75C8">
      <w:pPr>
        <w:spacing w:after="156" w:line="248" w:lineRule="auto"/>
        <w:ind w:left="703" w:right="59"/>
      </w:pPr>
      <w:r>
        <w:rPr>
          <w:i/>
        </w:rPr>
        <w:t xml:space="preserve">145.5. Los criterios a que se refiere el apartado 1 que </w:t>
      </w:r>
      <w:r>
        <w:rPr>
          <w:i/>
        </w:rPr>
        <w:t xml:space="preserve">han de servir de base para la adjudicación del contrato </w:t>
      </w:r>
      <w:r>
        <w:rPr>
          <w:i/>
          <w:u w:val="single" w:color="000000"/>
        </w:rPr>
        <w:t>se establecerán en los pliegos de cláusulas administrativas particulares o en el documento descriptivo,</w:t>
      </w:r>
      <w:r>
        <w:rPr>
          <w:i/>
        </w:rPr>
        <w:t xml:space="preserve"> y deberá figurar en el anuncio que sirva de convocatoria de la licitación, debiendo cumplir los </w:t>
      </w:r>
      <w:r>
        <w:rPr>
          <w:i/>
        </w:rPr>
        <w:t>siguientes requisitos:</w:t>
      </w:r>
      <w:r>
        <w:rPr>
          <w:rFonts w:ascii="Times New Roman" w:eastAsia="Times New Roman" w:hAnsi="Times New Roman" w:cs="Times New Roman"/>
          <w:sz w:val="24"/>
        </w:rPr>
        <w:t xml:space="preserve"> </w:t>
      </w:r>
    </w:p>
    <w:p w:rsidR="007617AD" w:rsidRDefault="00EE75C8">
      <w:pPr>
        <w:numPr>
          <w:ilvl w:val="0"/>
          <w:numId w:val="6"/>
        </w:numPr>
        <w:spacing w:after="158" w:line="248" w:lineRule="auto"/>
        <w:ind w:right="59"/>
      </w:pPr>
      <w:r>
        <w:rPr>
          <w:i/>
        </w:rPr>
        <w:t xml:space="preserve">En todo caso </w:t>
      </w:r>
      <w:r>
        <w:rPr>
          <w:i/>
          <w:u w:val="single" w:color="000000"/>
        </w:rPr>
        <w:t>estarán vinculados al objeto del contrato</w:t>
      </w:r>
      <w:r>
        <w:rPr>
          <w:i/>
        </w:rPr>
        <w:t>, en el sentido expresado en el apartado siguiente de este artículo.</w:t>
      </w:r>
      <w:r>
        <w:rPr>
          <w:rFonts w:ascii="Times New Roman" w:eastAsia="Times New Roman" w:hAnsi="Times New Roman" w:cs="Times New Roman"/>
          <w:sz w:val="24"/>
        </w:rPr>
        <w:t xml:space="preserve"> </w:t>
      </w:r>
    </w:p>
    <w:p w:rsidR="007617AD" w:rsidRDefault="00EE75C8">
      <w:pPr>
        <w:numPr>
          <w:ilvl w:val="0"/>
          <w:numId w:val="6"/>
        </w:numPr>
        <w:spacing w:after="157" w:line="248" w:lineRule="auto"/>
        <w:ind w:right="59"/>
      </w:pPr>
      <w:r>
        <w:rPr>
          <w:i/>
        </w:rPr>
        <w:t xml:space="preserve">Deberán </w:t>
      </w:r>
      <w:r>
        <w:rPr>
          <w:i/>
          <w:u w:val="single" w:color="000000"/>
        </w:rPr>
        <w:t>ser formulados de manera objetiva</w:t>
      </w:r>
      <w:r>
        <w:rPr>
          <w:i/>
        </w:rPr>
        <w:t xml:space="preserve">, con pleno respeto a los principios de igualdad, no discriminación, transparencia y proporcionalidad, </w:t>
      </w:r>
      <w:r>
        <w:rPr>
          <w:i/>
          <w:u w:val="single" w:color="000000"/>
        </w:rPr>
        <w:t>y no conferirán al órgano de contratación una</w:t>
      </w:r>
      <w:r>
        <w:rPr>
          <w:i/>
        </w:rPr>
        <w:t xml:space="preserve"> </w:t>
      </w:r>
      <w:r>
        <w:rPr>
          <w:i/>
          <w:u w:val="single" w:color="000000"/>
        </w:rPr>
        <w:t>libertad de decisión ilimitada.</w:t>
      </w:r>
      <w:r>
        <w:rPr>
          <w:rFonts w:ascii="Times New Roman" w:eastAsia="Times New Roman" w:hAnsi="Times New Roman" w:cs="Times New Roman"/>
          <w:sz w:val="24"/>
        </w:rPr>
        <w:t xml:space="preserve"> </w:t>
      </w:r>
    </w:p>
    <w:p w:rsidR="007617AD" w:rsidRDefault="00EE75C8">
      <w:pPr>
        <w:numPr>
          <w:ilvl w:val="0"/>
          <w:numId w:val="6"/>
        </w:numPr>
        <w:spacing w:after="336" w:line="248" w:lineRule="auto"/>
        <w:ind w:right="59"/>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0452" name="Group 25045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086" name="Rectangle 208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Verificación: https://cand</w:t>
                              </w:r>
                              <w:r>
                                <w:rPr>
                                  <w:sz w:val="12"/>
                                </w:rPr>
                                <w:t xml:space="preserve">elaria.sedelectronica.es/ </w:t>
                              </w:r>
                            </w:p>
                          </w:txbxContent>
                        </wps:txbx>
                        <wps:bodyPr horzOverflow="overflow" vert="horz" lIns="0" tIns="0" rIns="0" bIns="0" rtlCol="0">
                          <a:noAutofit/>
                        </wps:bodyPr>
                      </wps:wsp>
                      <wps:wsp>
                        <wps:cNvPr id="2087" name="Rectangle 2087"/>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0452" style="width:12.7031pt;height:280.02pt;position:absolute;mso-position-horizontal-relative:page;mso-position-horizontal:absolute;margin-left:682.278pt;mso-position-vertical-relative:page;margin-top:531.9pt;" coordsize="1613,35562">
                <v:rect id="Rectangle 208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087"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192 </w:t>
                        </w:r>
                      </w:p>
                    </w:txbxContent>
                  </v:textbox>
                </v:rect>
                <w10:wrap type="square"/>
              </v:group>
            </w:pict>
          </mc:Fallback>
        </mc:AlternateContent>
      </w:r>
      <w:r>
        <w:rPr>
          <w:i/>
          <w:u w:val="single" w:color="000000"/>
        </w:rPr>
        <w:t>Deberán garantizar la posibilidad de que las ofertas sean evaluadas en condiciones de competencia efectiva</w:t>
      </w:r>
      <w:r>
        <w:rPr>
          <w:i/>
        </w:rPr>
        <w:t xml:space="preserve"> e irán acompañados de </w:t>
      </w:r>
      <w:r>
        <w:rPr>
          <w:i/>
          <w:u w:val="single" w:color="000000"/>
        </w:rPr>
        <w:t>espe</w:t>
      </w:r>
      <w:r>
        <w:rPr>
          <w:i/>
          <w:u w:val="single" w:color="000000"/>
        </w:rPr>
        <w:t>cificaciones que permitan comprobar de manera efectiva la información facilitada por los licitadores con el fin de evaluar la medida en que las ofertas</w:t>
      </w:r>
      <w:r>
        <w:rPr>
          <w:i/>
        </w:rPr>
        <w:t xml:space="preserve"> </w:t>
      </w:r>
      <w:r>
        <w:rPr>
          <w:i/>
          <w:u w:val="single" w:color="000000"/>
        </w:rPr>
        <w:t>cumplen los criterios de adjudicación.</w:t>
      </w:r>
      <w:r>
        <w:rPr>
          <w:i/>
        </w:rPr>
        <w:t xml:space="preserve"> En caso de duda, deberá comprobarse de manera efectiva la exactit</w:t>
      </w:r>
      <w:r>
        <w:rPr>
          <w:i/>
        </w:rPr>
        <w:t>ud de la información y las pruebas facilitadas por los licitadores.</w:t>
      </w:r>
      <w:r>
        <w:rPr>
          <w:rFonts w:ascii="Times New Roman" w:eastAsia="Times New Roman" w:hAnsi="Times New Roman" w:cs="Times New Roman"/>
          <w:sz w:val="24"/>
        </w:rPr>
        <w:t xml:space="preserve"> </w:t>
      </w:r>
    </w:p>
    <w:p w:rsidR="007617AD" w:rsidRDefault="00EE75C8">
      <w:pPr>
        <w:spacing w:after="352" w:line="248" w:lineRule="auto"/>
        <w:ind w:left="703" w:right="58"/>
      </w:pPr>
      <w:r>
        <w:rPr>
          <w:i/>
          <w:u w:val="single" w:color="000000"/>
        </w:rPr>
        <w:t>145.6. Se considerará que un criterio de adjudicación está vinculado al objeto del contrato cuando</w:t>
      </w:r>
      <w:r>
        <w:rPr>
          <w:i/>
        </w:rPr>
        <w:t xml:space="preserve"> </w:t>
      </w:r>
      <w:r>
        <w:rPr>
          <w:i/>
          <w:u w:val="single" w:color="000000"/>
        </w:rPr>
        <w:t xml:space="preserve">se refiera o integre las prestaciones que deban realizarse en virtud de dicho contrato, </w:t>
      </w:r>
      <w:r>
        <w:rPr>
          <w:i/>
          <w:u w:val="single" w:color="000000"/>
        </w:rPr>
        <w:t>en cualquiera</w:t>
      </w:r>
      <w:r>
        <w:rPr>
          <w:i/>
        </w:rPr>
        <w:t xml:space="preserve"> </w:t>
      </w:r>
      <w:r>
        <w:rPr>
          <w:i/>
          <w:u w:val="single" w:color="000000"/>
        </w:rPr>
        <w:t>de sus aspectos y en cualquier etapa de su ciclo de vida, incluidos los factores que intervienen en</w:t>
      </w:r>
      <w:r>
        <w:rPr>
          <w:i/>
        </w:rPr>
        <w:t xml:space="preserve"> </w:t>
      </w:r>
      <w:r>
        <w:rPr>
          <w:i/>
          <w:u w:val="single" w:color="000000"/>
        </w:rPr>
        <w:t>los siguientes procesos:</w:t>
      </w:r>
      <w:r>
        <w:rPr>
          <w:i/>
        </w:rPr>
        <w:t xml:space="preserve"> </w:t>
      </w:r>
    </w:p>
    <w:p w:rsidR="007617AD" w:rsidRDefault="00EE75C8">
      <w:pPr>
        <w:numPr>
          <w:ilvl w:val="0"/>
          <w:numId w:val="7"/>
        </w:numPr>
        <w:spacing w:after="174" w:line="248" w:lineRule="auto"/>
        <w:ind w:right="59"/>
      </w:pPr>
      <w:r>
        <w:rPr>
          <w:i/>
        </w:rPr>
        <w:t>en el proceso específico de producción, prestación o comercialización de, en su caso, las obras, los suministros o l</w:t>
      </w:r>
      <w:r>
        <w:rPr>
          <w:i/>
        </w:rPr>
        <w:t xml:space="preserve">os servicios, con especial referencia a formas de producción, prestación o comercialización medioambiental y socialmente sostenibles y justas; </w:t>
      </w:r>
    </w:p>
    <w:p w:rsidR="007617AD" w:rsidRDefault="00EE75C8">
      <w:pPr>
        <w:numPr>
          <w:ilvl w:val="0"/>
          <w:numId w:val="7"/>
        </w:numPr>
        <w:spacing w:after="351" w:line="248" w:lineRule="auto"/>
        <w:ind w:right="59"/>
      </w:pPr>
      <w:r>
        <w:rPr>
          <w:i/>
        </w:rPr>
        <w:t xml:space="preserve">o en el proceso específico de otra etapa de su ciclo de vida, incluso cuando dichos factores no formen parte de </w:t>
      </w:r>
      <w:r>
        <w:rPr>
          <w:i/>
        </w:rPr>
        <w:t xml:space="preserve">su sustancia material. </w:t>
      </w:r>
    </w:p>
    <w:p w:rsidR="007617AD" w:rsidRDefault="00EE75C8">
      <w:pPr>
        <w:spacing w:after="154" w:line="248" w:lineRule="auto"/>
        <w:ind w:left="703" w:right="59"/>
      </w:pPr>
      <w:r>
        <w:rPr>
          <w:i/>
          <w:u w:val="single" w:color="000000"/>
        </w:rPr>
        <w:t>145.7. En el caso de que se establezcan las mejoras como criterio de adjudicación, estas deberán</w:t>
      </w:r>
      <w:r>
        <w:rPr>
          <w:i/>
        </w:rPr>
        <w:t xml:space="preserve"> </w:t>
      </w:r>
      <w:r>
        <w:rPr>
          <w:i/>
          <w:u w:val="single" w:color="000000"/>
        </w:rPr>
        <w:t>estar suficientemente especificadas</w:t>
      </w:r>
      <w:r>
        <w:rPr>
          <w:i/>
        </w:rPr>
        <w:t xml:space="preserve">. Se considerará que se cumple esta exigencia cuando se fijen, de manera ponderada, con concreción: </w:t>
      </w:r>
      <w:r>
        <w:rPr>
          <w:i/>
        </w:rPr>
        <w:t>los requisitos, límites, modalidades y características de las mismas, así como su necesaria vinculación con el objeto del contrato.</w:t>
      </w:r>
      <w:r>
        <w:rPr>
          <w:rFonts w:ascii="Times New Roman" w:eastAsia="Times New Roman" w:hAnsi="Times New Roman" w:cs="Times New Roman"/>
          <w:sz w:val="24"/>
        </w:rPr>
        <w:t xml:space="preserve"> </w:t>
      </w:r>
    </w:p>
    <w:p w:rsidR="007617AD" w:rsidRDefault="00EE75C8">
      <w:pPr>
        <w:spacing w:after="110" w:line="248" w:lineRule="auto"/>
        <w:ind w:left="703" w:right="59"/>
      </w:pPr>
      <w:r>
        <w:rPr>
          <w:i/>
        </w:rPr>
        <w:t xml:space="preserve">En todo caso, en los supuestos en que su valoración se efectúe de conformidad con lo establecido en el apartado segundo, letra a) del artículo siguiente, no podrá asignársele una valoración superior al 2,5 por ciento. </w:t>
      </w:r>
    </w:p>
    <w:p w:rsidR="007617AD" w:rsidRDefault="00EE75C8">
      <w:pPr>
        <w:spacing w:after="154" w:line="248" w:lineRule="auto"/>
        <w:ind w:left="703" w:right="58"/>
      </w:pPr>
      <w:r>
        <w:rPr>
          <w:i/>
          <w:u w:val="single" w:color="000000"/>
        </w:rPr>
        <w:t>Se entiende por mejoras, a estos efec</w:t>
      </w:r>
      <w:r>
        <w:rPr>
          <w:i/>
          <w:u w:val="single" w:color="000000"/>
        </w:rPr>
        <w:t>tos, las prestaciones adicionales a las que figuraban definidas</w:t>
      </w:r>
      <w:r>
        <w:rPr>
          <w:i/>
        </w:rPr>
        <w:t xml:space="preserve"> </w:t>
      </w:r>
      <w:r>
        <w:rPr>
          <w:i/>
          <w:u w:val="single" w:color="000000"/>
        </w:rPr>
        <w:t>en el proyecto y en el pliego de prescripciones técnicas,</w:t>
      </w:r>
      <w:r>
        <w:rPr>
          <w:i/>
        </w:rPr>
        <w:t xml:space="preserve"> sin que aquellas puedan alterar la naturaleza de dichas prestaciones, ni del objeto del contrato.</w:t>
      </w:r>
      <w:r>
        <w:rPr>
          <w:rFonts w:ascii="Times New Roman" w:eastAsia="Times New Roman" w:hAnsi="Times New Roman" w:cs="Times New Roman"/>
          <w:sz w:val="24"/>
        </w:rPr>
        <w:t xml:space="preserve"> </w:t>
      </w:r>
    </w:p>
    <w:p w:rsidR="007617AD" w:rsidRDefault="00EE75C8">
      <w:pPr>
        <w:spacing w:after="171" w:line="248" w:lineRule="auto"/>
        <w:ind w:left="703" w:right="59"/>
      </w:pPr>
      <w:r>
        <w:rPr>
          <w:i/>
        </w:rPr>
        <w:t xml:space="preserve">Las mejoras propuestas por el adjudicatario pasarán a formar parte del contrato y no podrán ser objeto de modificación. </w:t>
      </w:r>
    </w:p>
    <w:p w:rsidR="007617AD" w:rsidRDefault="00EE75C8">
      <w:pPr>
        <w:spacing w:after="101" w:line="259" w:lineRule="auto"/>
        <w:ind w:left="708" w:firstLine="0"/>
        <w:jc w:val="left"/>
      </w:pPr>
      <w:r>
        <w:t xml:space="preserve">   </w:t>
      </w:r>
    </w:p>
    <w:p w:rsidR="007617AD" w:rsidRDefault="00EE75C8">
      <w:pPr>
        <w:spacing w:after="171" w:line="248" w:lineRule="auto"/>
        <w:ind w:left="703" w:right="58"/>
      </w:pPr>
      <w:r>
        <w:rPr>
          <w:i/>
        </w:rPr>
        <w:t xml:space="preserve">146.2. </w:t>
      </w:r>
      <w:r>
        <w:rPr>
          <w:i/>
          <w:u w:val="single" w:color="000000"/>
        </w:rPr>
        <w:t>Cuando se utilicen una pluralidad de criterios de adjudicación, en su determinación, siempre</w:t>
      </w:r>
      <w:r>
        <w:rPr>
          <w:i/>
        </w:rPr>
        <w:t xml:space="preserve"> </w:t>
      </w:r>
      <w:r>
        <w:rPr>
          <w:i/>
          <w:u w:val="single" w:color="000000"/>
        </w:rPr>
        <w:t>y cuando sea posible, se dará p</w:t>
      </w:r>
      <w:r>
        <w:rPr>
          <w:i/>
          <w:u w:val="single" w:color="000000"/>
        </w:rPr>
        <w:t>reponderancia a aquellos que hagan referencia a características</w:t>
      </w:r>
      <w:r>
        <w:rPr>
          <w:i/>
        </w:rPr>
        <w:t xml:space="preserve"> </w:t>
      </w:r>
      <w:r>
        <w:rPr>
          <w:i/>
          <w:u w:val="single" w:color="000000"/>
        </w:rPr>
        <w:t>del objeto del contrato que puedan valorarse mediante cifras o porcentajes obtenidos a través de</w:t>
      </w:r>
      <w:r>
        <w:rPr>
          <w:i/>
        </w:rPr>
        <w:t xml:space="preserve"> </w:t>
      </w:r>
      <w:r>
        <w:rPr>
          <w:i/>
          <w:u w:val="single" w:color="000000"/>
        </w:rPr>
        <w:t>la mera aplicación de las fórmulas establecidas en los pliegos</w:t>
      </w:r>
      <w:r>
        <w:t xml:space="preserve"> </w:t>
      </w:r>
    </w:p>
    <w:p w:rsidR="007617AD" w:rsidRDefault="00EE75C8">
      <w:pPr>
        <w:spacing w:after="351" w:line="248" w:lineRule="auto"/>
        <w:ind w:left="703" w:right="59"/>
      </w:pPr>
      <w:r>
        <w:rPr>
          <w:i/>
        </w:rPr>
        <w:t xml:space="preserve">b) En los restantes supuestos, </w:t>
      </w:r>
      <w:r>
        <w:rPr>
          <w:i/>
        </w:rPr>
        <w:t>la valoración de los criterios cuya cuantificación dependa de un juicio de valor, así como, en todo caso, la de los criterios evaluables mediante la utilización de fórmulas, se efectuará por la mesa de contratación, si interviene, o por los servicios depen</w:t>
      </w:r>
      <w:r>
        <w:rPr>
          <w:i/>
        </w:rPr>
        <w:t xml:space="preserve">dientes del órgano de contratación en caso contrario, a cuyo efecto se podrán solicitar los informes técnicos que considere precisos de conformidad con lo previsto en el artículo 150.1 y 157.5 de la presente Ley. </w:t>
      </w:r>
    </w:p>
    <w:p w:rsidR="007617AD" w:rsidRDefault="00EE75C8">
      <w:pPr>
        <w:spacing w:after="171" w:line="248" w:lineRule="auto"/>
        <w:ind w:left="703" w:right="59"/>
      </w:pPr>
      <w:r>
        <w:rPr>
          <w:i/>
        </w:rPr>
        <w:t>La elección de las fórmulas, se tendrán qu</w:t>
      </w:r>
      <w:r>
        <w:rPr>
          <w:i/>
        </w:rPr>
        <w:t xml:space="preserve">e justificar en el expediente. </w:t>
      </w:r>
    </w:p>
    <w:p w:rsidR="007617AD" w:rsidRDefault="00EE75C8">
      <w:pPr>
        <w:spacing w:after="171" w:line="248" w:lineRule="auto"/>
        <w:ind w:left="693" w:right="59" w:firstLine="360"/>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0146" name="Group 25014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208" name="Rectangle 220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209" name="Rectangle 2209"/>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0146" style="width:12.7031pt;height:280.02pt;position:absolute;mso-position-horizontal-relative:page;mso-position-horizontal:absolute;margin-left:682.278pt;mso-position-vertical-relative:page;margin-top:531.9pt;" coordsize="1613,35562">
                <v:rect id="Rectangle 220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209"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192 </w:t>
                        </w:r>
                      </w:p>
                    </w:txbxContent>
                  </v:textbox>
                </v:rect>
                <w10:wrap type="square"/>
              </v:group>
            </w:pict>
          </mc:Fallback>
        </mc:AlternateContent>
      </w:r>
      <w:r>
        <w:rPr>
          <w:i/>
        </w:rPr>
        <w:t>En todo caso, la evaluación</w:t>
      </w:r>
      <w:r>
        <w:rPr>
          <w:i/>
        </w:rPr>
        <w:t xml:space="preserve"> de las ofertas conforme a los criterios cuantificables mediante la mera aplicación de fórmulas se realizará tras efectuar previamente la de aquellos otros criterios en que no concurra esta circunstancia, dejándose constancia documental de ello. </w:t>
      </w:r>
    </w:p>
    <w:p w:rsidR="007617AD" w:rsidRDefault="00EE75C8">
      <w:pPr>
        <w:spacing w:after="171" w:line="248" w:lineRule="auto"/>
        <w:ind w:left="693" w:right="59" w:firstLine="360"/>
      </w:pPr>
      <w:r>
        <w:rPr>
          <w:i/>
        </w:rPr>
        <w:t xml:space="preserve">La citada evaluación previa se hará pública en el acto en el que se proceda a la apertura del sobre que contenga los elementos de la oferta que se valoraran mediante la mera aplicación de fórmulas. </w:t>
      </w:r>
    </w:p>
    <w:p w:rsidR="007617AD" w:rsidRDefault="00EE75C8">
      <w:pPr>
        <w:spacing w:after="170" w:line="249" w:lineRule="auto"/>
        <w:ind w:left="703"/>
        <w:jc w:val="left"/>
      </w:pPr>
      <w:r>
        <w:rPr>
          <w:u w:val="single" w:color="000000"/>
        </w:rPr>
        <w:t>1.- Se establecen los siguientes criterios de adjudicació</w:t>
      </w:r>
      <w:r>
        <w:rPr>
          <w:u w:val="single" w:color="000000"/>
        </w:rPr>
        <w:t>n:</w:t>
      </w:r>
      <w:r>
        <w:t xml:space="preserve"> </w:t>
      </w:r>
    </w:p>
    <w:p w:rsidR="007617AD" w:rsidRDefault="00EE75C8">
      <w:pPr>
        <w:spacing w:after="167" w:line="249" w:lineRule="auto"/>
        <w:ind w:left="703"/>
        <w:jc w:val="left"/>
      </w:pPr>
      <w:r>
        <w:rPr>
          <w:u w:val="single" w:color="000000"/>
        </w:rPr>
        <w:t>Fórmula matemática: 52 puntos:</w:t>
      </w:r>
      <w:r>
        <w:t xml:space="preserve">  </w:t>
      </w:r>
    </w:p>
    <w:p w:rsidR="007617AD" w:rsidRDefault="00EE75C8">
      <w:pPr>
        <w:spacing w:after="169"/>
        <w:ind w:left="703" w:right="62"/>
      </w:pPr>
      <w:r>
        <w:t xml:space="preserve">-Oferta económica: 35 puntos. </w:t>
      </w:r>
    </w:p>
    <w:p w:rsidR="007617AD" w:rsidRDefault="00EE75C8">
      <w:pPr>
        <w:spacing w:after="171"/>
        <w:ind w:left="703" w:right="62"/>
      </w:pPr>
      <w:r>
        <w:t xml:space="preserve">-Mejora de la recogida separada de residuos (reducción fracción resto/incremento recogida selectiva): 14 puntos. </w:t>
      </w:r>
    </w:p>
    <w:p w:rsidR="007617AD" w:rsidRDefault="00EE75C8">
      <w:pPr>
        <w:spacing w:after="171"/>
        <w:ind w:left="703" w:right="62"/>
      </w:pPr>
      <w:r>
        <w:t xml:space="preserve">-Compromiso de gesto mínimo en concienciación medioambiental: 3 puntos. </w:t>
      </w:r>
    </w:p>
    <w:p w:rsidR="007617AD" w:rsidRDefault="00EE75C8">
      <w:pPr>
        <w:spacing w:after="167" w:line="249" w:lineRule="auto"/>
        <w:ind w:left="703"/>
        <w:jc w:val="left"/>
      </w:pPr>
      <w:r>
        <w:rPr>
          <w:u w:val="single" w:color="000000"/>
        </w:rPr>
        <w:t>J</w:t>
      </w:r>
      <w:r>
        <w:rPr>
          <w:u w:val="single" w:color="000000"/>
        </w:rPr>
        <w:t>uicio de valor: 48 puntos.</w:t>
      </w:r>
      <w:r>
        <w:t xml:space="preserve"> </w:t>
      </w:r>
    </w:p>
    <w:p w:rsidR="007617AD" w:rsidRDefault="00EE75C8">
      <w:pPr>
        <w:spacing w:after="169"/>
        <w:ind w:left="703" w:right="62"/>
      </w:pPr>
      <w:r>
        <w:t xml:space="preserve">Planificación del servicio propuesto: 48 puntos. </w:t>
      </w:r>
    </w:p>
    <w:p w:rsidR="007617AD" w:rsidRDefault="00EE75C8">
      <w:pPr>
        <w:spacing w:after="10" w:line="249" w:lineRule="auto"/>
        <w:ind w:left="703"/>
        <w:jc w:val="left"/>
      </w:pPr>
      <w:r>
        <w:rPr>
          <w:u w:val="single" w:color="000000"/>
        </w:rPr>
        <w:t>Anexo 4: Puntuación de los criterios que dependen de un juicio de valor:</w:t>
      </w:r>
      <w:r>
        <w:t xml:space="preserve"> </w:t>
      </w:r>
    </w:p>
    <w:p w:rsidR="007617AD" w:rsidRDefault="00EE75C8">
      <w:pPr>
        <w:spacing w:after="0" w:line="259" w:lineRule="auto"/>
        <w:ind w:left="708" w:firstLine="0"/>
        <w:jc w:val="left"/>
      </w:pPr>
      <w:r>
        <w:t xml:space="preserve"> </w:t>
      </w:r>
    </w:p>
    <w:p w:rsidR="007617AD" w:rsidRDefault="00EE75C8">
      <w:pPr>
        <w:ind w:left="703" w:right="62"/>
      </w:pPr>
      <w:r>
        <w:t xml:space="preserve">Criterios de juicio de valor: 48 puntos. </w:t>
      </w:r>
    </w:p>
    <w:p w:rsidR="007617AD" w:rsidRDefault="00EE75C8">
      <w:pPr>
        <w:ind w:left="703" w:right="62"/>
      </w:pPr>
      <w:r>
        <w:t>Además, en el anexo 10 se incluyen en los planes a desarroll</w:t>
      </w:r>
      <w:r>
        <w:t xml:space="preserve">ar en la oferta. </w:t>
      </w:r>
    </w:p>
    <w:p w:rsidR="007617AD" w:rsidRDefault="00EE75C8">
      <w:pPr>
        <w:ind w:left="703" w:right="62"/>
      </w:pPr>
      <w:r>
        <w:t xml:space="preserve">Se distribuye en los siguientes 7 planes: </w:t>
      </w:r>
    </w:p>
    <w:p w:rsidR="007617AD" w:rsidRDefault="00EE75C8">
      <w:pPr>
        <w:ind w:left="703" w:right="62"/>
      </w:pPr>
      <w:r>
        <w:t xml:space="preserve">A.- Plan de Organización de los Servicios de limpieza ordinaria (50 páginas). </w:t>
      </w:r>
    </w:p>
    <w:p w:rsidR="007617AD" w:rsidRDefault="00EE75C8">
      <w:pPr>
        <w:ind w:left="703" w:right="62"/>
      </w:pPr>
      <w:r>
        <w:t xml:space="preserve">B.- Plan de Organización de los Servicios especiales de limpieza (20 páginas). </w:t>
      </w:r>
    </w:p>
    <w:p w:rsidR="007617AD" w:rsidRDefault="00EE75C8">
      <w:pPr>
        <w:ind w:left="703" w:right="62"/>
      </w:pPr>
      <w:r>
        <w:t>C.- Plan de Organización de los Serv</w:t>
      </w:r>
      <w:r>
        <w:t xml:space="preserve">icios de Recogida ordinaria (50 páginas) </w:t>
      </w:r>
    </w:p>
    <w:p w:rsidR="007617AD" w:rsidRDefault="00EE75C8">
      <w:pPr>
        <w:ind w:left="703" w:right="62"/>
      </w:pPr>
      <w:r>
        <w:t xml:space="preserve">D.- Plan de Organización de los servicios de recogida especial (20 páginas). </w:t>
      </w:r>
    </w:p>
    <w:p w:rsidR="007617AD" w:rsidRDefault="00EE75C8">
      <w:pPr>
        <w:ind w:left="703" w:right="62"/>
      </w:pPr>
      <w:r>
        <w:t xml:space="preserve">E.- Medios humanos y materiales para la ejecución del contrato (75 páginas) </w:t>
      </w:r>
    </w:p>
    <w:p w:rsidR="007617AD" w:rsidRDefault="00EE75C8">
      <w:pPr>
        <w:ind w:left="703" w:right="62"/>
      </w:pPr>
      <w:r>
        <w:t xml:space="preserve">F.- Plan de Atención e Información (15 páginas) </w:t>
      </w:r>
    </w:p>
    <w:p w:rsidR="007617AD" w:rsidRDefault="00EE75C8">
      <w:pPr>
        <w:ind w:left="703" w:right="62"/>
      </w:pPr>
      <w:r>
        <w:t xml:space="preserve">G.- </w:t>
      </w:r>
      <w:r>
        <w:t xml:space="preserve">Plan de implementación de los servicios (15 páginas). </w:t>
      </w:r>
    </w:p>
    <w:p w:rsidR="007617AD" w:rsidRDefault="00EE75C8">
      <w:pPr>
        <w:spacing w:after="98" w:line="259" w:lineRule="auto"/>
        <w:ind w:left="708" w:firstLine="0"/>
        <w:jc w:val="left"/>
      </w:pPr>
      <w:r>
        <w:t xml:space="preserve"> </w:t>
      </w:r>
    </w:p>
    <w:p w:rsidR="007617AD" w:rsidRDefault="00EE75C8">
      <w:pPr>
        <w:ind w:left="703" w:right="62"/>
      </w:pPr>
      <w:r>
        <w:t xml:space="preserve">Sobre los criterios de adjudicación de juicios de valor se distribuye con arreglo a la siguiente puntuación: </w:t>
      </w:r>
    </w:p>
    <w:p w:rsidR="007617AD" w:rsidRDefault="00EE75C8">
      <w:pPr>
        <w:ind w:left="703" w:right="62"/>
      </w:pPr>
      <w:r>
        <w:t xml:space="preserve">A.- Plan de Organización de los Servicios de limpieza ordinaria (50 páginas): 7 puntos: </w:t>
      </w:r>
    </w:p>
    <w:p w:rsidR="007617AD" w:rsidRDefault="00EE75C8">
      <w:pPr>
        <w:ind w:left="703" w:right="62"/>
      </w:pPr>
      <w:r>
        <w:t xml:space="preserve">B.- Plan de Organización de los Servicios especiales de limpieza (20 páginas): 4,50 puntos. </w:t>
      </w:r>
    </w:p>
    <w:p w:rsidR="007617AD" w:rsidRDefault="00EE75C8">
      <w:pPr>
        <w:ind w:left="703" w:right="62"/>
      </w:pPr>
      <w:r>
        <w:t xml:space="preserve">C.- Plan de Organización de los Servicios de Recogida ordinaria (50 páginas): 7 puntos. </w:t>
      </w:r>
    </w:p>
    <w:p w:rsidR="007617AD" w:rsidRDefault="00EE75C8">
      <w:pPr>
        <w:ind w:left="703" w:right="62"/>
      </w:pPr>
      <w:r>
        <w:t>D.- Plan de Organización de los servicios de recogida especial (20 páginas</w:t>
      </w:r>
      <w:r>
        <w:t xml:space="preserve">): 4,50 puntos. </w:t>
      </w:r>
    </w:p>
    <w:p w:rsidR="007617AD" w:rsidRDefault="00EE75C8">
      <w:pPr>
        <w:ind w:left="703" w:right="62"/>
      </w:pPr>
      <w:r>
        <w:t xml:space="preserve">E.- Medios humanos y materiales para la ejecución del contrato (75 páginas): 19 puntos. </w:t>
      </w:r>
    </w:p>
    <w:p w:rsidR="007617AD" w:rsidRDefault="00EE75C8">
      <w:pPr>
        <w:ind w:left="703" w:right="62"/>
      </w:pPr>
      <w:r>
        <w:t xml:space="preserve">F.- Plan de Atención e Información (15 páginas): 2 puntos. </w:t>
      </w:r>
    </w:p>
    <w:p w:rsidR="007617AD" w:rsidRDefault="00EE75C8">
      <w:pPr>
        <w:ind w:left="703" w:right="62"/>
      </w:pPr>
      <w:r>
        <w:t xml:space="preserve">G.- Plan de implementación de los servicios (15 páginas): 4 puntos. </w:t>
      </w:r>
    </w:p>
    <w:p w:rsidR="007617AD" w:rsidRDefault="00EE75C8">
      <w:pPr>
        <w:spacing w:after="98" w:line="259" w:lineRule="auto"/>
        <w:ind w:left="708"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0008" name="Group 25000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351" name="Rectangle 235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w:t>
                              </w:r>
                              <w:r>
                                <w:rPr>
                                  <w:sz w:val="12"/>
                                </w:rPr>
                                <w:t xml:space="preserve">ZZKGX4GJD4WS6MQ5AJX5N2EM | Verificación: https://candelaria.sedelectronica.es/ </w:t>
                              </w:r>
                            </w:p>
                          </w:txbxContent>
                        </wps:txbx>
                        <wps:bodyPr horzOverflow="overflow" vert="horz" lIns="0" tIns="0" rIns="0" bIns="0" rtlCol="0">
                          <a:noAutofit/>
                        </wps:bodyPr>
                      </wps:wsp>
                      <wps:wsp>
                        <wps:cNvPr id="2352" name="Rectangle 2352"/>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0008" style="width:12.7031pt;height:280.02pt;position:absolute;mso-position-horizontal-relative:page;mso-position-horizontal:absolute;margin-left:682.278pt;mso-position-vertical-relative:page;margin-top:531.9pt;" coordsize="1613,35562">
                <v:rect id="Rectangle 235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352"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192 </w:t>
                        </w:r>
                      </w:p>
                    </w:txbxContent>
                  </v:textbox>
                </v:rect>
                <w10:wrap type="square"/>
              </v:group>
            </w:pict>
          </mc:Fallback>
        </mc:AlternateContent>
      </w:r>
      <w:r>
        <w:t xml:space="preserve"> </w:t>
      </w:r>
    </w:p>
    <w:p w:rsidR="007617AD" w:rsidRDefault="00EE75C8">
      <w:pPr>
        <w:ind w:left="1851" w:right="62"/>
      </w:pPr>
      <w:r>
        <w:t xml:space="preserve">Analizados los mismos concluimos: </w:t>
      </w:r>
    </w:p>
    <w:p w:rsidR="007617AD" w:rsidRDefault="00EE75C8">
      <w:pPr>
        <w:ind w:left="703" w:right="62"/>
      </w:pPr>
      <w:r>
        <w:t>1.- Presentan un alto nivel de detalle conc</w:t>
      </w:r>
      <w:r>
        <w:t xml:space="preserve">reto y preciso de cada uno de los 7 planes que tienen que presentar los licitadores ya que en cada plan se explica el contenido del mismo y además se desglosa por diferentes apartados. </w:t>
      </w:r>
    </w:p>
    <w:p w:rsidR="007617AD" w:rsidRDefault="00EE75C8">
      <w:pPr>
        <w:ind w:left="703" w:right="62"/>
      </w:pPr>
      <w:r>
        <w:t xml:space="preserve">Así por ejemplo el plan de organización de los servicios se subdivide a su vez en tres apartados concretos más para dotar de objetividad y concreción y seguridad jurídica la valoración del plan. </w:t>
      </w:r>
    </w:p>
    <w:p w:rsidR="007617AD" w:rsidRDefault="00EE75C8">
      <w:pPr>
        <w:spacing w:after="98" w:line="259" w:lineRule="auto"/>
        <w:ind w:left="708" w:firstLine="0"/>
        <w:jc w:val="left"/>
      </w:pPr>
      <w:r>
        <w:t xml:space="preserve"> </w:t>
      </w:r>
    </w:p>
    <w:p w:rsidR="007617AD" w:rsidRDefault="00EE75C8">
      <w:pPr>
        <w:spacing w:after="140"/>
        <w:ind w:left="703" w:right="62"/>
      </w:pPr>
      <w:r>
        <w:t>2.- En cada uno de los apartados del desglose se analiza c</w:t>
      </w:r>
      <w:r>
        <w:t xml:space="preserve">on detalle el objetivo previsto que debe alcanzar cada licitador para obtener la máxima puntuación, así por ejemplo: </w:t>
      </w:r>
    </w:p>
    <w:p w:rsidR="007617AD" w:rsidRDefault="00EE75C8">
      <w:pPr>
        <w:numPr>
          <w:ilvl w:val="0"/>
          <w:numId w:val="8"/>
        </w:numPr>
        <w:spacing w:after="30" w:line="248" w:lineRule="auto"/>
        <w:ind w:right="852"/>
      </w:pPr>
      <w:r>
        <w:t xml:space="preserve">Plan de Organización de servicios de recogida especial: “(…) </w:t>
      </w:r>
      <w:r>
        <w:rPr>
          <w:i/>
        </w:rPr>
        <w:t>zonas y tipología de residuos en las que se requiere este tipo de recogida, c</w:t>
      </w:r>
      <w:r>
        <w:rPr>
          <w:i/>
        </w:rPr>
        <w:t xml:space="preserve">antidad total de trabajo a realizar expresada en unidades (distancia recorrida, velocidad media, número de paradas, tiempo de maniobras de carga/descarga </w:t>
      </w:r>
    </w:p>
    <w:p w:rsidR="007617AD" w:rsidRDefault="00EE75C8">
      <w:pPr>
        <w:spacing w:after="110" w:line="248" w:lineRule="auto"/>
        <w:ind w:left="703" w:right="59"/>
      </w:pPr>
      <w:r>
        <w:rPr>
          <w:i/>
        </w:rPr>
        <w:t>(…) así como la contenerización (…)”: 4,50</w:t>
      </w:r>
      <w:r>
        <w:t xml:space="preserve"> </w:t>
      </w:r>
    </w:p>
    <w:p w:rsidR="007617AD" w:rsidRDefault="00EE75C8">
      <w:pPr>
        <w:numPr>
          <w:ilvl w:val="0"/>
          <w:numId w:val="8"/>
        </w:numPr>
        <w:spacing w:after="14" w:line="354" w:lineRule="auto"/>
        <w:ind w:right="852"/>
      </w:pPr>
      <w:r>
        <w:t>Medios materiales y humanos para la ejecución del contrat</w:t>
      </w:r>
      <w:r>
        <w:t>o:</w:t>
      </w:r>
      <w:r>
        <w:rPr>
          <w:i/>
        </w:rPr>
        <w:t xml:space="preserve"> </w:t>
      </w:r>
      <w:r>
        <w:t xml:space="preserve">19 puntos Medios humanos: 6,50 puntos. </w:t>
      </w:r>
    </w:p>
    <w:p w:rsidR="007617AD" w:rsidRDefault="00EE75C8">
      <w:pPr>
        <w:spacing w:after="110" w:line="248" w:lineRule="auto"/>
        <w:ind w:left="703" w:right="59"/>
      </w:pPr>
      <w:r>
        <w:rPr>
          <w:i/>
        </w:rPr>
        <w:t xml:space="preserve">“definición de los puestos de trabajo… la dedicación y funciones, la categoría laboral del personal que se proponga, indicando los puestos de trabajo totales en el cómputo anual del servicio que se haya propuesto </w:t>
      </w:r>
      <w:r>
        <w:rPr>
          <w:i/>
        </w:rPr>
        <w:t xml:space="preserve">según su categoría, el personal que trabaje por turnos, así como los que desempeñen su trabajo en jornada de días laborales…” </w:t>
      </w:r>
    </w:p>
    <w:p w:rsidR="007617AD" w:rsidRDefault="00EE75C8">
      <w:pPr>
        <w:ind w:left="703" w:right="62"/>
      </w:pPr>
      <w:r>
        <w:t xml:space="preserve">Vehículos: 4 puntos. </w:t>
      </w:r>
    </w:p>
    <w:p w:rsidR="007617AD" w:rsidRDefault="00EE75C8">
      <w:pPr>
        <w:spacing w:after="110" w:line="248" w:lineRule="auto"/>
        <w:ind w:left="703" w:right="59"/>
      </w:pPr>
      <w:r>
        <w:rPr>
          <w:i/>
        </w:rPr>
        <w:t>“Se valorarán las características de los vehículos a emplear en los servicios de limpieza ordinaria y espec</w:t>
      </w:r>
      <w:r>
        <w:rPr>
          <w:i/>
        </w:rPr>
        <w:t xml:space="preserve">ial propuestos por el licitador… asignación de número de unidades a aportar, marca, modelo y especificaciones técnicas…” </w:t>
      </w:r>
    </w:p>
    <w:p w:rsidR="007617AD" w:rsidRDefault="00EE75C8">
      <w:pPr>
        <w:ind w:left="703" w:right="62"/>
      </w:pPr>
      <w:r>
        <w:t>Contenedores y papeleras: 2,50 puntos.</w:t>
      </w:r>
      <w:r>
        <w:rPr>
          <w:i/>
        </w:rPr>
        <w:t xml:space="preserve"> </w:t>
      </w:r>
      <w:r>
        <w:t xml:space="preserve"> </w:t>
      </w:r>
    </w:p>
    <w:p w:rsidR="007617AD" w:rsidRDefault="00EE75C8">
      <w:pPr>
        <w:spacing w:after="110" w:line="248" w:lineRule="auto"/>
        <w:ind w:left="703" w:right="59"/>
      </w:pPr>
      <w:r>
        <w:rPr>
          <w:i/>
        </w:rPr>
        <w:t>Se presentará de forma específica dentro del documento la propuesta que describa los contened</w:t>
      </w:r>
      <w:r>
        <w:rPr>
          <w:i/>
        </w:rPr>
        <w:t xml:space="preserve">ores en cuanto a la calidad de materiales, dimensiones, accesibilidad etc…. </w:t>
      </w:r>
    </w:p>
    <w:p w:rsidR="007617AD" w:rsidRDefault="00EE75C8">
      <w:pPr>
        <w:spacing w:after="0" w:line="259" w:lineRule="auto"/>
        <w:ind w:left="708" w:firstLine="0"/>
        <w:jc w:val="left"/>
      </w:pPr>
      <w:r>
        <w:t xml:space="preserve"> </w:t>
      </w:r>
    </w:p>
    <w:p w:rsidR="007617AD" w:rsidRDefault="00EE75C8">
      <w:pPr>
        <w:spacing w:after="10" w:line="249" w:lineRule="auto"/>
        <w:ind w:left="703"/>
        <w:jc w:val="left"/>
      </w:pPr>
      <w:r>
        <w:rPr>
          <w:u w:val="single" w:color="000000"/>
        </w:rPr>
        <w:t>3.- Procedimiento de evaluación de las proposiciones:</w:t>
      </w:r>
      <w:r>
        <w:t xml:space="preserve"> </w:t>
      </w:r>
    </w:p>
    <w:p w:rsidR="007617AD" w:rsidRDefault="00EE75C8">
      <w:pPr>
        <w:spacing w:after="0" w:line="259" w:lineRule="auto"/>
        <w:ind w:left="708" w:firstLine="0"/>
        <w:jc w:val="left"/>
      </w:pPr>
      <w:r>
        <w:t xml:space="preserve"> </w:t>
      </w:r>
    </w:p>
    <w:p w:rsidR="007617AD" w:rsidRDefault="00EE75C8">
      <w:pPr>
        <w:spacing w:after="0"/>
        <w:ind w:left="703" w:right="62"/>
      </w:pPr>
      <w:r>
        <w:t>Todas las ofertas serán valoradas de mejor a peor respecto a dicho criterio, en función de sus características y de su comparación con el resto de las ofertas, teniendo en cuenta su mayor adecuación a la mejora y perfeccionamiento de la ejecución del objet</w:t>
      </w:r>
      <w:r>
        <w:t xml:space="preserve">o del contrato. El resultado de dicha valoración deberá ser argumentado y justificado en el correspondiente informe de valoración. </w:t>
      </w:r>
    </w:p>
    <w:p w:rsidR="007617AD" w:rsidRDefault="00EE75C8">
      <w:pPr>
        <w:spacing w:after="0" w:line="259" w:lineRule="auto"/>
        <w:ind w:left="708" w:firstLine="0"/>
        <w:jc w:val="left"/>
      </w:pPr>
      <w:r>
        <w:t xml:space="preserve"> </w:t>
      </w:r>
    </w:p>
    <w:p w:rsidR="007617AD" w:rsidRDefault="00EE75C8">
      <w:pPr>
        <w:spacing w:after="0"/>
        <w:ind w:left="703" w:right="62"/>
      </w:pPr>
      <w:r>
        <w:t xml:space="preserve">A la que se considere mejor oferta respecto un criterio se le asignará el valor 10, al que corresponderá el máximo de los </w:t>
      </w:r>
      <w:r>
        <w:t xml:space="preserve">puntos de ponderación correspondiente a dicho criterio. </w:t>
      </w:r>
    </w:p>
    <w:p w:rsidR="007617AD" w:rsidRDefault="00EE75C8">
      <w:pPr>
        <w:spacing w:after="0" w:line="259" w:lineRule="auto"/>
        <w:ind w:left="708" w:firstLine="0"/>
        <w:jc w:val="left"/>
      </w:pPr>
      <w:r>
        <w:t xml:space="preserve"> </w:t>
      </w:r>
    </w:p>
    <w:p w:rsidR="007617AD" w:rsidRDefault="00EE75C8">
      <w:pPr>
        <w:spacing w:after="0"/>
        <w:ind w:left="703" w:right="62"/>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0449" name="Group 25044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468" name="Rectangle 246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469" name="Rectangle 2469"/>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0449" style="width:12.7031pt;height:280.02pt;position:absolute;mso-position-horizontal-relative:page;mso-position-horizontal:absolute;margin-left:682.278pt;mso-position-vertical-relative:page;margin-top:531.9pt;" coordsize="1613,35562">
                <v:rect id="Rectangle 246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469"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192 </w:t>
                        </w:r>
                      </w:p>
                    </w:txbxContent>
                  </v:textbox>
                </v:rect>
                <w10:wrap type="square"/>
              </v:group>
            </w:pict>
          </mc:Fallback>
        </mc:AlternateContent>
      </w:r>
      <w:r>
        <w:t>Al resto de las ofertas se les asignará un valor de cero a diez, otorgándoles, en consecuencia, los puntos de ponderación que proporcionalmente les corresponda por su diferencia con la mejor oferta, de acuerdo con la siguiente fórmula: P= (pmxO)/10 donde P</w:t>
      </w:r>
      <w:r>
        <w:t xml:space="preserve"> es la puntuación a obtener, pm es la puntuación máxima del criterio de que se trate, O será la valoración sobre 10 asignada a la oferta que se está puntuando y 10 es la valoración correspondiente a la mejor oferta. </w:t>
      </w:r>
    </w:p>
    <w:p w:rsidR="007617AD" w:rsidRDefault="00EE75C8">
      <w:pPr>
        <w:spacing w:after="0" w:line="259" w:lineRule="auto"/>
        <w:ind w:left="708" w:firstLine="0"/>
        <w:jc w:val="left"/>
      </w:pPr>
      <w:r>
        <w:t xml:space="preserve"> </w:t>
      </w:r>
    </w:p>
    <w:p w:rsidR="007617AD" w:rsidRDefault="00EE75C8">
      <w:pPr>
        <w:spacing w:after="10" w:line="249" w:lineRule="auto"/>
        <w:ind w:left="703"/>
        <w:jc w:val="left"/>
      </w:pPr>
      <w:r>
        <w:rPr>
          <w:u w:val="single" w:color="000000"/>
        </w:rPr>
        <w:t>Anexo 5: Cuadro de Servicios.</w:t>
      </w:r>
      <w:r>
        <w:t xml:space="preserve"> </w:t>
      </w:r>
    </w:p>
    <w:p w:rsidR="007617AD" w:rsidRDefault="00EE75C8">
      <w:pPr>
        <w:spacing w:after="0"/>
        <w:ind w:left="703" w:right="62"/>
      </w:pPr>
      <w:r>
        <w:t>Docume</w:t>
      </w:r>
      <w:r>
        <w:t xml:space="preserve">nto técnico a rellenar por los licitadores que es necesario para hacer el informe de los juicios de valor.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10" w:line="249" w:lineRule="auto"/>
        <w:ind w:left="703"/>
        <w:jc w:val="left"/>
      </w:pPr>
      <w:r>
        <w:rPr>
          <w:u w:val="single" w:color="000000"/>
        </w:rPr>
        <w:t>Anexo 6: Listado de fiestas y eventos especiales a considerar para limpieza viaria.</w:t>
      </w:r>
      <w:r>
        <w:t xml:space="preserve"> </w:t>
      </w:r>
    </w:p>
    <w:p w:rsidR="007617AD" w:rsidRDefault="00EE75C8">
      <w:pPr>
        <w:spacing w:after="11"/>
        <w:ind w:left="703" w:right="62"/>
      </w:pPr>
      <w:r>
        <w:t>Documento técnico de fiestas y eventos especiales a conside</w:t>
      </w:r>
      <w:r>
        <w:t xml:space="preserve">rar para limpieza viaria.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10" w:line="249" w:lineRule="auto"/>
        <w:ind w:left="703"/>
        <w:jc w:val="left"/>
      </w:pPr>
      <w:r>
        <w:rPr>
          <w:u w:val="single" w:color="000000"/>
        </w:rPr>
        <w:t>Anexo 7: Sectores del municipio:</w:t>
      </w:r>
      <w:r>
        <w:t xml:space="preserve">  </w:t>
      </w:r>
    </w:p>
    <w:p w:rsidR="007617AD" w:rsidRDefault="00EE75C8">
      <w:pPr>
        <w:spacing w:after="0" w:line="248" w:lineRule="auto"/>
        <w:ind w:left="703" w:right="34"/>
        <w:jc w:val="left"/>
      </w:pPr>
      <w:r>
        <w:t xml:space="preserve">Documento técnico que divide el municipio en los siguientes siete sectores: Barranco Hondo Alto, Barranco Hondo Bajo, Las Caletillas, Igueste, Punta Larga, Candelaria Casco, Playa Viuda, Araya y Malpaís de Candelaria. </w:t>
      </w:r>
    </w:p>
    <w:p w:rsidR="007617AD" w:rsidRDefault="00EE75C8">
      <w:pPr>
        <w:spacing w:after="0" w:line="259" w:lineRule="auto"/>
        <w:ind w:left="708" w:firstLine="0"/>
        <w:jc w:val="left"/>
      </w:pPr>
      <w:r>
        <w:t xml:space="preserve"> </w:t>
      </w:r>
    </w:p>
    <w:p w:rsidR="007617AD" w:rsidRDefault="00EE75C8">
      <w:pPr>
        <w:spacing w:after="10" w:line="249" w:lineRule="auto"/>
        <w:ind w:left="703"/>
        <w:jc w:val="left"/>
      </w:pPr>
      <w:r>
        <w:rPr>
          <w:u w:val="single" w:color="000000"/>
        </w:rPr>
        <w:t>Anexo 8: Inventario de contenedores</w:t>
      </w:r>
      <w:r>
        <w:rPr>
          <w:u w:val="single" w:color="000000"/>
        </w:rPr>
        <w:t xml:space="preserve"> y papeleras.</w:t>
      </w:r>
      <w:r>
        <w:t xml:space="preserve"> </w:t>
      </w:r>
    </w:p>
    <w:p w:rsidR="007617AD" w:rsidRDefault="00EE75C8">
      <w:pPr>
        <w:spacing w:after="11"/>
        <w:ind w:left="703" w:right="62"/>
      </w:pPr>
      <w:r>
        <w:t xml:space="preserve">Documento técnico que establece el inventario de contenedores y papeleras. </w:t>
      </w:r>
    </w:p>
    <w:p w:rsidR="007617AD" w:rsidRDefault="00EE75C8">
      <w:pPr>
        <w:spacing w:after="0" w:line="259" w:lineRule="auto"/>
        <w:ind w:left="708" w:firstLine="0"/>
        <w:jc w:val="left"/>
      </w:pPr>
      <w:r>
        <w:t xml:space="preserve"> </w:t>
      </w:r>
    </w:p>
    <w:p w:rsidR="007617AD" w:rsidRDefault="00EE75C8">
      <w:pPr>
        <w:spacing w:after="10" w:line="249" w:lineRule="auto"/>
        <w:ind w:left="703"/>
        <w:jc w:val="left"/>
      </w:pPr>
      <w:r>
        <w:rPr>
          <w:u w:val="single" w:color="000000"/>
        </w:rPr>
        <w:t>Anexo 9: Maquinaria mínima de nueva adquisición.</w:t>
      </w:r>
      <w:r>
        <w:t xml:space="preserve"> </w:t>
      </w:r>
    </w:p>
    <w:p w:rsidR="007617AD" w:rsidRDefault="00EE75C8">
      <w:pPr>
        <w:spacing w:after="11"/>
        <w:ind w:left="703" w:right="62"/>
      </w:pPr>
      <w:r>
        <w:t xml:space="preserve">Documento técnico en el que se especifica la maquinaria mínima exigible. </w:t>
      </w:r>
    </w:p>
    <w:p w:rsidR="007617AD" w:rsidRDefault="00EE75C8">
      <w:pPr>
        <w:spacing w:after="0" w:line="259" w:lineRule="auto"/>
        <w:ind w:left="708" w:firstLine="0"/>
        <w:jc w:val="left"/>
      </w:pPr>
      <w:r>
        <w:t xml:space="preserve"> </w:t>
      </w:r>
    </w:p>
    <w:p w:rsidR="007617AD" w:rsidRDefault="00EE75C8">
      <w:pPr>
        <w:spacing w:after="10" w:line="249" w:lineRule="auto"/>
        <w:ind w:left="703"/>
        <w:jc w:val="left"/>
      </w:pPr>
      <w:r>
        <w:rPr>
          <w:u w:val="single" w:color="000000"/>
        </w:rPr>
        <w:t xml:space="preserve">Anexo 10: Planes a desarrollar en la </w:t>
      </w:r>
      <w:r>
        <w:rPr>
          <w:u w:val="single" w:color="000000"/>
        </w:rPr>
        <w:t>oferta.</w:t>
      </w:r>
      <w:r>
        <w:t xml:space="preserve"> </w:t>
      </w:r>
    </w:p>
    <w:p w:rsidR="007617AD" w:rsidRDefault="00EE75C8">
      <w:pPr>
        <w:spacing w:after="11"/>
        <w:ind w:left="703" w:right="62"/>
      </w:pPr>
      <w:r>
        <w:t xml:space="preserve">Documento técnico en el que se describe los diferentes planes a presentar por los licitadores que serán enjuiciados mediante los juicios de valor. </w:t>
      </w:r>
    </w:p>
    <w:p w:rsidR="007617AD" w:rsidRDefault="00EE75C8">
      <w:pPr>
        <w:spacing w:after="0" w:line="259" w:lineRule="auto"/>
        <w:ind w:left="708" w:firstLine="0"/>
        <w:jc w:val="left"/>
      </w:pPr>
      <w:r>
        <w:t xml:space="preserve"> </w:t>
      </w:r>
    </w:p>
    <w:p w:rsidR="007617AD" w:rsidRDefault="00EE75C8">
      <w:pPr>
        <w:spacing w:after="10" w:line="249" w:lineRule="auto"/>
        <w:ind w:left="703"/>
        <w:jc w:val="left"/>
      </w:pPr>
      <w:r>
        <w:rPr>
          <w:u w:val="single" w:color="000000"/>
        </w:rPr>
        <w:t>Anexo 11: Justificación de la no división en lotes</w:t>
      </w:r>
      <w:r>
        <w:t xml:space="preserve"> </w:t>
      </w:r>
    </w:p>
    <w:p w:rsidR="007617AD" w:rsidRDefault="00EE75C8">
      <w:pPr>
        <w:spacing w:after="0" w:line="259" w:lineRule="auto"/>
        <w:ind w:left="708" w:firstLine="0"/>
        <w:jc w:val="left"/>
      </w:pPr>
      <w:r>
        <w:t xml:space="preserve"> </w:t>
      </w:r>
    </w:p>
    <w:p w:rsidR="007617AD" w:rsidRDefault="00EE75C8">
      <w:pPr>
        <w:spacing w:after="0"/>
        <w:ind w:left="703" w:right="62"/>
      </w:pPr>
      <w:r>
        <w:t>Documento técnico en el que se describe med</w:t>
      </w:r>
      <w:r>
        <w:t xml:space="preserve">iante cuadros comparativos económicos las razones antieconómicas de la división en lotes del contrato. </w:t>
      </w:r>
    </w:p>
    <w:p w:rsidR="007617AD" w:rsidRDefault="00EE75C8">
      <w:pPr>
        <w:spacing w:after="0" w:line="259" w:lineRule="auto"/>
        <w:ind w:left="708" w:firstLine="0"/>
        <w:jc w:val="left"/>
      </w:pPr>
      <w:r>
        <w:t xml:space="preserve"> </w:t>
      </w:r>
    </w:p>
    <w:p w:rsidR="007617AD" w:rsidRDefault="00EE75C8">
      <w:pPr>
        <w:spacing w:after="10" w:line="249" w:lineRule="auto"/>
        <w:ind w:left="703"/>
        <w:jc w:val="left"/>
      </w:pPr>
      <w:r>
        <w:rPr>
          <w:u w:val="single" w:color="000000"/>
        </w:rPr>
        <w:t>Anexo 12: Estudio económico</w:t>
      </w:r>
      <w:r>
        <w:t>.</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ind w:left="703" w:right="62"/>
      </w:pPr>
      <w:r>
        <w:t>Se describe el presupuesto base de licitación con una duración del contrato de 7 años. Se adjunta el informe técnico d</w:t>
      </w:r>
      <w:r>
        <w:t xml:space="preserve">e 21 de abril de 2021 que describe la estructura de costes del servicio de gestión de residuos, limpieza viaria y del litoral del Ayuntamiento de Candelaria. </w:t>
      </w:r>
    </w:p>
    <w:p w:rsidR="007617AD" w:rsidRDefault="00EE75C8">
      <w:pPr>
        <w:spacing w:after="11"/>
        <w:ind w:left="703" w:right="62"/>
      </w:pPr>
      <w:r>
        <w:t xml:space="preserve">Se adjunta el informe técnico de 25 de enero de 2022. </w:t>
      </w:r>
    </w:p>
    <w:p w:rsidR="007617AD" w:rsidRDefault="00EE75C8">
      <w:pPr>
        <w:spacing w:after="0"/>
        <w:ind w:left="703" w:right="62"/>
      </w:pPr>
      <w:r>
        <w:t xml:space="preserve">Se adjunta el certificado del acuerdo del </w:t>
      </w:r>
      <w:r>
        <w:t>Pleno de 3 de junio de 2021 por el que se aprobó la propuesta de la Alcaldesa-Presidenta de fecha 21 de abril de 2021 al Pleno sobre aprobación de la propuesta de la estructura de costes del servicio de gestión de residuos, limpieza viaria y del litoral de</w:t>
      </w:r>
      <w:r>
        <w:t xml:space="preserve">l municipio de Candelaria según el informe técnico de 21 de abril de 2021. </w:t>
      </w:r>
    </w:p>
    <w:p w:rsidR="007617AD" w:rsidRDefault="00EE75C8">
      <w:pPr>
        <w:spacing w:after="0" w:line="259" w:lineRule="auto"/>
        <w:ind w:left="708" w:firstLine="0"/>
        <w:jc w:val="left"/>
      </w:pPr>
      <w:r>
        <w:t xml:space="preserve"> </w:t>
      </w:r>
    </w:p>
    <w:p w:rsidR="007617AD" w:rsidRDefault="00EE75C8">
      <w:pPr>
        <w:spacing w:after="0"/>
        <w:ind w:left="703" w:right="62"/>
      </w:pPr>
      <w:r>
        <w:t xml:space="preserve">Se adjunta el certificado de la Junta Consultiva de Contratación Administrativa del Gobierno de Canarias de 8 de abril de 2022 cuya conclusión establece: </w:t>
      </w:r>
    </w:p>
    <w:p w:rsidR="007617AD" w:rsidRDefault="00EE75C8">
      <w:pPr>
        <w:spacing w:after="0" w:line="259" w:lineRule="auto"/>
        <w:ind w:left="708" w:firstLine="0"/>
        <w:jc w:val="left"/>
      </w:pPr>
      <w:r>
        <w:t xml:space="preserve"> </w:t>
      </w:r>
    </w:p>
    <w:p w:rsidR="007617AD" w:rsidRDefault="00EE75C8">
      <w:pPr>
        <w:spacing w:after="0" w:line="248" w:lineRule="auto"/>
        <w:ind w:left="703" w:right="59"/>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1844" name="Group 25184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604" name="Rectangle 260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605" name="Rectangle 2605"/>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20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1844" style="width:12.7031pt;height:280.02pt;position:absolute;mso-position-horizontal-relative:page;mso-position-horizontal:absolute;margin-left:682.278pt;mso-position-vertical-relative:page;margin-top:531.9pt;" coordsize="1613,35562">
                <v:rect id="Rectangle 260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605"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192 </w:t>
                        </w:r>
                      </w:p>
                    </w:txbxContent>
                  </v:textbox>
                </v:rect>
                <w10:wrap type="square"/>
              </v:group>
            </w:pict>
          </mc:Fallback>
        </mc:AlternateContent>
      </w:r>
      <w:r>
        <w:rPr>
          <w:i/>
        </w:rPr>
        <w:t>“La propuesta de estructura de costes del expediente de contra</w:t>
      </w:r>
      <w:r>
        <w:rPr>
          <w:i/>
        </w:rPr>
        <w:t>tación del servicio de gestión de residuos, limpieza viaria y del litoral de Candelaria sometida a la consideración de la Junta Consultiva de Contratación Administrativa de Canarias, se ajusta a las disposiciones contenidas en el artículo 7 y 9 del Real De</w:t>
      </w:r>
      <w:r>
        <w:rPr>
          <w:i/>
        </w:rPr>
        <w:t xml:space="preserve">creto 55/2007. </w:t>
      </w:r>
    </w:p>
    <w:p w:rsidR="007617AD" w:rsidRDefault="00EE75C8">
      <w:pPr>
        <w:spacing w:after="4" w:line="248" w:lineRule="auto"/>
        <w:ind w:left="703" w:right="59"/>
      </w:pPr>
      <w:r>
        <w:rPr>
          <w:i/>
        </w:rPr>
        <w:t>La Junta Consultiva de Contratación Administrativa de la Comunidad Autónoma de Canarias, cumple con el trámite preceptivo a la propuesta de estructura de costes remitida por el Ayuntamiento de Candelaria de conformidad con lo dispuesto en l</w:t>
      </w:r>
      <w:r>
        <w:rPr>
          <w:i/>
        </w:rPr>
        <w:t xml:space="preserve">a letra d) del apartado 7 del artículo 9 del Real Decreto 55/2017, ya citado”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tabs>
          <w:tab w:val="center" w:pos="708"/>
          <w:tab w:val="center" w:pos="4229"/>
        </w:tabs>
        <w:spacing w:after="10" w:line="249" w:lineRule="auto"/>
        <w:ind w:left="0" w:firstLine="0"/>
        <w:jc w:val="left"/>
      </w:pPr>
      <w:r>
        <w:rPr>
          <w:rFonts w:ascii="Calibri" w:eastAsia="Calibri" w:hAnsi="Calibri" w:cs="Calibri"/>
        </w:rPr>
        <w:tab/>
      </w:r>
      <w:r>
        <w:t xml:space="preserve">  </w:t>
      </w:r>
      <w:r>
        <w:tab/>
      </w:r>
      <w:r>
        <w:rPr>
          <w:u w:val="single" w:color="000000"/>
        </w:rPr>
        <w:t>Séptimo- Pliego de cláusulas administrativas particulares.</w:t>
      </w:r>
      <w:r>
        <w:rPr>
          <w:rFonts w:ascii="Times New Roman" w:eastAsia="Times New Roman" w:hAnsi="Times New Roman" w:cs="Times New Roman"/>
          <w:sz w:val="24"/>
        </w:rPr>
        <w:t xml:space="preserve"> </w:t>
      </w:r>
    </w:p>
    <w:p w:rsidR="007617AD" w:rsidRDefault="00EE75C8">
      <w:pPr>
        <w:spacing w:after="10" w:line="249" w:lineRule="auto"/>
        <w:ind w:left="1851"/>
        <w:jc w:val="left"/>
      </w:pPr>
      <w:r>
        <w:rPr>
          <w:u w:val="single" w:color="000000"/>
        </w:rPr>
        <w:t>Que contiene de conformidad con el artículo 122 de la LCSP las siguientes cláusulas</w:t>
      </w:r>
      <w:r>
        <w:t xml:space="preserve"> </w:t>
      </w:r>
    </w:p>
    <w:p w:rsidR="007617AD" w:rsidRDefault="00EE75C8">
      <w:pPr>
        <w:spacing w:after="111" w:line="249" w:lineRule="auto"/>
        <w:ind w:left="703"/>
        <w:jc w:val="left"/>
      </w:pPr>
      <w:r>
        <w:rPr>
          <w:u w:val="single" w:color="000000"/>
        </w:rPr>
        <w:t>entre las que destacamos:</w:t>
      </w:r>
      <w:r>
        <w:t xml:space="preserve"> </w:t>
      </w:r>
    </w:p>
    <w:p w:rsidR="007617AD" w:rsidRDefault="00EE75C8">
      <w:pPr>
        <w:ind w:left="1851" w:right="62"/>
      </w:pPr>
      <w:r>
        <w:t xml:space="preserve">1.- Objeto y calificación del contrato. </w:t>
      </w:r>
    </w:p>
    <w:p w:rsidR="007617AD" w:rsidRDefault="00EE75C8">
      <w:pPr>
        <w:spacing w:after="11"/>
        <w:ind w:left="1851" w:right="62"/>
      </w:pPr>
      <w:r>
        <w:t xml:space="preserve">2.- Procedimiento de selección y adjudicación: abierto, pluralidad de criterios de </w:t>
      </w:r>
    </w:p>
    <w:p w:rsidR="007617AD" w:rsidRDefault="00EE75C8">
      <w:pPr>
        <w:ind w:left="703" w:right="62"/>
      </w:pPr>
      <w:r>
        <w:t xml:space="preserve">adjudicación. </w:t>
      </w:r>
    </w:p>
    <w:p w:rsidR="007617AD" w:rsidRDefault="00EE75C8">
      <w:pPr>
        <w:ind w:left="1851" w:right="62"/>
      </w:pPr>
      <w:r>
        <w:t xml:space="preserve">3.- Perfil del contratante. </w:t>
      </w:r>
    </w:p>
    <w:p w:rsidR="007617AD" w:rsidRDefault="00EE75C8">
      <w:pPr>
        <w:ind w:left="693" w:right="62" w:firstLine="1133"/>
      </w:pPr>
      <w:r>
        <w:t>4.- Presupuesto base de licitación (21.872.763,33 euros) y v</w:t>
      </w:r>
      <w:r>
        <w:t xml:space="preserve">alor estimado del contrato (20.357.722, 14 euros). </w:t>
      </w:r>
    </w:p>
    <w:p w:rsidR="007617AD" w:rsidRDefault="00EE75C8">
      <w:pPr>
        <w:ind w:left="1851" w:right="62"/>
      </w:pPr>
      <w:r>
        <w:t xml:space="preserve">5.- Existencia de crédito. </w:t>
      </w:r>
    </w:p>
    <w:p w:rsidR="007617AD" w:rsidRDefault="00EE75C8">
      <w:pPr>
        <w:ind w:left="1851" w:right="62"/>
      </w:pPr>
      <w:r>
        <w:t xml:space="preserve">6.- Revisión de precios. </w:t>
      </w:r>
    </w:p>
    <w:p w:rsidR="007617AD" w:rsidRDefault="00EE75C8">
      <w:pPr>
        <w:ind w:left="1851" w:right="62"/>
      </w:pPr>
      <w:r>
        <w:t xml:space="preserve">7.- Plazo de duración del contrato: 7 años. </w:t>
      </w:r>
    </w:p>
    <w:p w:rsidR="007617AD" w:rsidRDefault="00EE75C8">
      <w:pPr>
        <w:ind w:left="1851" w:right="62"/>
      </w:pPr>
      <w:r>
        <w:t xml:space="preserve">8.- Acreditación de aptitud para contratar. </w:t>
      </w:r>
    </w:p>
    <w:p w:rsidR="007617AD" w:rsidRDefault="00EE75C8">
      <w:pPr>
        <w:ind w:left="1851" w:right="62"/>
      </w:pPr>
      <w:r>
        <w:t xml:space="preserve">9.- Acreditación de solvencia mediante clasificación. </w:t>
      </w:r>
    </w:p>
    <w:p w:rsidR="007617AD" w:rsidRDefault="00EE75C8">
      <w:pPr>
        <w:spacing w:after="11"/>
        <w:ind w:left="1851" w:right="62"/>
      </w:pPr>
      <w:r>
        <w:t xml:space="preserve">10.- </w:t>
      </w:r>
      <w:r>
        <w:t xml:space="preserve">Presentación de proposiciones y documentación administrativa: 35 días desde </w:t>
      </w:r>
    </w:p>
    <w:p w:rsidR="007617AD" w:rsidRDefault="00EE75C8">
      <w:pPr>
        <w:ind w:left="703" w:right="62"/>
      </w:pPr>
      <w:r>
        <w:t xml:space="preserve">envío de anuncio a la UE. </w:t>
      </w:r>
    </w:p>
    <w:p w:rsidR="007617AD" w:rsidRDefault="00EE75C8">
      <w:pPr>
        <w:ind w:left="1851" w:right="62"/>
      </w:pPr>
      <w:r>
        <w:t xml:space="preserve">Archivo electrónico A, B, y C. </w:t>
      </w:r>
    </w:p>
    <w:p w:rsidR="007617AD" w:rsidRDefault="00EE75C8">
      <w:pPr>
        <w:ind w:left="1851" w:right="62"/>
      </w:pPr>
      <w:r>
        <w:t xml:space="preserve">12.- Criterios de adjudicación:  </w:t>
      </w:r>
    </w:p>
    <w:p w:rsidR="007617AD" w:rsidRDefault="00EE75C8">
      <w:pPr>
        <w:ind w:left="1851" w:right="62"/>
      </w:pPr>
      <w:r>
        <w:t xml:space="preserve">Fórmulas: 52 puntos.  </w:t>
      </w:r>
    </w:p>
    <w:p w:rsidR="007617AD" w:rsidRDefault="00EE75C8">
      <w:pPr>
        <w:spacing w:after="11"/>
        <w:ind w:left="1851" w:right="62"/>
      </w:pPr>
      <w:r>
        <w:t>Oferta económica, mejora de la recogida separada de residuos, c</w:t>
      </w:r>
      <w:r>
        <w:t xml:space="preserve">ompromiso en </w:t>
      </w:r>
    </w:p>
    <w:p w:rsidR="007617AD" w:rsidRDefault="00EE75C8">
      <w:pPr>
        <w:ind w:left="703" w:right="62"/>
      </w:pPr>
      <w:r>
        <w:t xml:space="preserve">concienciación medioambiental. </w:t>
      </w:r>
    </w:p>
    <w:p w:rsidR="007617AD" w:rsidRDefault="00EE75C8">
      <w:pPr>
        <w:ind w:left="1851" w:right="62"/>
      </w:pPr>
      <w:r>
        <w:t xml:space="preserve">Juicios de valor: 48 puntos. </w:t>
      </w:r>
    </w:p>
    <w:p w:rsidR="007617AD" w:rsidRDefault="00EE75C8">
      <w:pPr>
        <w:spacing w:after="90"/>
        <w:ind w:left="1426" w:right="62"/>
      </w:pPr>
      <w:r>
        <w:t xml:space="preserve">Octavo.- Otros preceptos relativos a la tramitación del expediente </w:t>
      </w:r>
    </w:p>
    <w:p w:rsidR="007617AD" w:rsidRDefault="00EE75C8">
      <w:pPr>
        <w:ind w:left="703" w:right="62"/>
      </w:pPr>
      <w:r>
        <w:t>Los artículos 63, 99 a 102, 116, 117, 122, 124 y 131 a 158 y las Disposiciones Adicionales Segunda, Tercera y De</w:t>
      </w:r>
      <w:r>
        <w:t xml:space="preserve">cimoquinta de la Ley 9/2017, de 8 de noviembre, de Contratos del Sector Público, por la que se transponen al ordenamiento jurídico español las Directivas del Parlamento Europeo y del Consejo 2014/23/UE y 2014/24/UE, de 26 de febrero de 2014. </w:t>
      </w:r>
    </w:p>
    <w:p w:rsidR="007617AD" w:rsidRDefault="00EE75C8">
      <w:pPr>
        <w:spacing w:after="83"/>
        <w:ind w:left="703" w:right="62"/>
      </w:pPr>
      <w:r>
        <w:t xml:space="preserve">En particular: </w:t>
      </w:r>
      <w:r>
        <w:rPr>
          <w:rFonts w:ascii="Times New Roman" w:eastAsia="Times New Roman" w:hAnsi="Times New Roman" w:cs="Times New Roman"/>
          <w:sz w:val="24"/>
        </w:rPr>
        <w:t xml:space="preserve"> </w:t>
      </w:r>
    </w:p>
    <w:p w:rsidR="007617AD" w:rsidRDefault="00EE75C8">
      <w:pPr>
        <w:spacing w:after="83"/>
        <w:ind w:left="703" w:right="62"/>
      </w:pPr>
      <w:r>
        <w:t>1.- Perfil de contratante. Art 63 LCSP.</w:t>
      </w:r>
      <w:r>
        <w:rPr>
          <w:rFonts w:ascii="Times New Roman" w:eastAsia="Times New Roman" w:hAnsi="Times New Roman" w:cs="Times New Roman"/>
          <w:sz w:val="24"/>
        </w:rPr>
        <w:t xml:space="preserve"> </w:t>
      </w:r>
    </w:p>
    <w:p w:rsidR="007617AD" w:rsidRDefault="00EE75C8">
      <w:pPr>
        <w:spacing w:after="83"/>
        <w:ind w:left="703" w:right="62"/>
      </w:pPr>
      <w:r>
        <w:t>2.- Objeto del contrato: Artículo 99 LCSP.</w:t>
      </w:r>
      <w:r>
        <w:rPr>
          <w:rFonts w:ascii="Times New Roman" w:eastAsia="Times New Roman" w:hAnsi="Times New Roman" w:cs="Times New Roman"/>
          <w:sz w:val="24"/>
        </w:rPr>
        <w:t xml:space="preserve"> </w:t>
      </w:r>
    </w:p>
    <w:p w:rsidR="007617AD" w:rsidRDefault="00EE75C8">
      <w:pPr>
        <w:spacing w:after="83"/>
        <w:ind w:left="703" w:right="62"/>
      </w:pPr>
      <w:r>
        <w:t>3.- Presupuesto base de licitación y valor estimado. Arts. 100-101 LCSP.</w:t>
      </w:r>
      <w:r>
        <w:rPr>
          <w:rFonts w:ascii="Times New Roman" w:eastAsia="Times New Roman" w:hAnsi="Times New Roman" w:cs="Times New Roman"/>
          <w:sz w:val="24"/>
        </w:rPr>
        <w:t xml:space="preserve"> </w:t>
      </w:r>
    </w:p>
    <w:p w:rsidR="007617AD" w:rsidRDefault="00EE75C8">
      <w:pPr>
        <w:spacing w:after="83"/>
        <w:ind w:left="703" w:right="62"/>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2110" name="Group 25211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755" name="Rectangle 275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756" name="Rectangle 2756"/>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21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2110" style="width:12.7031pt;height:280.02pt;position:absolute;mso-position-horizontal-relative:page;mso-position-horizontal:absolute;margin-left:682.278pt;mso-position-vertical-relative:page;margin-top:531.9pt;" coordsize="1613,35562">
                <v:rect id="Rectangle 275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756"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192 </w:t>
                        </w:r>
                      </w:p>
                    </w:txbxContent>
                  </v:textbox>
                </v:rect>
                <w10:wrap type="square"/>
              </v:group>
            </w:pict>
          </mc:Fallback>
        </mc:AlternateContent>
      </w:r>
      <w:r>
        <w:t>4.- Contenido del expediente: Art. 116 LCSP.</w:t>
      </w:r>
      <w:r>
        <w:rPr>
          <w:rFonts w:ascii="Times New Roman" w:eastAsia="Times New Roman" w:hAnsi="Times New Roman" w:cs="Times New Roman"/>
          <w:sz w:val="24"/>
        </w:rPr>
        <w:t xml:space="preserve"> </w:t>
      </w:r>
    </w:p>
    <w:p w:rsidR="007617AD" w:rsidRDefault="00EE75C8">
      <w:pPr>
        <w:spacing w:after="83"/>
        <w:ind w:left="703" w:right="62"/>
      </w:pPr>
      <w:r>
        <w:t>5.- Aprobación d</w:t>
      </w:r>
      <w:r>
        <w:t>el expediente: Art. 117 LCSP.</w:t>
      </w:r>
      <w:r>
        <w:rPr>
          <w:rFonts w:ascii="Times New Roman" w:eastAsia="Times New Roman" w:hAnsi="Times New Roman" w:cs="Times New Roman"/>
          <w:sz w:val="24"/>
        </w:rPr>
        <w:t xml:space="preserve"> </w:t>
      </w:r>
    </w:p>
    <w:p w:rsidR="007617AD" w:rsidRDefault="00EE75C8">
      <w:pPr>
        <w:spacing w:after="83"/>
        <w:ind w:left="703" w:right="62"/>
      </w:pPr>
      <w:r>
        <w:t>6.- PCAP: Artículo 122 LCSP.</w:t>
      </w:r>
      <w:r>
        <w:rPr>
          <w:rFonts w:ascii="Times New Roman" w:eastAsia="Times New Roman" w:hAnsi="Times New Roman" w:cs="Times New Roman"/>
          <w:sz w:val="24"/>
        </w:rPr>
        <w:t xml:space="preserve"> </w:t>
      </w:r>
    </w:p>
    <w:p w:rsidR="007617AD" w:rsidRDefault="00EE75C8">
      <w:pPr>
        <w:spacing w:after="83"/>
        <w:ind w:left="703" w:right="62"/>
      </w:pPr>
      <w:r>
        <w:t>7.- PPTP: Árticulo 124 LCSP.</w:t>
      </w:r>
      <w:r>
        <w:rPr>
          <w:rFonts w:ascii="Times New Roman" w:eastAsia="Times New Roman" w:hAnsi="Times New Roman" w:cs="Times New Roman"/>
          <w:sz w:val="24"/>
        </w:rPr>
        <w:t xml:space="preserve"> </w:t>
      </w:r>
    </w:p>
    <w:p w:rsidR="007617AD" w:rsidRDefault="00EE75C8">
      <w:pPr>
        <w:spacing w:after="83"/>
        <w:ind w:left="703" w:right="62"/>
      </w:pPr>
      <w:r>
        <w:t>8.- Criterios de adjudicación del contrato: Artículo 145 LCSP.</w:t>
      </w:r>
      <w:r>
        <w:rPr>
          <w:rFonts w:ascii="Times New Roman" w:eastAsia="Times New Roman" w:hAnsi="Times New Roman" w:cs="Times New Roman"/>
          <w:sz w:val="24"/>
        </w:rPr>
        <w:t xml:space="preserve"> </w:t>
      </w:r>
    </w:p>
    <w:p w:rsidR="007617AD" w:rsidRDefault="00EE75C8">
      <w:pPr>
        <w:spacing w:after="69"/>
        <w:ind w:left="703" w:right="62"/>
      </w:pPr>
      <w:r>
        <w:t>9.- Adjudicación del contrato: 150-152 LCSP.</w:t>
      </w:r>
      <w:r>
        <w:rPr>
          <w:rFonts w:ascii="Times New Roman" w:eastAsia="Times New Roman" w:hAnsi="Times New Roman" w:cs="Times New Roman"/>
          <w:sz w:val="24"/>
        </w:rPr>
        <w:t xml:space="preserve"> </w:t>
      </w:r>
    </w:p>
    <w:p w:rsidR="007617AD" w:rsidRDefault="00EE75C8">
      <w:pPr>
        <w:spacing w:after="78"/>
        <w:ind w:left="703" w:right="62"/>
      </w:pPr>
      <w:r>
        <w:t>10.- Disposición Adicional Segunda: órgano de contratac</w:t>
      </w:r>
      <w:r>
        <w:t>ión es el Pleno al superar el valor estimado 10 por ciento de los recursos ordinarios del presupuesto.</w:t>
      </w:r>
      <w:r>
        <w:rPr>
          <w:rFonts w:ascii="Times New Roman" w:eastAsia="Times New Roman" w:hAnsi="Times New Roman" w:cs="Times New Roman"/>
          <w:sz w:val="24"/>
        </w:rPr>
        <w:t xml:space="preserve"> </w:t>
      </w:r>
    </w:p>
    <w:p w:rsidR="007617AD" w:rsidRDefault="00EE75C8">
      <w:pPr>
        <w:spacing w:after="76"/>
        <w:ind w:left="693" w:right="62" w:firstLine="708"/>
      </w:pPr>
      <w:r>
        <w:t>Es de aplicación el Real Decreto 817/2009, de 8 de mayo, por el que se desarrolla parcialmente la Ley 30/2007, de 30 de octubre, de Contratos del Sector</w:t>
      </w:r>
      <w:r>
        <w:t xml:space="preserve"> Público.</w:t>
      </w:r>
      <w:r>
        <w:rPr>
          <w:rFonts w:ascii="Times New Roman" w:eastAsia="Times New Roman" w:hAnsi="Times New Roman" w:cs="Times New Roman"/>
          <w:sz w:val="24"/>
        </w:rPr>
        <w:t xml:space="preserve"> </w:t>
      </w:r>
    </w:p>
    <w:p w:rsidR="007617AD" w:rsidRDefault="00EE75C8">
      <w:pPr>
        <w:spacing w:after="75"/>
        <w:ind w:left="693" w:right="62" w:firstLine="708"/>
      </w:pPr>
      <w:r>
        <w:t>El Real Decreto 1098/2001, de 12 de octubre, por el que se aprueba el Reglamento General de la Ley de Contratos de las Administraciones Públicas.</w:t>
      </w:r>
      <w:r>
        <w:rPr>
          <w:i/>
        </w:rPr>
        <w:t xml:space="preserve"> </w:t>
      </w:r>
      <w:r>
        <w:t>(Artículos vigentes tras la entrada en vigor del Real Decreto 817/2009, de 8 de mayo).</w:t>
      </w:r>
      <w:r>
        <w:rPr>
          <w:rFonts w:ascii="Times New Roman" w:eastAsia="Times New Roman" w:hAnsi="Times New Roman" w:cs="Times New Roman"/>
          <w:sz w:val="24"/>
        </w:rPr>
        <w:t xml:space="preserve"> </w:t>
      </w:r>
    </w:p>
    <w:p w:rsidR="007617AD" w:rsidRDefault="00EE75C8">
      <w:pPr>
        <w:spacing w:after="79" w:line="259" w:lineRule="auto"/>
        <w:ind w:left="699" w:firstLine="0"/>
        <w:jc w:val="center"/>
      </w:pPr>
      <w:r>
        <w:t xml:space="preserve"> </w:t>
      </w:r>
    </w:p>
    <w:p w:rsidR="007617AD" w:rsidRDefault="00EE75C8">
      <w:pPr>
        <w:spacing w:after="85" w:line="252" w:lineRule="auto"/>
        <w:ind w:left="993" w:right="342"/>
        <w:jc w:val="center"/>
      </w:pPr>
      <w:r>
        <w:t xml:space="preserve">PROPUESTA DE RESOLUCIÓN </w:t>
      </w:r>
    </w:p>
    <w:p w:rsidR="007617AD" w:rsidRDefault="00EE75C8">
      <w:pPr>
        <w:spacing w:after="0" w:line="259" w:lineRule="auto"/>
        <w:ind w:left="699" w:firstLine="0"/>
        <w:jc w:val="center"/>
      </w:pPr>
      <w:r>
        <w:t xml:space="preserve"> </w:t>
      </w:r>
    </w:p>
    <w:p w:rsidR="007617AD" w:rsidRDefault="00EE75C8">
      <w:pPr>
        <w:ind w:left="693" w:right="62" w:firstLine="708"/>
      </w:pPr>
      <w:r>
        <w:t>Primero.- Aprobar el expediente del contrato de servicios de recogida de residuos, limpieza viaria y del litoral del término municipal de Candelaria, mediante procedimiento abierto, sujeto a regulación armonizada y convocar su li</w:t>
      </w:r>
      <w:r>
        <w:t>citación y disponer la apertura del procedimiento de adjudicación.</w:t>
      </w:r>
      <w:r>
        <w:rPr>
          <w:rFonts w:ascii="Times New Roman" w:eastAsia="Times New Roman" w:hAnsi="Times New Roman" w:cs="Times New Roman"/>
          <w:sz w:val="24"/>
        </w:rPr>
        <w:t xml:space="preserve"> </w:t>
      </w:r>
    </w:p>
    <w:p w:rsidR="007617AD" w:rsidRDefault="00EE75C8">
      <w:pPr>
        <w:spacing w:after="81" w:line="259" w:lineRule="auto"/>
        <w:ind w:left="1416" w:firstLine="0"/>
        <w:jc w:val="left"/>
      </w:pPr>
      <w:r>
        <w:t xml:space="preserve"> </w:t>
      </w:r>
    </w:p>
    <w:p w:rsidR="007617AD" w:rsidRDefault="00EE75C8">
      <w:pPr>
        <w:ind w:left="693" w:right="62" w:firstLine="708"/>
      </w:pPr>
      <w:r>
        <w:t xml:space="preserve">Segundo. - Aprobar el gasto correspondiente por importe del presupuesto base de licitación de 21.782.763,33 euros con cargo a la aplicación presupuestaria siguiente y por el importe que </w:t>
      </w:r>
      <w:r>
        <w:t xml:space="preserve">se indica en la anualidad correspondiente: </w:t>
      </w:r>
    </w:p>
    <w:p w:rsidR="007617AD" w:rsidRDefault="00EE75C8">
      <w:pPr>
        <w:spacing w:after="0" w:line="259" w:lineRule="auto"/>
        <w:ind w:left="1416" w:firstLine="0"/>
        <w:jc w:val="left"/>
      </w:pPr>
      <w:r>
        <w:t xml:space="preserve"> </w:t>
      </w:r>
    </w:p>
    <w:p w:rsidR="007617AD" w:rsidRDefault="00EE75C8">
      <w:pPr>
        <w:spacing w:after="106" w:line="259" w:lineRule="auto"/>
        <w:ind w:left="1416" w:firstLine="0"/>
        <w:jc w:val="left"/>
      </w:pPr>
      <w:r>
        <w:t xml:space="preserve"> </w:t>
      </w:r>
    </w:p>
    <w:p w:rsidR="007617AD" w:rsidRDefault="00EE75C8">
      <w:pPr>
        <w:spacing w:after="0" w:line="259" w:lineRule="auto"/>
        <w:ind w:left="1416"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5965" name="Group 255965"/>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023" name="Rectangle 3023"/>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3024" name="Rectangle 3024"/>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22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5965" style="width:12.7031pt;height:280.02pt;position:absolute;mso-position-horizontal-relative:page;mso-position-horizontal:absolute;margin-left:682.278pt;mso-position-vertical-relative:page;margin-top:531.9pt;" coordsize="1613,35562">
                <v:rect id="Rectangle 3023"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024"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192 </w:t>
                        </w:r>
                      </w:p>
                    </w:txbxContent>
                  </v:textbox>
                </v:rect>
                <w10:wrap type="square"/>
              </v:group>
            </w:pict>
          </mc:Fallback>
        </mc:AlternateContent>
      </w:r>
      <w:r>
        <w:t xml:space="preserve"> </w:t>
      </w:r>
    </w:p>
    <w:tbl>
      <w:tblPr>
        <w:tblStyle w:val="TableGrid"/>
        <w:tblW w:w="8646" w:type="dxa"/>
        <w:tblInd w:w="713" w:type="dxa"/>
        <w:tblCellMar>
          <w:top w:w="9" w:type="dxa"/>
          <w:left w:w="106" w:type="dxa"/>
          <w:bottom w:w="0" w:type="dxa"/>
          <w:right w:w="115" w:type="dxa"/>
        </w:tblCellMar>
        <w:tblLook w:val="04A0" w:firstRow="1" w:lastRow="0" w:firstColumn="1" w:lastColumn="0" w:noHBand="0" w:noVBand="1"/>
      </w:tblPr>
      <w:tblGrid>
        <w:gridCol w:w="2883"/>
        <w:gridCol w:w="2880"/>
        <w:gridCol w:w="2883"/>
      </w:tblGrid>
      <w:tr w:rsidR="007617AD">
        <w:trPr>
          <w:trHeight w:val="389"/>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5" w:firstLine="0"/>
              <w:jc w:val="center"/>
            </w:pPr>
            <w:r>
              <w:rPr>
                <w:i/>
              </w:rPr>
              <w:t>Anualidad</w:t>
            </w:r>
            <w:r>
              <w:rPr>
                <w:i/>
              </w:rPr>
              <w:t xml:space="preserve">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72" w:firstLine="0"/>
              <w:jc w:val="left"/>
            </w:pPr>
            <w:r>
              <w:rPr>
                <w:i/>
              </w:rPr>
              <w:t xml:space="preserve">Aplicación presupuestaria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11" w:firstLine="0"/>
              <w:jc w:val="center"/>
            </w:pPr>
            <w:r>
              <w:rPr>
                <w:i/>
              </w:rPr>
              <w:t xml:space="preserve">Importe </w:t>
            </w:r>
          </w:p>
        </w:tc>
      </w:tr>
      <w:tr w:rsidR="007617AD">
        <w:trPr>
          <w:trHeight w:val="770"/>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 xml:space="preserve">2022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t xml:space="preserve">163.00-22700 </w:t>
            </w:r>
          </w:p>
          <w:p w:rsidR="007617AD" w:rsidRDefault="00EE75C8">
            <w:pPr>
              <w:spacing w:after="0" w:line="259" w:lineRule="auto"/>
              <w:ind w:left="0" w:firstLine="0"/>
              <w:jc w:val="left"/>
            </w:pPr>
            <w:r>
              <w:t xml:space="preserve">(RC.2.22.0.04024)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518.637,22 €</w:t>
            </w:r>
            <w:r>
              <w:rPr>
                <w:rFonts w:ascii="Times New Roman" w:eastAsia="Times New Roman" w:hAnsi="Times New Roman" w:cs="Times New Roman"/>
                <w:sz w:val="24"/>
              </w:rPr>
              <w:t xml:space="preserve"> </w:t>
            </w:r>
          </w:p>
        </w:tc>
      </w:tr>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 xml:space="preserve">2023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t xml:space="preserve">163.00-22700 </w:t>
            </w:r>
          </w:p>
          <w:p w:rsidR="007617AD" w:rsidRDefault="00EE75C8">
            <w:pPr>
              <w:spacing w:after="0" w:line="259" w:lineRule="auto"/>
              <w:ind w:left="0" w:firstLine="0"/>
              <w:jc w:val="left"/>
            </w:pPr>
            <w: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3.111.823,33 €</w:t>
            </w:r>
            <w:r>
              <w:rPr>
                <w:rFonts w:ascii="Times New Roman" w:eastAsia="Times New Roman" w:hAnsi="Times New Roman" w:cs="Times New Roman"/>
                <w:sz w:val="24"/>
              </w:rPr>
              <w:t xml:space="preserve"> </w:t>
            </w:r>
          </w:p>
        </w:tc>
      </w:tr>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 xml:space="preserve">2024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t xml:space="preserve">163.00-22700 </w:t>
            </w:r>
          </w:p>
          <w:p w:rsidR="007617AD" w:rsidRDefault="00EE75C8">
            <w:pPr>
              <w:spacing w:after="0" w:line="259" w:lineRule="auto"/>
              <w:ind w:left="0" w:firstLine="0"/>
              <w:jc w:val="left"/>
            </w:pPr>
            <w: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3.111.823,33 €</w:t>
            </w:r>
            <w:r>
              <w:rPr>
                <w:rFonts w:ascii="Times New Roman" w:eastAsia="Times New Roman" w:hAnsi="Times New Roman" w:cs="Times New Roman"/>
                <w:sz w:val="24"/>
              </w:rPr>
              <w:t xml:space="preserve"> </w:t>
            </w:r>
          </w:p>
        </w:tc>
      </w:tr>
      <w:tr w:rsidR="007617AD">
        <w:trPr>
          <w:trHeight w:val="771"/>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 xml:space="preserve">2025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8" w:line="259" w:lineRule="auto"/>
              <w:ind w:left="0" w:firstLine="0"/>
              <w:jc w:val="left"/>
            </w:pPr>
            <w:r>
              <w:t xml:space="preserve">163.00-22700 </w:t>
            </w:r>
          </w:p>
          <w:p w:rsidR="007617AD" w:rsidRDefault="00EE75C8">
            <w:pPr>
              <w:spacing w:after="0" w:line="259" w:lineRule="auto"/>
              <w:ind w:left="0" w:firstLine="0"/>
              <w:jc w:val="left"/>
            </w:pPr>
            <w: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3.111.823,33 €</w:t>
            </w:r>
            <w:r>
              <w:rPr>
                <w:rFonts w:ascii="Times New Roman" w:eastAsia="Times New Roman" w:hAnsi="Times New Roman" w:cs="Times New Roman"/>
                <w:sz w:val="24"/>
              </w:rPr>
              <w:t xml:space="preserve"> </w:t>
            </w:r>
          </w:p>
        </w:tc>
      </w:tr>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 xml:space="preserve">2026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t xml:space="preserve">163.00-22700 </w:t>
            </w:r>
          </w:p>
          <w:p w:rsidR="007617AD" w:rsidRDefault="00EE75C8">
            <w:pPr>
              <w:spacing w:after="0" w:line="259" w:lineRule="auto"/>
              <w:ind w:left="0" w:firstLine="0"/>
              <w:jc w:val="left"/>
            </w:pPr>
            <w: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3.111.823,33 €</w:t>
            </w:r>
            <w:r>
              <w:rPr>
                <w:rFonts w:ascii="Times New Roman" w:eastAsia="Times New Roman" w:hAnsi="Times New Roman" w:cs="Times New Roman"/>
                <w:sz w:val="24"/>
              </w:rPr>
              <w:t xml:space="preserve"> </w:t>
            </w:r>
          </w:p>
        </w:tc>
      </w:tr>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 xml:space="preserve">2027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t xml:space="preserve">163.00-22700 </w:t>
            </w:r>
          </w:p>
          <w:p w:rsidR="007617AD" w:rsidRDefault="00EE75C8">
            <w:pPr>
              <w:spacing w:after="0" w:line="259" w:lineRule="auto"/>
              <w:ind w:left="0" w:firstLine="0"/>
              <w:jc w:val="left"/>
            </w:pPr>
            <w: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3.111.823,33 €</w:t>
            </w:r>
            <w:r>
              <w:rPr>
                <w:rFonts w:ascii="Times New Roman" w:eastAsia="Times New Roman" w:hAnsi="Times New Roman" w:cs="Times New Roman"/>
                <w:sz w:val="24"/>
              </w:rPr>
              <w:t xml:space="preserve"> </w:t>
            </w:r>
          </w:p>
        </w:tc>
      </w:tr>
      <w:tr w:rsidR="007617AD">
        <w:trPr>
          <w:trHeight w:val="770"/>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 xml:space="preserve">2028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t xml:space="preserve">163.00-22700 </w:t>
            </w:r>
          </w:p>
          <w:p w:rsidR="007617AD" w:rsidRDefault="00EE75C8">
            <w:pPr>
              <w:spacing w:after="0" w:line="259" w:lineRule="auto"/>
              <w:ind w:left="0" w:firstLine="0"/>
              <w:jc w:val="left"/>
            </w:pPr>
            <w: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3.111.823,33 €</w:t>
            </w:r>
            <w:r>
              <w:rPr>
                <w:rFonts w:ascii="Times New Roman" w:eastAsia="Times New Roman" w:hAnsi="Times New Roman" w:cs="Times New Roman"/>
                <w:sz w:val="24"/>
              </w:rPr>
              <w:t xml:space="preserve"> </w:t>
            </w:r>
          </w:p>
        </w:tc>
      </w:tr>
      <w:tr w:rsidR="007617AD">
        <w:trPr>
          <w:trHeight w:val="769"/>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 xml:space="preserve">2029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6" w:line="259" w:lineRule="auto"/>
              <w:ind w:left="0" w:firstLine="0"/>
              <w:jc w:val="left"/>
            </w:pPr>
            <w:r>
              <w:t xml:space="preserve">163.00-22700 </w:t>
            </w:r>
          </w:p>
          <w:p w:rsidR="007617AD" w:rsidRDefault="00EE75C8">
            <w:pPr>
              <w:spacing w:after="0" w:line="259" w:lineRule="auto"/>
              <w:ind w:left="0" w:firstLine="0"/>
              <w:jc w:val="left"/>
            </w:pPr>
            <w: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t xml:space="preserve">2.593.186,11 € </w:t>
            </w:r>
          </w:p>
        </w:tc>
      </w:tr>
    </w:tbl>
    <w:p w:rsidR="007617AD" w:rsidRDefault="00EE75C8">
      <w:pPr>
        <w:spacing w:after="0" w:line="259" w:lineRule="auto"/>
        <w:ind w:left="1416" w:firstLine="0"/>
        <w:jc w:val="left"/>
      </w:pPr>
      <w:r>
        <w:t xml:space="preserve"> </w:t>
      </w:r>
    </w:p>
    <w:p w:rsidR="007617AD" w:rsidRDefault="00EE75C8">
      <w:pPr>
        <w:spacing w:after="0"/>
        <w:ind w:left="693" w:right="62" w:firstLine="708"/>
      </w:pPr>
      <w:r>
        <w:t xml:space="preserve">Tercero. - </w:t>
      </w:r>
      <w:r>
        <w:t xml:space="preserve">Aprobar los Pliegos de Cláusulas Administrativas Particulares (PCAP) y de Prescripciones Técnicas (PPTP) y sus anexos que rigen el contrato. </w:t>
      </w:r>
    </w:p>
    <w:p w:rsidR="007617AD" w:rsidRDefault="00EE75C8">
      <w:pPr>
        <w:spacing w:after="0" w:line="259" w:lineRule="auto"/>
        <w:ind w:left="1416" w:firstLine="0"/>
        <w:jc w:val="left"/>
      </w:pPr>
      <w:r>
        <w:t xml:space="preserve"> </w:t>
      </w:r>
    </w:p>
    <w:p w:rsidR="007617AD" w:rsidRDefault="00EE75C8">
      <w:pPr>
        <w:spacing w:after="0"/>
        <w:ind w:left="693" w:right="62" w:firstLine="708"/>
      </w:pPr>
      <w:r>
        <w:t>Cuarto. -   Publicar el anuncio de licitación en el perfil de contratante con el contenido contemplado en el ane</w:t>
      </w:r>
      <w:r>
        <w:t xml:space="preserve">xo III de la Ley 9/2017 de 8 de noviembre, de Contratos del Sector Público. </w:t>
      </w:r>
    </w:p>
    <w:p w:rsidR="007617AD" w:rsidRDefault="00EE75C8">
      <w:pPr>
        <w:spacing w:after="0" w:line="259" w:lineRule="auto"/>
        <w:ind w:left="708" w:firstLine="0"/>
        <w:jc w:val="left"/>
      </w:pPr>
      <w:r>
        <w:t xml:space="preserve">  </w:t>
      </w:r>
    </w:p>
    <w:p w:rsidR="007617AD" w:rsidRDefault="00EE75C8">
      <w:pPr>
        <w:spacing w:after="0"/>
        <w:ind w:left="703" w:right="62"/>
      </w:pPr>
      <w:r>
        <w:t xml:space="preserve">            Quinto. - Publicar en el perfil de contratante la siguiente documentación integrante del expediente de contratación: Memoria justificativa del contrato, PPTP, PCAP </w:t>
      </w:r>
      <w:r>
        <w:t>y el acuerdo plenario por el que se aprueba el expediente.</w:t>
      </w:r>
      <w:r>
        <w:rPr>
          <w:rFonts w:ascii="Times New Roman" w:eastAsia="Times New Roman" w:hAnsi="Times New Roman" w:cs="Times New Roman"/>
          <w:sz w:val="24"/>
        </w:rPr>
        <w:t xml:space="preserve"> </w:t>
      </w:r>
    </w:p>
    <w:p w:rsidR="007617AD" w:rsidRDefault="00EE75C8">
      <w:pPr>
        <w:spacing w:after="0" w:line="259" w:lineRule="auto"/>
        <w:ind w:left="1416" w:firstLine="0"/>
        <w:jc w:val="left"/>
      </w:pPr>
      <w:r>
        <w:t xml:space="preserve"> </w:t>
      </w:r>
    </w:p>
    <w:p w:rsidR="007617AD" w:rsidRDefault="00EE75C8">
      <w:pPr>
        <w:spacing w:after="93"/>
        <w:ind w:left="693" w:right="62" w:firstLine="708"/>
      </w:pPr>
      <w:r>
        <w:t>Sexto. - Designar Responsable del presente contrato a los empleados públicos municipales, Daniel Espejo Cómez y Javier González Gómez, que asumirán las funciones del responsable del contrato pre</w:t>
      </w:r>
      <w:r>
        <w:t xml:space="preserve">vistas en el artículo 62 de la Ley 9/2017, de 8 de noviembre, de Contratos del Sector Público. </w:t>
      </w:r>
    </w:p>
    <w:p w:rsidR="007617AD" w:rsidRDefault="00EE75C8">
      <w:pPr>
        <w:ind w:left="693" w:right="62" w:firstLine="708"/>
      </w:pPr>
      <w:r>
        <w:t>Séptimo. - Designar como Unidad encargada del seguimiento y ejecución del contrato: será el Área de Obras y Servicios Municipales y el Área de Urbanismo del ayu</w:t>
      </w:r>
      <w:r>
        <w:t xml:space="preserve">ntamiento de Candelaria” </w:t>
      </w:r>
    </w:p>
    <w:p w:rsidR="007617AD" w:rsidRDefault="00EE75C8">
      <w:pPr>
        <w:spacing w:after="100" w:line="259" w:lineRule="auto"/>
        <w:ind w:left="1841" w:firstLine="0"/>
        <w:jc w:val="left"/>
      </w:pPr>
      <w:r>
        <w:rPr>
          <w:b/>
        </w:rPr>
        <w:t xml:space="preserve"> </w:t>
      </w:r>
    </w:p>
    <w:p w:rsidR="007617AD" w:rsidRDefault="00EE75C8">
      <w:pPr>
        <w:ind w:left="703" w:right="58"/>
      </w:pPr>
      <w:r>
        <w:rPr>
          <w:b/>
        </w:rPr>
        <w:t xml:space="preserve">Por lo expuesto, se eleva propuesta de la Alcaldesa-Presidenta al Pleno de la Corporación para que ACUERDE: </w:t>
      </w:r>
    </w:p>
    <w:p w:rsidR="007617AD" w:rsidRDefault="00EE75C8">
      <w:pPr>
        <w:spacing w:after="0"/>
        <w:ind w:left="693" w:right="58" w:firstLine="708"/>
      </w:pPr>
      <w:r>
        <w:rPr>
          <w:b/>
        </w:rPr>
        <w:t xml:space="preserve">Primero. - Aprobar el expediente del contrato de </w:t>
      </w:r>
      <w:r>
        <w:rPr>
          <w:b/>
        </w:rPr>
        <w:t>servicios de recogida de residuos, limpieza viaria y del litoral del término municipal de Candelaria, mediante procedimiento abierto, sujeto a regulación armonizada y convocar su licitación y disponer la apertura del procedimiento de adjudicación.</w:t>
      </w:r>
      <w:r>
        <w:rPr>
          <w:rFonts w:ascii="Times New Roman" w:eastAsia="Times New Roman" w:hAnsi="Times New Roman" w:cs="Times New Roman"/>
          <w:sz w:val="24"/>
        </w:rPr>
        <w:t xml:space="preserve"> </w:t>
      </w:r>
    </w:p>
    <w:p w:rsidR="007617AD" w:rsidRDefault="00EE75C8">
      <w:pPr>
        <w:spacing w:after="81" w:line="259" w:lineRule="auto"/>
        <w:ind w:left="1416" w:firstLine="0"/>
        <w:jc w:val="left"/>
      </w:pPr>
      <w:r>
        <w:rPr>
          <w:b/>
        </w:rPr>
        <w:t xml:space="preserve"> </w:t>
      </w:r>
    </w:p>
    <w:p w:rsidR="007617AD" w:rsidRDefault="00EE75C8">
      <w:pPr>
        <w:ind w:left="693" w:right="58" w:firstLine="708"/>
      </w:pPr>
      <w:r>
        <w:rPr>
          <w:b/>
        </w:rPr>
        <w:t xml:space="preserve">Segundo. - Aprobar el gasto correspondiente por importe del presupuesto base de licitación de 21.782.763,33 euros con cargo a la aplicación presupuestaria siguiente y por el importe que se indica en la anualidad correspondiente: </w:t>
      </w:r>
    </w:p>
    <w:p w:rsidR="007617AD" w:rsidRDefault="00EE75C8">
      <w:pPr>
        <w:spacing w:after="0" w:line="259" w:lineRule="auto"/>
        <w:ind w:left="1416"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6098" name="Group 25609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316" name="Rectangle 331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w:t>
                              </w:r>
                              <w:r>
                                <w:rPr>
                                  <w:sz w:val="12"/>
                                </w:rPr>
                                <w:t xml:space="preserve">4GJD4WS6MQ5AJX5N2EM | Verificación: https://candelaria.sedelectronica.es/ </w:t>
                              </w:r>
                            </w:p>
                          </w:txbxContent>
                        </wps:txbx>
                        <wps:bodyPr horzOverflow="overflow" vert="horz" lIns="0" tIns="0" rIns="0" bIns="0" rtlCol="0">
                          <a:noAutofit/>
                        </wps:bodyPr>
                      </wps:wsp>
                      <wps:wsp>
                        <wps:cNvPr id="3317" name="Rectangle 3317"/>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23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6098" style="width:12.7031pt;height:280.02pt;position:absolute;mso-position-horizontal-relative:page;mso-position-horizontal:absolute;margin-left:682.278pt;mso-position-vertical-relative:page;margin-top:531.9pt;" coordsize="1613,35562">
                <v:rect id="Rectangle 331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317"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192 </w:t>
                        </w:r>
                      </w:p>
                    </w:txbxContent>
                  </v:textbox>
                </v:rect>
                <w10:wrap type="square"/>
              </v:group>
            </w:pict>
          </mc:Fallback>
        </mc:AlternateContent>
      </w:r>
      <w:r>
        <w:rPr>
          <w:b/>
        </w:rPr>
        <w:t xml:space="preserve"> </w:t>
      </w:r>
    </w:p>
    <w:tbl>
      <w:tblPr>
        <w:tblStyle w:val="TableGrid"/>
        <w:tblW w:w="8646" w:type="dxa"/>
        <w:tblInd w:w="713" w:type="dxa"/>
        <w:tblCellMar>
          <w:top w:w="7" w:type="dxa"/>
          <w:left w:w="106" w:type="dxa"/>
          <w:bottom w:w="0" w:type="dxa"/>
          <w:right w:w="115" w:type="dxa"/>
        </w:tblCellMar>
        <w:tblLook w:val="04A0" w:firstRow="1" w:lastRow="0" w:firstColumn="1" w:lastColumn="0" w:noHBand="0" w:noVBand="1"/>
      </w:tblPr>
      <w:tblGrid>
        <w:gridCol w:w="2883"/>
        <w:gridCol w:w="2880"/>
        <w:gridCol w:w="2883"/>
      </w:tblGrid>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7" w:firstLine="0"/>
              <w:jc w:val="center"/>
            </w:pPr>
            <w:r>
              <w:rPr>
                <w:b/>
                <w:i/>
              </w:rPr>
              <w:t xml:space="preserve">Anualidad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0" w:firstLine="0"/>
              <w:jc w:val="center"/>
            </w:pPr>
            <w:r>
              <w:rPr>
                <w:b/>
                <w:i/>
              </w:rPr>
              <w:t xml:space="preserve">Aplicación presupuestaria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9" w:firstLine="0"/>
              <w:jc w:val="center"/>
            </w:pPr>
            <w:r>
              <w:rPr>
                <w:b/>
                <w:i/>
              </w:rPr>
              <w:t xml:space="preserve">Importe </w:t>
            </w:r>
          </w:p>
        </w:tc>
      </w:tr>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2022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(RC.2.22.0.04024)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518.637,22 €</w:t>
            </w:r>
            <w:r>
              <w:rPr>
                <w:rFonts w:ascii="Times New Roman" w:eastAsia="Times New Roman" w:hAnsi="Times New Roman" w:cs="Times New Roman"/>
                <w:sz w:val="24"/>
              </w:rPr>
              <w:t xml:space="preserve"> </w:t>
            </w:r>
          </w:p>
        </w:tc>
      </w:tr>
      <w:tr w:rsidR="007617AD">
        <w:trPr>
          <w:trHeight w:val="770"/>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2023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3.111.823,33 €</w:t>
            </w:r>
            <w:r>
              <w:rPr>
                <w:rFonts w:ascii="Times New Roman" w:eastAsia="Times New Roman" w:hAnsi="Times New Roman" w:cs="Times New Roman"/>
                <w:sz w:val="24"/>
              </w:rPr>
              <w:t xml:space="preserve"> </w:t>
            </w:r>
          </w:p>
        </w:tc>
      </w:tr>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2024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3.111.823,33 €</w:t>
            </w:r>
            <w:r>
              <w:rPr>
                <w:rFonts w:ascii="Times New Roman" w:eastAsia="Times New Roman" w:hAnsi="Times New Roman" w:cs="Times New Roman"/>
                <w:sz w:val="24"/>
              </w:rPr>
              <w:t xml:space="preserve"> </w:t>
            </w:r>
          </w:p>
        </w:tc>
      </w:tr>
      <w:tr w:rsidR="007617AD">
        <w:trPr>
          <w:trHeight w:val="770"/>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2025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7"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3.111.823,33 €</w:t>
            </w:r>
            <w:r>
              <w:rPr>
                <w:rFonts w:ascii="Times New Roman" w:eastAsia="Times New Roman" w:hAnsi="Times New Roman" w:cs="Times New Roman"/>
                <w:sz w:val="24"/>
              </w:rPr>
              <w:t xml:space="preserve"> </w:t>
            </w:r>
          </w:p>
        </w:tc>
      </w:tr>
      <w:tr w:rsidR="007617AD">
        <w:trPr>
          <w:trHeight w:val="769"/>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2026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3.111.823,33 €</w:t>
            </w:r>
            <w:r>
              <w:rPr>
                <w:rFonts w:ascii="Times New Roman" w:eastAsia="Times New Roman" w:hAnsi="Times New Roman" w:cs="Times New Roman"/>
                <w:sz w:val="24"/>
              </w:rPr>
              <w:t xml:space="preserve"> </w:t>
            </w:r>
          </w:p>
        </w:tc>
      </w:tr>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2027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3.111.823,33 €</w:t>
            </w:r>
            <w:r>
              <w:rPr>
                <w:rFonts w:ascii="Times New Roman" w:eastAsia="Times New Roman" w:hAnsi="Times New Roman" w:cs="Times New Roman"/>
                <w:sz w:val="24"/>
              </w:rPr>
              <w:t xml:space="preserve"> </w:t>
            </w:r>
          </w:p>
        </w:tc>
      </w:tr>
      <w:tr w:rsidR="007617AD">
        <w:trPr>
          <w:trHeight w:val="770"/>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2028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3.111.823,33 €</w:t>
            </w:r>
            <w:r>
              <w:rPr>
                <w:rFonts w:ascii="Times New Roman" w:eastAsia="Times New Roman" w:hAnsi="Times New Roman" w:cs="Times New Roman"/>
                <w:sz w:val="24"/>
              </w:rPr>
              <w:t xml:space="preserve"> </w:t>
            </w:r>
          </w:p>
        </w:tc>
      </w:tr>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2029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2.593.186,11 € </w:t>
            </w:r>
          </w:p>
        </w:tc>
      </w:tr>
    </w:tbl>
    <w:p w:rsidR="007617AD" w:rsidRDefault="00EE75C8">
      <w:pPr>
        <w:spacing w:after="0" w:line="259" w:lineRule="auto"/>
        <w:ind w:left="1416" w:firstLine="0"/>
        <w:jc w:val="left"/>
      </w:pPr>
      <w:r>
        <w:rPr>
          <w:b/>
        </w:rPr>
        <w:t xml:space="preserve"> </w:t>
      </w:r>
    </w:p>
    <w:p w:rsidR="007617AD" w:rsidRDefault="00EE75C8">
      <w:pPr>
        <w:ind w:left="693" w:right="58" w:firstLine="708"/>
      </w:pPr>
      <w:r>
        <w:rPr>
          <w:b/>
        </w:rPr>
        <w:t xml:space="preserve">Tercero. - </w:t>
      </w:r>
      <w:r>
        <w:rPr>
          <w:b/>
        </w:rPr>
        <w:t xml:space="preserve">Aprobar los Pliegos de Cláusulas Administrativas Particulares (PCAP) y de Prescripciones Técnicas (PPTP) y sus anexos que rigen el contrato. </w:t>
      </w:r>
    </w:p>
    <w:p w:rsidR="007617AD" w:rsidRDefault="00EE75C8">
      <w:pPr>
        <w:spacing w:after="0" w:line="259" w:lineRule="auto"/>
        <w:ind w:left="1416" w:firstLine="0"/>
        <w:jc w:val="left"/>
      </w:pPr>
      <w:r>
        <w:rPr>
          <w:b/>
        </w:rPr>
        <w:t xml:space="preserve"> </w:t>
      </w:r>
    </w:p>
    <w:p w:rsidR="007617AD" w:rsidRDefault="00EE75C8">
      <w:pPr>
        <w:spacing w:after="0"/>
        <w:ind w:left="693" w:right="58" w:firstLine="708"/>
      </w:pPr>
      <w:r>
        <w:rPr>
          <w:b/>
        </w:rPr>
        <w:t>Cuarto. -   Publicar el anuncio de licitación en el perfil de contratante con el contenido contemplado en el ane</w:t>
      </w:r>
      <w:r>
        <w:rPr>
          <w:b/>
        </w:rPr>
        <w:t xml:space="preserve">xo III de la Ley 9/2017 de 8 de noviembre, de Contratos del Sector Público. </w:t>
      </w:r>
    </w:p>
    <w:p w:rsidR="007617AD" w:rsidRDefault="00EE75C8">
      <w:pPr>
        <w:spacing w:after="0" w:line="259" w:lineRule="auto"/>
        <w:ind w:left="708" w:firstLine="0"/>
        <w:jc w:val="left"/>
      </w:pPr>
      <w:r>
        <w:rPr>
          <w:b/>
        </w:rPr>
        <w:t xml:space="preserve">  </w:t>
      </w:r>
    </w:p>
    <w:p w:rsidR="007617AD" w:rsidRDefault="00EE75C8">
      <w:pPr>
        <w:spacing w:after="0"/>
        <w:ind w:left="703" w:right="58"/>
      </w:pPr>
      <w:r>
        <w:rPr>
          <w:b/>
        </w:rPr>
        <w:t xml:space="preserve">            Quinto. - Publicar en el perfil de contratante la siguiente documentación integrante del expediente de contratación: Memoria justificativa del contrato, PPTP, PCAP </w:t>
      </w:r>
      <w:r>
        <w:rPr>
          <w:b/>
        </w:rPr>
        <w:t>y el acuerdo plenario por el que se aprueba el expediente.</w:t>
      </w:r>
      <w:r>
        <w:rPr>
          <w:rFonts w:ascii="Times New Roman" w:eastAsia="Times New Roman" w:hAnsi="Times New Roman" w:cs="Times New Roman"/>
          <w:sz w:val="24"/>
        </w:rPr>
        <w:t xml:space="preserve"> </w:t>
      </w:r>
    </w:p>
    <w:p w:rsidR="007617AD" w:rsidRDefault="00EE75C8">
      <w:pPr>
        <w:spacing w:after="0" w:line="259" w:lineRule="auto"/>
        <w:ind w:left="1416" w:firstLine="0"/>
        <w:jc w:val="left"/>
      </w:pPr>
      <w:r>
        <w:rPr>
          <w:b/>
        </w:rPr>
        <w:t xml:space="preserve"> </w:t>
      </w:r>
    </w:p>
    <w:p w:rsidR="007617AD" w:rsidRDefault="00EE75C8">
      <w:pPr>
        <w:ind w:left="693" w:right="58" w:firstLine="708"/>
      </w:pPr>
      <w:r>
        <w:rPr>
          <w:b/>
        </w:rPr>
        <w:t>Sexto. - Designar Responsable del presente contrato a los empleados públicos municipales, Daniel Espejo Cómez y Javier González Gómez, que asumirán las funciones del responsable del contrato pre</w:t>
      </w:r>
      <w:r>
        <w:rPr>
          <w:b/>
        </w:rPr>
        <w:t>vistas en el artículo 62 de la Ley 9/2017, de 8 de noviembre, de Contratos del Sector Público.</w:t>
      </w:r>
      <w:r>
        <w:t xml:space="preserve"> </w:t>
      </w:r>
    </w:p>
    <w:p w:rsidR="007617AD" w:rsidRDefault="00EE75C8">
      <w:pPr>
        <w:ind w:left="693" w:right="58" w:firstLine="708"/>
      </w:pPr>
      <w:r>
        <w:rPr>
          <w:b/>
        </w:rPr>
        <w:t>Séptimo. - Designar como Unidad encargada del seguimiento y ejecución del contrato: será el Área de Obras y Servicios Municipales y el Área de Urbanismo del ayu</w:t>
      </w:r>
      <w:r>
        <w:rPr>
          <w:b/>
        </w:rPr>
        <w:t>ntamiento de Candelaria.</w:t>
      </w:r>
      <w:r>
        <w:t xml:space="preserve"> </w:t>
      </w:r>
    </w:p>
    <w:p w:rsidR="007617AD" w:rsidRDefault="00EE75C8">
      <w:pPr>
        <w:spacing w:after="98" w:line="259" w:lineRule="auto"/>
        <w:ind w:left="1841" w:firstLine="0"/>
        <w:jc w:val="left"/>
      </w:pPr>
      <w:r>
        <w:rPr>
          <w:b/>
        </w:rPr>
        <w:t xml:space="preserve"> </w:t>
      </w:r>
    </w:p>
    <w:p w:rsidR="007617AD" w:rsidRDefault="00EE75C8">
      <w:pPr>
        <w:spacing w:after="11"/>
        <w:ind w:left="703" w:right="58"/>
      </w:pPr>
      <w:r>
        <w:rPr>
          <w:b/>
        </w:rPr>
        <w:t xml:space="preserve">DICTAMEN FAVORABLE DE LA COMISIÓN INFORMATIVA DE HACIENDA, RECURSOS </w:t>
      </w:r>
    </w:p>
    <w:p w:rsidR="007617AD" w:rsidRDefault="00EE75C8">
      <w:pPr>
        <w:spacing w:after="11"/>
        <w:ind w:left="703" w:right="58"/>
      </w:pPr>
      <w:r>
        <w:rPr>
          <w:b/>
        </w:rPr>
        <w:t xml:space="preserve">HUMANOS Y SERVICIOS GENERALES DE 27 DE JUNIO DE 2022 </w:t>
      </w:r>
    </w:p>
    <w:p w:rsidR="007617AD" w:rsidRDefault="00EE75C8">
      <w:pPr>
        <w:spacing w:after="0" w:line="259" w:lineRule="auto"/>
        <w:ind w:left="708" w:firstLine="0"/>
        <w:jc w:val="left"/>
      </w:pPr>
      <w:r>
        <w:t xml:space="preserve"> </w:t>
      </w:r>
    </w:p>
    <w:p w:rsidR="007617AD" w:rsidRDefault="00EE75C8">
      <w:pPr>
        <w:spacing w:after="0"/>
        <w:ind w:left="703" w:right="58"/>
      </w:pPr>
      <w:r>
        <w:rPr>
          <w:b/>
        </w:rPr>
        <w:t xml:space="preserve">El expediente con la propuesta previamente transcrita fue dictaminado con carácter favorable por la Comisión informativa con la siguiente votación: </w:t>
      </w:r>
    </w:p>
    <w:p w:rsidR="007617AD" w:rsidRDefault="00EE75C8">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46937" name="Group 24693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464" name="Rectangle 346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3465" name="Rectangle 3465"/>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w:t>
                              </w:r>
                              <w:r>
                                <w:rPr>
                                  <w:sz w:val="12"/>
                                </w:rPr>
                                <w:t xml:space="preserve">mento firmado electrónicamente desde la plataforma esPublico Gestiona | Página 24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46937" style="width:12.7031pt;height:280.02pt;position:absolute;mso-position-horizontal-relative:page;mso-position-horizontal:absolute;margin-left:682.278pt;mso-position-vertical-relative:page;margin-top:531.9pt;" coordsize="1613,35562">
                <v:rect id="Rectangle 346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465"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192 </w:t>
                        </w:r>
                      </w:p>
                    </w:txbxContent>
                  </v:textbox>
                </v:rect>
                <w10:wrap type="square"/>
              </v:group>
            </w:pict>
          </mc:Fallback>
        </mc:AlternateContent>
      </w:r>
      <w:r>
        <w:rPr>
          <w:b/>
        </w:rPr>
        <w:t xml:space="preserve"> </w:t>
      </w:r>
    </w:p>
    <w:p w:rsidR="007617AD" w:rsidRDefault="00EE75C8">
      <w:pPr>
        <w:spacing w:after="11"/>
        <w:ind w:left="703" w:right="62"/>
      </w:pPr>
      <w:r>
        <w:t xml:space="preserve">Votos a favor: 4. </w:t>
      </w:r>
    </w:p>
    <w:p w:rsidR="007617AD" w:rsidRDefault="00EE75C8">
      <w:pPr>
        <w:spacing w:after="0"/>
        <w:ind w:left="703" w:right="62"/>
      </w:pPr>
      <w:r>
        <w:t xml:space="preserve">Don Airam Pérez Chinea, Don Jorge Baute Delgado, Don Manuel Alberto González Pestano y Doña Margarita Eva Tendero Barroso. </w:t>
      </w:r>
    </w:p>
    <w:p w:rsidR="007617AD" w:rsidRDefault="00EE75C8">
      <w:pPr>
        <w:spacing w:after="0" w:line="259" w:lineRule="auto"/>
        <w:ind w:left="708" w:firstLine="0"/>
        <w:jc w:val="left"/>
      </w:pPr>
      <w:r>
        <w:t xml:space="preserve"> </w:t>
      </w:r>
    </w:p>
    <w:p w:rsidR="007617AD" w:rsidRDefault="00EE75C8">
      <w:pPr>
        <w:spacing w:after="11"/>
        <w:ind w:left="703" w:right="62"/>
      </w:pPr>
      <w:r>
        <w:t>Votos en contra: 0.</w:t>
      </w:r>
      <w:r>
        <w:t xml:space="preserve">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Abstenciones: 2. </w:t>
      </w:r>
    </w:p>
    <w:p w:rsidR="007617AD" w:rsidRDefault="00EE75C8">
      <w:pPr>
        <w:spacing w:after="0"/>
        <w:ind w:left="703" w:right="62"/>
      </w:pPr>
      <w:r>
        <w:t xml:space="preserve">2 de las concejales del Grupo Mixto: Doña Ángela Cruz Perera (CC-PNC) y Doña Lourdes del Carmen Mondéjar Rondón (SSP).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JUNTA DE PORTAVOCES DE 27 DE JUNIO DE 2022.  </w:t>
      </w:r>
    </w:p>
    <w:p w:rsidR="007617AD" w:rsidRDefault="00EE75C8">
      <w:pPr>
        <w:spacing w:after="11"/>
        <w:ind w:left="703" w:right="62"/>
      </w:pPr>
      <w:r>
        <w:t xml:space="preserve">Quedó oída.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11"/>
        <w:ind w:left="703" w:right="58"/>
      </w:pPr>
      <w:r>
        <w:rPr>
          <w:b/>
        </w:rPr>
        <w:t>VOTACIÓN EN EL PLENO DE 30 DE JUNIO DE 2022.</w:t>
      </w: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11"/>
        <w:ind w:left="703" w:right="62"/>
      </w:pPr>
      <w:r>
        <w:t xml:space="preserve">Votos a favor: 12. </w:t>
      </w:r>
    </w:p>
    <w:p w:rsidR="007617AD" w:rsidRDefault="00EE75C8">
      <w:pPr>
        <w:ind w:left="703" w:right="62"/>
      </w:pPr>
      <w:r>
        <w:t>10 concejales del Grupo Socialista: Doña María Concepción Brito Núñez, Doña Don Jorge Baute Delgado, Doña Olivia Concepción Pérez Díaz, Don José Francisco Pinto Ramos, Doña Hilaria Cecilia Otazo González, Don Airam Pérez Chinea, Doñ</w:t>
      </w:r>
      <w:r>
        <w:t xml:space="preserve">a Margarita Eva Tendero Barroso, Don Manuel Alberto González Pestano, Don Olegario Francisco Alonso Bello y Don Reinaldo José Triviño Blanco. </w:t>
      </w:r>
    </w:p>
    <w:p w:rsidR="007617AD" w:rsidRDefault="00EE75C8">
      <w:pPr>
        <w:ind w:left="703" w:right="62"/>
      </w:pPr>
      <w:r>
        <w:t xml:space="preserve">1 de la concejal del Grupo Mixto (CC-PNC): Doña Ángela Cruz Perera. </w:t>
      </w:r>
    </w:p>
    <w:p w:rsidR="007617AD" w:rsidRDefault="00EE75C8">
      <w:pPr>
        <w:numPr>
          <w:ilvl w:val="0"/>
          <w:numId w:val="9"/>
        </w:numPr>
        <w:ind w:left="877" w:right="62" w:hanging="184"/>
      </w:pPr>
      <w:r>
        <w:t>de la concejal del Grupo Mixto (VxC): Doña A</w:t>
      </w:r>
      <w:r>
        <w:t xml:space="preserve">licia Mercedes Marrero Meneses.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Votos en contra: 2. </w:t>
      </w:r>
    </w:p>
    <w:p w:rsidR="007617AD" w:rsidRDefault="00EE75C8">
      <w:pPr>
        <w:numPr>
          <w:ilvl w:val="0"/>
          <w:numId w:val="9"/>
        </w:numPr>
        <w:ind w:left="877" w:right="62" w:hanging="184"/>
      </w:pPr>
      <w:r>
        <w:t xml:space="preserve">de los concejales del Grupo Mixto (SSP), Doña Lourdes del Carmen Mondéjar Rondón y Don Antonio Delgado García. </w:t>
      </w:r>
    </w:p>
    <w:p w:rsidR="007617AD" w:rsidRDefault="00EE75C8">
      <w:pPr>
        <w:spacing w:after="98" w:line="259" w:lineRule="auto"/>
        <w:ind w:left="708" w:firstLine="0"/>
        <w:jc w:val="left"/>
      </w:pPr>
      <w:r>
        <w:t xml:space="preserve"> </w:t>
      </w:r>
    </w:p>
    <w:p w:rsidR="007617AD" w:rsidRDefault="00EE75C8">
      <w:pPr>
        <w:spacing w:after="11"/>
        <w:ind w:left="703" w:right="62"/>
      </w:pPr>
      <w:r>
        <w:t xml:space="preserve">Abstenciones: 2. </w:t>
      </w:r>
    </w:p>
    <w:p w:rsidR="007617AD" w:rsidRDefault="00EE75C8">
      <w:pPr>
        <w:spacing w:after="0"/>
        <w:ind w:left="703" w:right="62"/>
      </w:pPr>
      <w:r>
        <w:t xml:space="preserve">2 de los concejales del Grupo Popular: Don Andrés Rodríguez Delgado y Don Jacobo López Fariña. </w:t>
      </w:r>
    </w:p>
    <w:p w:rsidR="007617AD" w:rsidRDefault="00EE75C8">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250450" name="Group 25045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708" name="Rectangle 370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3709" name="Rectangle 3709"/>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plataforma es</w:t>
                              </w:r>
                              <w:r>
                                <w:rPr>
                                  <w:sz w:val="12"/>
                                </w:rPr>
                                <w:t xml:space="preserve">Publico Gestiona | Página 25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0450" style="width:12.7031pt;height:280.02pt;position:absolute;mso-position-horizontal-relative:page;mso-position-horizontal:absolute;margin-left:682.278pt;mso-position-vertical-relative:page;margin-top:531.9pt;" coordsize="1613,35562">
                <v:rect id="Rectangle 370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709"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192 </w:t>
                        </w:r>
                      </w:p>
                    </w:txbxContent>
                  </v:textbox>
                </v:rect>
                <w10:wrap type="topAndBottom"/>
              </v:group>
            </w:pict>
          </mc:Fallback>
        </mc:AlternateContent>
      </w:r>
      <w:r>
        <w:t xml:space="preserve"> </w:t>
      </w:r>
    </w:p>
    <w:p w:rsidR="007617AD" w:rsidRDefault="00EE75C8">
      <w:pPr>
        <w:spacing w:after="0" w:line="259" w:lineRule="auto"/>
        <w:ind w:left="708" w:firstLine="0"/>
        <w:jc w:val="left"/>
      </w:pPr>
      <w:r>
        <w:t xml:space="preserve"> </w:t>
      </w:r>
    </w:p>
    <w:p w:rsidR="007617AD" w:rsidRDefault="00EE75C8">
      <w:pPr>
        <w:spacing w:after="0" w:line="265" w:lineRule="auto"/>
        <w:ind w:left="905" w:right="388"/>
        <w:jc w:val="center"/>
      </w:pPr>
      <w:r>
        <w:rPr>
          <w:b/>
        </w:rPr>
        <w:t xml:space="preserve">ACUERDO DEL PLENO DE 30 DE JUNIO DE 2022. </w:t>
      </w:r>
    </w:p>
    <w:p w:rsidR="007617AD" w:rsidRDefault="00EE75C8">
      <w:pPr>
        <w:spacing w:after="0" w:line="259" w:lineRule="auto"/>
        <w:ind w:left="2835" w:firstLine="0"/>
        <w:jc w:val="left"/>
      </w:pPr>
      <w:r>
        <w:rPr>
          <w:b/>
        </w:rPr>
        <w:t xml:space="preserve"> </w:t>
      </w:r>
    </w:p>
    <w:p w:rsidR="007617AD" w:rsidRDefault="00EE75C8">
      <w:pPr>
        <w:spacing w:after="77"/>
        <w:ind w:left="693" w:right="58" w:firstLine="708"/>
      </w:pPr>
      <w:r>
        <w:rPr>
          <w:b/>
        </w:rPr>
        <w:t>Primero. - Aprobar el expediente del contrato de servicios de recogida de residuos, limpieza viaria y del litoral del término municipal de Candelaria, mediante procedimie</w:t>
      </w:r>
      <w:r>
        <w:rPr>
          <w:b/>
        </w:rPr>
        <w:t>nto abierto, sujeto a regulación armonizada y convocar su licitación y disponer la apertura del procedimiento de adjudicación.</w:t>
      </w:r>
      <w:r>
        <w:rPr>
          <w:rFonts w:ascii="Times New Roman" w:eastAsia="Times New Roman" w:hAnsi="Times New Roman" w:cs="Times New Roman"/>
          <w:sz w:val="24"/>
        </w:rPr>
        <w:t xml:space="preserve"> </w:t>
      </w:r>
    </w:p>
    <w:p w:rsidR="007617AD" w:rsidRDefault="00EE75C8">
      <w:pPr>
        <w:spacing w:after="0"/>
        <w:ind w:left="693" w:right="58" w:firstLine="708"/>
      </w:pPr>
      <w:r>
        <w:rPr>
          <w:b/>
        </w:rPr>
        <w:t xml:space="preserve">Segundo. - </w:t>
      </w:r>
      <w:r>
        <w:rPr>
          <w:b/>
        </w:rPr>
        <w:t xml:space="preserve">Aprobar el gasto correspondiente por importe del presupuesto base de licitación de 21.782.763,33 euros con cargo a la aplicación presupuestaria siguiente y por el importe que se indica en la anualidad correspondiente: </w:t>
      </w:r>
    </w:p>
    <w:p w:rsidR="007617AD" w:rsidRDefault="00EE75C8">
      <w:pPr>
        <w:spacing w:after="0" w:line="259" w:lineRule="auto"/>
        <w:ind w:left="708" w:firstLine="0"/>
        <w:jc w:val="left"/>
      </w:pPr>
      <w:r>
        <w:rPr>
          <w:b/>
        </w:rPr>
        <w:t xml:space="preserve"> </w:t>
      </w:r>
    </w:p>
    <w:tbl>
      <w:tblPr>
        <w:tblStyle w:val="TableGrid"/>
        <w:tblW w:w="8646" w:type="dxa"/>
        <w:tblInd w:w="713" w:type="dxa"/>
        <w:tblCellMar>
          <w:top w:w="7" w:type="dxa"/>
          <w:left w:w="106" w:type="dxa"/>
          <w:bottom w:w="0" w:type="dxa"/>
          <w:right w:w="115" w:type="dxa"/>
        </w:tblCellMar>
        <w:tblLook w:val="04A0" w:firstRow="1" w:lastRow="0" w:firstColumn="1" w:lastColumn="0" w:noHBand="0" w:noVBand="1"/>
      </w:tblPr>
      <w:tblGrid>
        <w:gridCol w:w="2883"/>
        <w:gridCol w:w="2880"/>
        <w:gridCol w:w="2883"/>
      </w:tblGrid>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7" w:firstLine="0"/>
              <w:jc w:val="center"/>
            </w:pPr>
            <w:r>
              <w:rPr>
                <w:b/>
                <w:i/>
              </w:rPr>
              <w:t xml:space="preserve">Anualidad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0" w:firstLine="0"/>
              <w:jc w:val="center"/>
            </w:pPr>
            <w:r>
              <w:rPr>
                <w:b/>
                <w:i/>
              </w:rPr>
              <w:t>Aplicación presupuestari</w:t>
            </w:r>
            <w:r>
              <w:rPr>
                <w:b/>
                <w:i/>
              </w:rPr>
              <w:t xml:space="preserve">a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9" w:firstLine="0"/>
              <w:jc w:val="center"/>
            </w:pPr>
            <w:r>
              <w:rPr>
                <w:b/>
                <w:i/>
              </w:rPr>
              <w:t xml:space="preserve">Importe </w:t>
            </w:r>
          </w:p>
        </w:tc>
      </w:tr>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2022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(RC.2.22.0.04024)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518.637,22 €</w:t>
            </w:r>
            <w:r>
              <w:rPr>
                <w:rFonts w:ascii="Times New Roman" w:eastAsia="Times New Roman" w:hAnsi="Times New Roman" w:cs="Times New Roman"/>
                <w:sz w:val="24"/>
              </w:rPr>
              <w:t xml:space="preserve"> </w:t>
            </w:r>
          </w:p>
        </w:tc>
      </w:tr>
      <w:tr w:rsidR="007617AD">
        <w:trPr>
          <w:trHeight w:val="771"/>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2023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3.111.823,33 €</w:t>
            </w:r>
            <w:r>
              <w:rPr>
                <w:rFonts w:ascii="Times New Roman" w:eastAsia="Times New Roman" w:hAnsi="Times New Roman" w:cs="Times New Roman"/>
                <w:sz w:val="24"/>
              </w:rPr>
              <w:t xml:space="preserve"> </w:t>
            </w:r>
          </w:p>
        </w:tc>
      </w:tr>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2024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3.111.823,33 €</w:t>
            </w:r>
            <w:r>
              <w:rPr>
                <w:rFonts w:ascii="Times New Roman" w:eastAsia="Times New Roman" w:hAnsi="Times New Roman" w:cs="Times New Roman"/>
                <w:sz w:val="24"/>
              </w:rPr>
              <w:t xml:space="preserve"> </w:t>
            </w:r>
          </w:p>
        </w:tc>
      </w:tr>
      <w:tr w:rsidR="007617AD">
        <w:trPr>
          <w:trHeight w:val="770"/>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2025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3.111.823,33 €</w:t>
            </w:r>
            <w:r>
              <w:rPr>
                <w:rFonts w:ascii="Times New Roman" w:eastAsia="Times New Roman" w:hAnsi="Times New Roman" w:cs="Times New Roman"/>
                <w:sz w:val="24"/>
              </w:rPr>
              <w:t xml:space="preserve"> </w:t>
            </w:r>
          </w:p>
        </w:tc>
      </w:tr>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2026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3.111.823,33 €</w:t>
            </w:r>
            <w:r>
              <w:rPr>
                <w:rFonts w:ascii="Times New Roman" w:eastAsia="Times New Roman" w:hAnsi="Times New Roman" w:cs="Times New Roman"/>
                <w:sz w:val="24"/>
              </w:rPr>
              <w:t xml:space="preserve"> </w:t>
            </w:r>
          </w:p>
        </w:tc>
      </w:tr>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2027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3.111.823,33 €</w:t>
            </w:r>
            <w:r>
              <w:rPr>
                <w:rFonts w:ascii="Times New Roman" w:eastAsia="Times New Roman" w:hAnsi="Times New Roman" w:cs="Times New Roman"/>
                <w:sz w:val="24"/>
              </w:rPr>
              <w:t xml:space="preserve"> </w:t>
            </w:r>
          </w:p>
        </w:tc>
      </w:tr>
      <w:tr w:rsidR="007617AD">
        <w:trPr>
          <w:trHeight w:val="391"/>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2028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0" w:firstLine="0"/>
              <w:jc w:val="left"/>
            </w:pPr>
            <w:r>
              <w:rPr>
                <w:b/>
              </w:rPr>
              <w:t xml:space="preserve">163.00-22700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3.111.823,33 €</w:t>
            </w:r>
            <w:r>
              <w:rPr>
                <w:rFonts w:ascii="Times New Roman" w:eastAsia="Times New Roman" w:hAnsi="Times New Roman" w:cs="Times New Roman"/>
                <w:sz w:val="24"/>
              </w:rPr>
              <w:t xml:space="preserve"> </w:t>
            </w:r>
          </w:p>
        </w:tc>
      </w:tr>
      <w:tr w:rsidR="007617AD">
        <w:trPr>
          <w:trHeight w:val="391"/>
        </w:trPr>
        <w:tc>
          <w:tcPr>
            <w:tcW w:w="2883" w:type="dxa"/>
            <w:tcBorders>
              <w:top w:val="single" w:sz="4" w:space="0" w:color="A6A6A6"/>
              <w:left w:val="single" w:sz="4" w:space="0" w:color="A6A6A6"/>
              <w:bottom w:val="single" w:sz="4" w:space="0" w:color="A6A6A6"/>
              <w:right w:val="single" w:sz="4" w:space="0" w:color="A6A6A6"/>
            </w:tcBorders>
          </w:tcPr>
          <w:p w:rsidR="007617AD" w:rsidRDefault="007617AD">
            <w:pPr>
              <w:spacing w:after="160" w:line="259" w:lineRule="auto"/>
              <w:ind w:left="0" w:firstLine="0"/>
              <w:jc w:val="left"/>
            </w:pP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0" w:firstLine="0"/>
              <w:jc w:val="left"/>
            </w:pPr>
            <w:r>
              <w:rPr>
                <w:b/>
              </w:rP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7617AD">
            <w:pPr>
              <w:spacing w:after="160" w:line="259" w:lineRule="auto"/>
              <w:ind w:left="0" w:firstLine="0"/>
              <w:jc w:val="left"/>
            </w:pPr>
          </w:p>
        </w:tc>
      </w:tr>
      <w:tr w:rsidR="007617AD">
        <w:trPr>
          <w:trHeight w:val="768"/>
        </w:trPr>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2029 </w:t>
            </w:r>
          </w:p>
        </w:tc>
        <w:tc>
          <w:tcPr>
            <w:tcW w:w="2880" w:type="dxa"/>
            <w:tcBorders>
              <w:top w:val="single" w:sz="4" w:space="0" w:color="A6A6A6"/>
              <w:left w:val="single" w:sz="4" w:space="0" w:color="A6A6A6"/>
              <w:bottom w:val="single" w:sz="4" w:space="0" w:color="A6A6A6"/>
              <w:right w:val="single" w:sz="4" w:space="0" w:color="A6A6A6"/>
            </w:tcBorders>
          </w:tcPr>
          <w:p w:rsidR="007617AD" w:rsidRDefault="00EE75C8">
            <w:pPr>
              <w:spacing w:after="105" w:line="259" w:lineRule="auto"/>
              <w:ind w:left="0" w:firstLine="0"/>
              <w:jc w:val="left"/>
            </w:pPr>
            <w:r>
              <w:rPr>
                <w:b/>
              </w:rPr>
              <w:t xml:space="preserve">163.00-22700 </w:t>
            </w:r>
          </w:p>
          <w:p w:rsidR="007617AD" w:rsidRDefault="00EE75C8">
            <w:pPr>
              <w:spacing w:after="0" w:line="259" w:lineRule="auto"/>
              <w:ind w:left="0" w:firstLine="0"/>
              <w:jc w:val="left"/>
            </w:pPr>
            <w:r>
              <w:rPr>
                <w:b/>
              </w:rPr>
              <w:t xml:space="preserve">RC.2.22.2.04025) </w:t>
            </w:r>
          </w:p>
        </w:tc>
        <w:tc>
          <w:tcPr>
            <w:tcW w:w="2883" w:type="dxa"/>
            <w:tcBorders>
              <w:top w:val="single" w:sz="4" w:space="0" w:color="A6A6A6"/>
              <w:left w:val="single" w:sz="4" w:space="0" w:color="A6A6A6"/>
              <w:bottom w:val="single" w:sz="4" w:space="0" w:color="A6A6A6"/>
              <w:right w:val="single" w:sz="4" w:space="0" w:color="A6A6A6"/>
            </w:tcBorders>
          </w:tcPr>
          <w:p w:rsidR="007617AD" w:rsidRDefault="00EE75C8">
            <w:pPr>
              <w:spacing w:after="0" w:line="259" w:lineRule="auto"/>
              <w:ind w:left="2" w:firstLine="0"/>
              <w:jc w:val="left"/>
            </w:pPr>
            <w:r>
              <w:rPr>
                <w:b/>
              </w:rPr>
              <w:t xml:space="preserve">2.593.186,11 € </w:t>
            </w:r>
          </w:p>
        </w:tc>
      </w:tr>
    </w:tbl>
    <w:p w:rsidR="007617AD" w:rsidRDefault="00EE75C8">
      <w:pPr>
        <w:spacing w:after="0" w:line="259" w:lineRule="auto"/>
        <w:ind w:left="1416" w:firstLine="0"/>
        <w:jc w:val="left"/>
      </w:pPr>
      <w:r>
        <w:rPr>
          <w:b/>
        </w:rPr>
        <w:t xml:space="preserve"> </w:t>
      </w:r>
    </w:p>
    <w:p w:rsidR="007617AD" w:rsidRDefault="00EE75C8">
      <w:pPr>
        <w:spacing w:after="0"/>
        <w:ind w:left="693" w:right="58" w:firstLine="708"/>
      </w:pPr>
      <w:r>
        <w:rPr>
          <w:b/>
        </w:rPr>
        <w:t xml:space="preserve">Tercero. - </w:t>
      </w:r>
      <w:r>
        <w:rPr>
          <w:b/>
        </w:rPr>
        <w:t xml:space="preserve">Aprobar los Pliegos de Cláusulas Administrativas Particulares (PCAP) de fecha 29 de junio de 2022 y de Prescripciones Técnicas (PPTP) y sus anexos de fecha 27 de junio de 2022 que rigen el contrato. </w:t>
      </w:r>
    </w:p>
    <w:p w:rsidR="007617AD" w:rsidRDefault="00EE75C8">
      <w:pPr>
        <w:spacing w:after="0" w:line="259" w:lineRule="auto"/>
        <w:ind w:left="1416" w:firstLine="0"/>
        <w:jc w:val="left"/>
      </w:pPr>
      <w:r>
        <w:rPr>
          <w:b/>
        </w:rPr>
        <w:t xml:space="preserve"> </w:t>
      </w:r>
    </w:p>
    <w:p w:rsidR="007617AD" w:rsidRDefault="00EE75C8">
      <w:pPr>
        <w:spacing w:after="0"/>
        <w:ind w:left="693" w:right="58" w:firstLine="708"/>
      </w:pPr>
      <w:r>
        <w:rPr>
          <w:b/>
        </w:rPr>
        <w:t>Cuarto. -   Publicar el anuncio de licitación en el pe</w:t>
      </w:r>
      <w:r>
        <w:rPr>
          <w:b/>
        </w:rPr>
        <w:t xml:space="preserve">rfil de contratante con el contenido contemplado en el anexo III de la Ley 9/2017 de 8 de noviembre, de Contratos del Sector Público. </w:t>
      </w:r>
    </w:p>
    <w:p w:rsidR="007617AD" w:rsidRDefault="00EE75C8">
      <w:pPr>
        <w:spacing w:after="0" w:line="259" w:lineRule="auto"/>
        <w:ind w:left="708" w:firstLine="0"/>
        <w:jc w:val="left"/>
      </w:pPr>
      <w:r>
        <w:rPr>
          <w:b/>
        </w:rPr>
        <w:t xml:space="preserve">  </w:t>
      </w:r>
    </w:p>
    <w:p w:rsidR="007617AD" w:rsidRDefault="00EE75C8">
      <w:pPr>
        <w:spacing w:after="0"/>
        <w:ind w:left="703" w:right="58"/>
      </w:pPr>
      <w:r>
        <w:rPr>
          <w:b/>
        </w:rPr>
        <w:t xml:space="preserve">            Quinto. - Publicar en el perfil de contratante la siguiente documentación integrante del expediente de con</w:t>
      </w:r>
      <w:r>
        <w:rPr>
          <w:b/>
        </w:rPr>
        <w:t>tratación: Memoria justificativa del contrato, PPTP, PCAP y el acuerdo plenario por el que se aprueba el expediente.</w:t>
      </w:r>
      <w:r>
        <w:rPr>
          <w:rFonts w:ascii="Times New Roman" w:eastAsia="Times New Roman" w:hAnsi="Times New Roman" w:cs="Times New Roman"/>
          <w:sz w:val="24"/>
        </w:rPr>
        <w:t xml:space="preserve"> </w:t>
      </w:r>
    </w:p>
    <w:p w:rsidR="007617AD" w:rsidRDefault="00EE75C8">
      <w:pPr>
        <w:spacing w:after="0" w:line="259" w:lineRule="auto"/>
        <w:ind w:left="1416" w:firstLine="0"/>
        <w:jc w:val="left"/>
      </w:pPr>
      <w:r>
        <w:rPr>
          <w:b/>
        </w:rPr>
        <w:t xml:space="preserve"> </w:t>
      </w:r>
    </w:p>
    <w:p w:rsidR="007617AD" w:rsidRDefault="00EE75C8">
      <w:pPr>
        <w:ind w:left="693" w:right="58" w:firstLine="708"/>
      </w:pPr>
      <w:r>
        <w:rPr>
          <w:b/>
        </w:rPr>
        <w:t xml:space="preserve">Sexto. - </w:t>
      </w:r>
      <w:r>
        <w:rPr>
          <w:b/>
        </w:rPr>
        <w:t>Designar Responsable del presente contrato a los empleados públicos municipales, el Ingeniero Técnico Industrial Don Daniel Espejo Cómez y el Arquitecto Técnico, Don Javier González Gómez, que asumirán las funciones del responsable del contrato previstas e</w:t>
      </w:r>
      <w:r>
        <w:rPr>
          <w:b/>
        </w:rPr>
        <w:t>n el artículo 62 de la Ley 9/2017, de 8 de noviembre, de Contratos del Sector Público.</w:t>
      </w:r>
      <w:r>
        <w:t xml:space="preserve"> </w:t>
      </w:r>
    </w:p>
    <w:p w:rsidR="007617AD" w:rsidRDefault="00EE75C8">
      <w:pPr>
        <w:ind w:left="693" w:right="58" w:firstLine="708"/>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247920" name="Group 24792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878" name="Rectangle 387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3879" name="Rectangle 3879"/>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w:t>
                              </w:r>
                              <w:r>
                                <w:rPr>
                                  <w:sz w:val="12"/>
                                </w:rPr>
                                <w:t xml:space="preserve">Gestiona | Página 26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47920" style="width:12.7031pt;height:280.02pt;position:absolute;mso-position-horizontal-relative:page;mso-position-horizontal:absolute;margin-left:682.278pt;mso-position-vertical-relative:page;margin-top:531.9pt;" coordsize="1613,35562">
                <v:rect id="Rectangle 387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879"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192 </w:t>
                        </w:r>
                      </w:p>
                    </w:txbxContent>
                  </v:textbox>
                </v:rect>
                <w10:wrap type="topAndBottom"/>
              </v:group>
            </w:pict>
          </mc:Fallback>
        </mc:AlternateContent>
      </w:r>
      <w:r>
        <w:rPr>
          <w:b/>
        </w:rPr>
        <w:t>Séptimo. - Designar como Unidad encargada del seguimiento y ejecución del contrato: será el Área de Obras y Servicios Municipales y el Área de Urbanismo del ayuntamiento de Candelaria.</w:t>
      </w: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26" w:line="259" w:lineRule="auto"/>
        <w:ind w:left="708" w:firstLine="0"/>
        <w:jc w:val="left"/>
      </w:pPr>
      <w:r>
        <w:t xml:space="preserve"> </w:t>
      </w:r>
    </w:p>
    <w:p w:rsidR="007617AD" w:rsidRDefault="00EE75C8">
      <w:pPr>
        <w:spacing w:after="175" w:line="259" w:lineRule="auto"/>
        <w:ind w:left="708" w:firstLine="0"/>
        <w:jc w:val="left"/>
      </w:pPr>
      <w:r>
        <w:rPr>
          <w:i/>
          <w:color w:val="222222"/>
        </w:rPr>
        <w:t xml:space="preserve"> </w:t>
      </w:r>
    </w:p>
    <w:p w:rsidR="007617AD" w:rsidRDefault="00EE75C8">
      <w:pPr>
        <w:spacing w:after="131" w:line="259" w:lineRule="auto"/>
        <w:ind w:left="708" w:firstLine="0"/>
        <w:jc w:val="left"/>
      </w:pPr>
      <w:r>
        <w:rPr>
          <w:i/>
          <w:color w:val="222222"/>
        </w:rPr>
        <w:t xml:space="preserve"> </w:t>
      </w:r>
    </w:p>
    <w:p w:rsidR="007617AD" w:rsidRDefault="00EE75C8">
      <w:pPr>
        <w:spacing w:after="0" w:line="259" w:lineRule="auto"/>
        <w:ind w:left="708" w:firstLine="0"/>
        <w:jc w:val="left"/>
      </w:pPr>
      <w:r>
        <w:t xml:space="preserve"> </w:t>
      </w:r>
    </w:p>
    <w:p w:rsidR="007617AD" w:rsidRDefault="00EE75C8">
      <w:pPr>
        <w:spacing w:after="98" w:line="259" w:lineRule="auto"/>
        <w:ind w:left="708" w:firstLine="0"/>
        <w:jc w:val="left"/>
      </w:pPr>
      <w:r>
        <w:rPr>
          <w:b/>
          <w:sz w:val="24"/>
        </w:rPr>
        <w:t xml:space="preserve"> </w:t>
      </w:r>
    </w:p>
    <w:p w:rsidR="007617AD" w:rsidRDefault="00EE75C8">
      <w:pPr>
        <w:spacing w:after="98" w:line="259" w:lineRule="auto"/>
        <w:ind w:left="708" w:firstLine="0"/>
        <w:jc w:val="left"/>
      </w:pPr>
      <w:r>
        <w:rPr>
          <w:b/>
          <w:sz w:val="24"/>
        </w:rPr>
        <w:t xml:space="preserve"> </w:t>
      </w:r>
    </w:p>
    <w:p w:rsidR="007617AD" w:rsidRDefault="00EE75C8">
      <w:pPr>
        <w:spacing w:after="98" w:line="259" w:lineRule="auto"/>
        <w:ind w:left="708" w:firstLine="0"/>
        <w:jc w:val="left"/>
      </w:pPr>
      <w:r>
        <w:rPr>
          <w:b/>
          <w:sz w:val="24"/>
        </w:rPr>
        <w:t xml:space="preserve"> </w:t>
      </w:r>
    </w:p>
    <w:p w:rsidR="007617AD" w:rsidRDefault="00EE75C8">
      <w:pPr>
        <w:spacing w:after="98" w:line="259" w:lineRule="auto"/>
        <w:ind w:left="708" w:firstLine="0"/>
        <w:jc w:val="left"/>
      </w:pPr>
      <w:r>
        <w:rPr>
          <w:b/>
          <w:sz w:val="24"/>
        </w:rPr>
        <w:t xml:space="preserve"> </w:t>
      </w:r>
    </w:p>
    <w:p w:rsidR="007617AD" w:rsidRDefault="00EE75C8">
      <w:pPr>
        <w:spacing w:after="98" w:line="259" w:lineRule="auto"/>
        <w:ind w:left="708" w:firstLine="0"/>
        <w:jc w:val="left"/>
      </w:pPr>
      <w:r>
        <w:rPr>
          <w:b/>
          <w:sz w:val="24"/>
        </w:rPr>
        <w:t xml:space="preserve"> </w:t>
      </w:r>
    </w:p>
    <w:p w:rsidR="007617AD" w:rsidRDefault="00EE75C8">
      <w:pPr>
        <w:spacing w:after="98" w:line="259" w:lineRule="auto"/>
        <w:ind w:left="708" w:firstLine="0"/>
        <w:jc w:val="left"/>
      </w:pPr>
      <w:r>
        <w:rPr>
          <w:b/>
          <w:sz w:val="24"/>
        </w:rPr>
        <w:t xml:space="preserve"> </w:t>
      </w:r>
    </w:p>
    <w:p w:rsidR="007617AD" w:rsidRDefault="00EE75C8">
      <w:pPr>
        <w:spacing w:after="98" w:line="259" w:lineRule="auto"/>
        <w:ind w:left="708" w:firstLine="0"/>
        <w:jc w:val="left"/>
      </w:pPr>
      <w:r>
        <w:rPr>
          <w:b/>
          <w:sz w:val="24"/>
        </w:rPr>
        <w:t xml:space="preserve"> </w:t>
      </w:r>
    </w:p>
    <w:p w:rsidR="007617AD" w:rsidRDefault="00EE75C8">
      <w:pPr>
        <w:spacing w:after="0" w:line="259" w:lineRule="auto"/>
        <w:ind w:left="708" w:firstLine="0"/>
        <w:jc w:val="left"/>
      </w:pPr>
      <w:r>
        <w:rPr>
          <w:b/>
          <w:sz w:val="24"/>
        </w:rPr>
        <w:t xml:space="preserve"> </w:t>
      </w:r>
    </w:p>
    <w:p w:rsidR="007617AD" w:rsidRDefault="00EE75C8">
      <w:pPr>
        <w:spacing w:after="101" w:line="241" w:lineRule="auto"/>
        <w:ind w:left="703" w:right="56"/>
      </w:pPr>
      <w:r>
        <w:rPr>
          <w:b/>
          <w:sz w:val="24"/>
        </w:rPr>
        <w:t xml:space="preserve">2.- </w:t>
      </w:r>
      <w:r>
        <w:rPr>
          <w:b/>
          <w:sz w:val="24"/>
        </w:rPr>
        <w:t xml:space="preserve">Expediente 6014/2022. Propuesta del Concejal delegado de Hacienda de fecha 22 de junio de 2022 al Pleno de modificación presupuestaria por suplemento de crédito por importe de 301.746,30 euros. </w:t>
      </w:r>
    </w:p>
    <w:p w:rsidR="007617AD" w:rsidRDefault="00EE75C8">
      <w:pPr>
        <w:spacing w:after="98" w:line="259" w:lineRule="auto"/>
        <w:ind w:left="708" w:firstLine="0"/>
        <w:jc w:val="left"/>
      </w:pPr>
      <w:r>
        <w:rPr>
          <w:b/>
          <w:sz w:val="24"/>
        </w:rPr>
        <w:t xml:space="preserve"> </w:t>
      </w:r>
    </w:p>
    <w:p w:rsidR="007617AD" w:rsidRDefault="00EE75C8">
      <w:pPr>
        <w:spacing w:after="1" w:line="238" w:lineRule="auto"/>
        <w:ind w:left="708" w:firstLine="0"/>
        <w:jc w:val="left"/>
      </w:pPr>
      <w:r>
        <w:rPr>
          <w:rFonts w:ascii="Times New Roman" w:eastAsia="Times New Roman" w:hAnsi="Times New Roman" w:cs="Times New Roman"/>
          <w:b/>
          <w:sz w:val="24"/>
        </w:rPr>
        <w:t>Consta en el expediente propuesta de la Alcaldesa-President</w:t>
      </w:r>
      <w:r>
        <w:rPr>
          <w:rFonts w:ascii="Times New Roman" w:eastAsia="Times New Roman" w:hAnsi="Times New Roman" w:cs="Times New Roman"/>
          <w:b/>
          <w:sz w:val="24"/>
        </w:rPr>
        <w:t>a, de fecha 22 de junio de 2022, cuyo tenor literal es el siguiente:</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rFonts w:ascii="Times New Roman" w:eastAsia="Times New Roman" w:hAnsi="Times New Roman" w:cs="Times New Roman"/>
          <w:b/>
          <w:sz w:val="24"/>
        </w:rPr>
        <w:t xml:space="preserve"> </w:t>
      </w:r>
    </w:p>
    <w:p w:rsidR="007617AD" w:rsidRDefault="00EE75C8">
      <w:pPr>
        <w:spacing w:after="161"/>
        <w:ind w:left="693" w:right="62" w:firstLine="708"/>
      </w:pPr>
      <w:r>
        <w:t>“El Ayuntamiento de Candelaria necesita suplementar créditos a los consignados en su Presupuesto vigente, para llevar a cabo actuaciones de mejora de instalaciones e infraestructuras m</w:t>
      </w:r>
      <w:r>
        <w:t xml:space="preserve">unicipales, y de ejecución de gastos necesarios para el funcionamiento de los servicios municipales, con ocasión de la ejecución de las actuaciones siguientes: </w:t>
      </w:r>
    </w:p>
    <w:p w:rsidR="007617AD" w:rsidRDefault="00EE75C8">
      <w:pPr>
        <w:spacing w:after="146" w:line="259" w:lineRule="auto"/>
        <w:ind w:left="1774" w:firstLine="0"/>
        <w:jc w:val="left"/>
      </w:pPr>
      <w:r>
        <w:t xml:space="preserve"> </w:t>
      </w:r>
    </w:p>
    <w:p w:rsidR="007617AD" w:rsidRDefault="00EE75C8">
      <w:pPr>
        <w:spacing w:after="136"/>
        <w:ind w:left="693" w:right="62" w:firstLine="708"/>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0202" name="Group 25020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4146" name="Rectangle 414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4147" name="Rectangle 4147"/>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27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0202" style="width:12.7031pt;height:280.02pt;position:absolute;mso-position-horizontal-relative:page;mso-position-horizontal:absolute;margin-left:682.278pt;mso-position-vertical-relative:page;margin-top:531.9pt;" coordsize="1613,35562">
                <v:rect id="Rectangle 414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4147"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192 </w:t>
                        </w:r>
                      </w:p>
                    </w:txbxContent>
                  </v:textbox>
                </v:rect>
                <w10:wrap type="square"/>
              </v:group>
            </w:pict>
          </mc:Fallback>
        </mc:AlternateContent>
      </w:r>
      <w:r>
        <w:rPr>
          <w:b/>
        </w:rPr>
        <w:t>Pantalanes en el Muelle Pesquero de Candelaria:</w:t>
      </w:r>
      <w:r>
        <w:t xml:space="preserve"> Visto el que e</w:t>
      </w:r>
      <w:r>
        <w:t>l proyecto técnico se ha modificado por el Ingeniero redactor D. Carlos Daniel Mora Ramos Col. nº 4326 con fecha 24 de mayo de 2022, al quedar desierta la licitación, dado que el presupuesto inicial del proyecto redactado en enero el año 2020 ascendía a 12</w:t>
      </w:r>
      <w:r>
        <w:t>8.884,03 €, y dicho presupuesto no se adapta al contexto económico inflacionista actual como consecuencia de la guerra de Ucrania, por lo que ha modificado el presupuesto del mismo de forma que el importe asciende ahora a 330.630, 33 €.</w:t>
      </w:r>
      <w:r>
        <w:rPr>
          <w:rFonts w:ascii="Times New Roman" w:eastAsia="Times New Roman" w:hAnsi="Times New Roman" w:cs="Times New Roman"/>
          <w:sz w:val="24"/>
        </w:rPr>
        <w:t xml:space="preserve"> </w:t>
      </w:r>
    </w:p>
    <w:p w:rsidR="007617AD" w:rsidRDefault="00EE75C8">
      <w:pPr>
        <w:ind w:left="693" w:right="62" w:firstLine="720"/>
      </w:pPr>
      <w:r>
        <w:rPr>
          <w:b/>
        </w:rPr>
        <w:t>Otros gastos finan</w:t>
      </w:r>
      <w:r>
        <w:rPr>
          <w:b/>
        </w:rPr>
        <w:t xml:space="preserve">cieros: </w:t>
      </w:r>
      <w:r>
        <w:t>Visto el cobro de intereses bancarios por parte de las entidades financieras en concepto de comisiones, por la que se aplica un % sobre el saldo bancario, dado que constan en las cuentas un importe de más de 24.000.000€, se estima que un incremento</w:t>
      </w:r>
      <w:r>
        <w:t xml:space="preserve"> del gasto en concepto de intereses de 100.000,00</w:t>
      </w:r>
      <w:r>
        <w:rPr>
          <w:rFonts w:ascii="Times New Roman" w:eastAsia="Times New Roman" w:hAnsi="Times New Roman" w:cs="Times New Roman"/>
          <w:sz w:val="24"/>
        </w:rPr>
        <w:t xml:space="preserve"> </w:t>
      </w:r>
    </w:p>
    <w:p w:rsidR="007617AD" w:rsidRDefault="00EE75C8">
      <w:pPr>
        <w:spacing w:after="150"/>
        <w:ind w:left="693" w:right="62" w:firstLine="720"/>
      </w:pPr>
      <w:r>
        <w:t xml:space="preserve">Siendo un gasto específico y determinado ante la imposibilidad de demorarlo a ejercicios posteriores, y no habiendo crédito suficiente en las aplicaciónes presupuestarias. </w:t>
      </w:r>
    </w:p>
    <w:p w:rsidR="007617AD" w:rsidRDefault="00EE75C8">
      <w:pPr>
        <w:ind w:left="703" w:right="58"/>
      </w:pPr>
      <w:r>
        <w:rPr>
          <w:b/>
        </w:rPr>
        <w:t>SE PROPONE:</w:t>
      </w:r>
      <w:r>
        <w:rPr>
          <w:rFonts w:ascii="Times New Roman" w:eastAsia="Times New Roman" w:hAnsi="Times New Roman" w:cs="Times New Roman"/>
          <w:sz w:val="24"/>
        </w:rPr>
        <w:t xml:space="preserve"> </w:t>
      </w:r>
    </w:p>
    <w:p w:rsidR="007617AD" w:rsidRDefault="00EE75C8">
      <w:pPr>
        <w:spacing w:after="11"/>
        <w:ind w:left="703" w:right="62"/>
      </w:pPr>
      <w:r>
        <w:t xml:space="preserve">Primero: Tramitar expediente </w:t>
      </w:r>
      <w:r>
        <w:rPr>
          <w:b/>
        </w:rPr>
        <w:t>6014/2022</w:t>
      </w:r>
      <w:r>
        <w:t xml:space="preserve"> de modificación presupuestaria por </w:t>
      </w:r>
      <w:r>
        <w:rPr>
          <w:b/>
        </w:rPr>
        <w:t xml:space="preserve">Suplementos de </w:t>
      </w:r>
    </w:p>
    <w:p w:rsidR="007617AD" w:rsidRDefault="00EE75C8">
      <w:pPr>
        <w:ind w:left="703" w:right="62"/>
      </w:pPr>
      <w:r>
        <w:rPr>
          <w:b/>
        </w:rPr>
        <w:t>Créditos</w:t>
      </w:r>
      <w:r>
        <w:t xml:space="preserve"> financiado con Remanente de Tesorería para gastos generales, por la cantidad de </w:t>
      </w:r>
      <w:r>
        <w:rPr>
          <w:b/>
        </w:rPr>
        <w:t>301.746,30 euros</w:t>
      </w:r>
      <w:r>
        <w:t xml:space="preserve">, de acuerdo al siguiente detalle: </w:t>
      </w:r>
    </w:p>
    <w:p w:rsidR="007617AD" w:rsidRDefault="00EE75C8">
      <w:pPr>
        <w:spacing w:after="0" w:line="259" w:lineRule="auto"/>
        <w:ind w:left="10" w:right="349"/>
        <w:jc w:val="center"/>
      </w:pPr>
      <w:r>
        <w:rPr>
          <w:b/>
          <w:sz w:val="20"/>
        </w:rPr>
        <w:t xml:space="preserve">Estados de gastos </w:t>
      </w:r>
    </w:p>
    <w:tbl>
      <w:tblPr>
        <w:tblStyle w:val="TableGrid"/>
        <w:tblW w:w="8440" w:type="dxa"/>
        <w:tblInd w:w="779" w:type="dxa"/>
        <w:tblCellMar>
          <w:top w:w="6" w:type="dxa"/>
          <w:left w:w="70" w:type="dxa"/>
          <w:bottom w:w="0" w:type="dxa"/>
          <w:right w:w="13" w:type="dxa"/>
        </w:tblCellMar>
        <w:tblLook w:val="04A0" w:firstRow="1" w:lastRow="0" w:firstColumn="1" w:lastColumn="0" w:noHBand="0" w:noVBand="1"/>
      </w:tblPr>
      <w:tblGrid>
        <w:gridCol w:w="944"/>
        <w:gridCol w:w="1307"/>
        <w:gridCol w:w="4665"/>
        <w:gridCol w:w="1524"/>
      </w:tblGrid>
      <w:tr w:rsidR="007617AD">
        <w:trPr>
          <w:trHeight w:val="696"/>
        </w:trPr>
        <w:tc>
          <w:tcPr>
            <w:tcW w:w="906" w:type="dxa"/>
            <w:tcBorders>
              <w:top w:val="single" w:sz="4" w:space="0" w:color="000000"/>
              <w:left w:val="single" w:sz="4" w:space="0" w:color="000000"/>
              <w:bottom w:val="single" w:sz="4" w:space="0" w:color="000000"/>
              <w:right w:val="single" w:sz="4" w:space="0" w:color="000000"/>
            </w:tcBorders>
            <w:shd w:val="clear" w:color="auto" w:fill="D9D9D9"/>
          </w:tcPr>
          <w:p w:rsidR="007617AD" w:rsidRDefault="00EE75C8">
            <w:pPr>
              <w:spacing w:after="0" w:line="259" w:lineRule="auto"/>
              <w:ind w:left="0" w:firstLine="5"/>
              <w:jc w:val="center"/>
            </w:pPr>
            <w:r>
              <w:rPr>
                <w:b/>
                <w:sz w:val="20"/>
              </w:rPr>
              <w:t>Proyec</w:t>
            </w:r>
            <w:r>
              <w:rPr>
                <w:b/>
                <w:sz w:val="20"/>
              </w:rPr>
              <w:t xml:space="preserve">to gasto </w:t>
            </w:r>
          </w:p>
        </w:tc>
        <w:tc>
          <w:tcPr>
            <w:tcW w:w="13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Aplicación </w:t>
            </w:r>
          </w:p>
        </w:tc>
        <w:tc>
          <w:tcPr>
            <w:tcW w:w="46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Denominación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56" w:firstLine="0"/>
              <w:jc w:val="center"/>
            </w:pPr>
            <w:r>
              <w:rPr>
                <w:b/>
                <w:sz w:val="20"/>
              </w:rPr>
              <w:t xml:space="preserve">Importe </w:t>
            </w:r>
          </w:p>
        </w:tc>
      </w:tr>
      <w:tr w:rsidR="007617AD">
        <w:trPr>
          <w:trHeight w:val="361"/>
        </w:trPr>
        <w:tc>
          <w:tcPr>
            <w:tcW w:w="90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9" w:firstLine="0"/>
              <w:jc w:val="left"/>
            </w:pPr>
            <w:r>
              <w:rPr>
                <w:sz w:val="20"/>
              </w:rPr>
              <w:t xml:space="preserve">20.2.42 </w:t>
            </w:r>
          </w:p>
        </w:tc>
        <w:tc>
          <w:tcPr>
            <w:tcW w:w="13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41500.61900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Pantalanes Muelle Pesquero</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201.746,30 </w:t>
            </w:r>
          </w:p>
        </w:tc>
      </w:tr>
      <w:tr w:rsidR="007617AD">
        <w:trPr>
          <w:trHeight w:val="360"/>
        </w:trPr>
        <w:tc>
          <w:tcPr>
            <w:tcW w:w="90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2" w:firstLine="0"/>
              <w:jc w:val="center"/>
            </w:pPr>
            <w:r>
              <w:rPr>
                <w:sz w:val="20"/>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01100.35900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Otros Gastos financieros</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100.000,00 </w:t>
            </w:r>
          </w:p>
        </w:tc>
      </w:tr>
      <w:tr w:rsidR="007617AD">
        <w:trPr>
          <w:trHeight w:val="250"/>
        </w:trPr>
        <w:tc>
          <w:tcPr>
            <w:tcW w:w="6912" w:type="dxa"/>
            <w:gridSpan w:val="3"/>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0" w:firstLine="0"/>
              <w:jc w:val="center"/>
            </w:pPr>
            <w:r>
              <w:rPr>
                <w:b/>
                <w:sz w:val="20"/>
              </w:rPr>
              <w:t xml:space="preserve">Total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b/>
                <w:sz w:val="20"/>
              </w:rPr>
              <w:t xml:space="preserve">301.746,30 </w:t>
            </w:r>
          </w:p>
        </w:tc>
      </w:tr>
    </w:tbl>
    <w:p w:rsidR="007617AD" w:rsidRDefault="00EE75C8">
      <w:pPr>
        <w:spacing w:after="21" w:line="259" w:lineRule="auto"/>
        <w:ind w:left="848"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p>
    <w:p w:rsidR="007617AD" w:rsidRDefault="00EE75C8">
      <w:pPr>
        <w:spacing w:after="0" w:line="259" w:lineRule="auto"/>
        <w:ind w:left="10" w:right="352"/>
        <w:jc w:val="center"/>
      </w:pPr>
      <w:r>
        <w:rPr>
          <w:b/>
          <w:sz w:val="20"/>
        </w:rPr>
        <w:t>Estados de Ingresos</w:t>
      </w:r>
      <w:r>
        <w:rPr>
          <w:rFonts w:ascii="Times New Roman" w:eastAsia="Times New Roman" w:hAnsi="Times New Roman" w:cs="Times New Roman"/>
          <w:sz w:val="24"/>
        </w:rPr>
        <w:t xml:space="preserve"> </w:t>
      </w:r>
    </w:p>
    <w:tbl>
      <w:tblPr>
        <w:tblStyle w:val="TableGrid"/>
        <w:tblW w:w="8440" w:type="dxa"/>
        <w:tblInd w:w="779" w:type="dxa"/>
        <w:tblCellMar>
          <w:top w:w="14" w:type="dxa"/>
          <w:left w:w="70" w:type="dxa"/>
          <w:bottom w:w="0" w:type="dxa"/>
          <w:right w:w="8" w:type="dxa"/>
        </w:tblCellMar>
        <w:tblLook w:val="04A0" w:firstRow="1" w:lastRow="0" w:firstColumn="1" w:lastColumn="0" w:noHBand="0" w:noVBand="1"/>
      </w:tblPr>
      <w:tblGrid>
        <w:gridCol w:w="2214"/>
        <w:gridCol w:w="4698"/>
        <w:gridCol w:w="1528"/>
      </w:tblGrid>
      <w:tr w:rsidR="007617AD">
        <w:trPr>
          <w:trHeight w:val="487"/>
        </w:trPr>
        <w:tc>
          <w:tcPr>
            <w:tcW w:w="221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4" w:firstLine="0"/>
              <w:jc w:val="center"/>
            </w:pPr>
            <w:r>
              <w:rPr>
                <w:b/>
                <w:sz w:val="20"/>
              </w:rPr>
              <w:t xml:space="preserve">Aplicación </w:t>
            </w:r>
          </w:p>
        </w:tc>
        <w:tc>
          <w:tcPr>
            <w:tcW w:w="46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Denominación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1" w:firstLine="0"/>
              <w:jc w:val="center"/>
            </w:pPr>
            <w:r>
              <w:rPr>
                <w:b/>
                <w:sz w:val="20"/>
              </w:rPr>
              <w:t xml:space="preserve">Importe </w:t>
            </w:r>
          </w:p>
        </w:tc>
      </w:tr>
      <w:tr w:rsidR="007617AD">
        <w:trPr>
          <w:trHeight w:val="311"/>
        </w:trPr>
        <w:tc>
          <w:tcPr>
            <w:tcW w:w="221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5" w:firstLine="0"/>
              <w:jc w:val="center"/>
            </w:pPr>
            <w:r>
              <w:rPr>
                <w:sz w:val="20"/>
              </w:rPr>
              <w:t xml:space="preserve">870.00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Remanente de Tesorería para gastos generales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sz w:val="20"/>
              </w:rPr>
              <w:t>301.746,30</w:t>
            </w:r>
            <w:r>
              <w:rPr>
                <w:rFonts w:ascii="Times New Roman" w:eastAsia="Times New Roman" w:hAnsi="Times New Roman" w:cs="Times New Roman"/>
                <w:sz w:val="24"/>
              </w:rPr>
              <w:t xml:space="preserve"> </w:t>
            </w:r>
          </w:p>
        </w:tc>
      </w:tr>
      <w:tr w:rsidR="007617AD">
        <w:trPr>
          <w:trHeight w:val="252"/>
        </w:trPr>
        <w:tc>
          <w:tcPr>
            <w:tcW w:w="2214"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4698" w:type="dxa"/>
            <w:tcBorders>
              <w:top w:val="single" w:sz="4" w:space="0" w:color="000000"/>
              <w:left w:val="nil"/>
              <w:bottom w:val="single" w:sz="4" w:space="0" w:color="000000"/>
              <w:right w:val="single" w:sz="4" w:space="0" w:color="000000"/>
            </w:tcBorders>
          </w:tcPr>
          <w:p w:rsidR="007617AD" w:rsidRDefault="00EE75C8">
            <w:pPr>
              <w:spacing w:after="0" w:line="259" w:lineRule="auto"/>
              <w:ind w:left="939" w:firstLine="0"/>
              <w:jc w:val="left"/>
            </w:pPr>
            <w:r>
              <w:rPr>
                <w:b/>
                <w:sz w:val="20"/>
              </w:rPr>
              <w:t xml:space="preserve">Total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b/>
                <w:sz w:val="20"/>
              </w:rPr>
              <w:t xml:space="preserve">301.746,30 </w:t>
            </w:r>
          </w:p>
        </w:tc>
      </w:tr>
    </w:tbl>
    <w:p w:rsidR="007617AD" w:rsidRDefault="00EE75C8">
      <w:pPr>
        <w:ind w:left="703" w:right="58"/>
      </w:pPr>
      <w:r>
        <w:rPr>
          <w:b/>
        </w:rPr>
        <w:t xml:space="preserve">“ </w:t>
      </w:r>
    </w:p>
    <w:p w:rsidR="007617AD" w:rsidRDefault="00EE75C8">
      <w:pPr>
        <w:ind w:left="703" w:right="58"/>
      </w:pPr>
      <w:r>
        <w:rPr>
          <w:b/>
        </w:rPr>
        <w:t xml:space="preserve">Consta en el expediente Informe de Intervención emitido por Don Nicolás Rojo Garnica, que desempeña el puesto de trabajo de Interventor Municipal, de 22 de junio de 2022, </w:t>
      </w:r>
      <w:r>
        <w:rPr>
          <w:b/>
        </w:rPr>
        <w:t>del siguiente tenor literal:</w:t>
      </w:r>
      <w:r>
        <w:t xml:space="preserve"> </w:t>
      </w:r>
    </w:p>
    <w:p w:rsidR="007617AD" w:rsidRDefault="00EE75C8">
      <w:pPr>
        <w:spacing w:after="194" w:line="259" w:lineRule="auto"/>
        <w:ind w:left="708" w:firstLine="0"/>
        <w:jc w:val="left"/>
      </w:pPr>
      <w:r>
        <w:rPr>
          <w:rFonts w:ascii="Times New Roman" w:eastAsia="Times New Roman" w:hAnsi="Times New Roman" w:cs="Times New Roman"/>
          <w:sz w:val="24"/>
        </w:rPr>
        <w:t xml:space="preserve"> </w:t>
      </w:r>
    </w:p>
    <w:p w:rsidR="007617AD" w:rsidRDefault="00EE75C8">
      <w:pPr>
        <w:pStyle w:val="Ttulo1"/>
        <w:ind w:left="905" w:right="252"/>
      </w:pPr>
      <w:r>
        <w:rPr>
          <w:b w:val="0"/>
        </w:rPr>
        <w:t xml:space="preserve"> “</w:t>
      </w:r>
      <w:r>
        <w:t>INFORME</w:t>
      </w:r>
      <w:r>
        <w:rPr>
          <w:b w:val="0"/>
        </w:rPr>
        <w:t xml:space="preserve"> </w:t>
      </w:r>
    </w:p>
    <w:p w:rsidR="007617AD" w:rsidRDefault="00EE75C8">
      <w:pPr>
        <w:spacing w:after="160"/>
        <w:ind w:left="693" w:right="62" w:firstLine="708"/>
      </w:pPr>
      <w:r>
        <w:t>Vista la propuesta de la Alcaldesa, de tramitación de modificación presupuestaria por Suplementos de Créditos financiados con remanantes de Tesorería para Gastos Generales, que dice: “El Ayuntamiento de Candelaria</w:t>
      </w:r>
      <w:r>
        <w:t xml:space="preserve"> necesita suplementar créditos a los consignados en su Presupuesto vigente, para llevar a cabo actuaciones de mejora de instalaciones e infraestructuras municipales, y de ejecución de gastos necesarios para el funcionamiento de los servicios municipales, c</w:t>
      </w:r>
      <w:r>
        <w:t xml:space="preserve">on ocasión de la ejecución de las actuaciones siguientes: </w:t>
      </w:r>
    </w:p>
    <w:p w:rsidR="007617AD" w:rsidRDefault="00EE75C8">
      <w:pPr>
        <w:spacing w:after="146" w:line="259" w:lineRule="auto"/>
        <w:ind w:left="1774" w:firstLine="0"/>
        <w:jc w:val="left"/>
      </w:pPr>
      <w:r>
        <w:t xml:space="preserve"> </w:t>
      </w:r>
    </w:p>
    <w:p w:rsidR="007617AD" w:rsidRDefault="00EE75C8">
      <w:pPr>
        <w:spacing w:after="138"/>
        <w:ind w:left="693" w:right="62" w:firstLine="708"/>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6918" name="Group 25691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4354" name="Rectangle 435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4355" name="Rectangle 4355"/>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28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6918" style="width:12.7031pt;height:280.02pt;position:absolute;mso-position-horizontal-relative:page;mso-position-horizontal:absolute;margin-left:682.278pt;mso-position-vertical-relative:page;margin-top:531.9pt;" coordsize="1613,35562">
                <v:rect id="Rectangle 435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4355"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192 </w:t>
                        </w:r>
                      </w:p>
                    </w:txbxContent>
                  </v:textbox>
                </v:rect>
                <w10:wrap type="square"/>
              </v:group>
            </w:pict>
          </mc:Fallback>
        </mc:AlternateContent>
      </w:r>
      <w:r>
        <w:rPr>
          <w:b/>
        </w:rPr>
        <w:t>Pantalanes en el Muelle Pesquero de Candelaria:</w:t>
      </w:r>
      <w:r>
        <w:t xml:space="preserve"> Visto el que el proyecto técnico se ha modificado por el Ingeniero redactor D. Carlos Daniel Mora Ramos Col. nº 43</w:t>
      </w:r>
      <w:r>
        <w:t>26 con fecha 24 de mayo de 2022, al quedar desierta la licitación, dado que el presupuesto inicial del proyecto redactado en enero el año 2020 ascendía a 128.884,03 €, y dicho presupuesto no se adapta al contexto económico inflacionista actual como consecu</w:t>
      </w:r>
      <w:r>
        <w:t>encia de la guerra de Ucrania, por lo que ha modificado el presupuesto del mismo de forma que el importe asciende ahora a 330.630, 33 €.</w:t>
      </w:r>
      <w:r>
        <w:rPr>
          <w:rFonts w:ascii="Times New Roman" w:eastAsia="Times New Roman" w:hAnsi="Times New Roman" w:cs="Times New Roman"/>
          <w:sz w:val="24"/>
        </w:rPr>
        <w:t xml:space="preserve"> </w:t>
      </w:r>
    </w:p>
    <w:p w:rsidR="007617AD" w:rsidRDefault="00EE75C8">
      <w:pPr>
        <w:ind w:left="693" w:right="62" w:firstLine="720"/>
      </w:pPr>
      <w:r>
        <w:rPr>
          <w:b/>
        </w:rPr>
        <w:t xml:space="preserve">Otros gastos financieros: </w:t>
      </w:r>
      <w:r>
        <w:t xml:space="preserve">Visto el cobro de intereses bancarios por parte de las entidades financieras en concepto de </w:t>
      </w:r>
      <w:r>
        <w:t>comisiones, por la que se aplica un % sobre el saldo bancario, dado que constan en las cuentas un importe de más de 24.000.000€, se estima que un incremento del gasto en concepto de intereses de 100.000,00</w:t>
      </w:r>
      <w:r>
        <w:rPr>
          <w:rFonts w:ascii="Times New Roman" w:eastAsia="Times New Roman" w:hAnsi="Times New Roman" w:cs="Times New Roman"/>
          <w:sz w:val="24"/>
        </w:rPr>
        <w:t xml:space="preserve"> </w:t>
      </w:r>
    </w:p>
    <w:p w:rsidR="007617AD" w:rsidRDefault="00EE75C8">
      <w:pPr>
        <w:spacing w:after="142"/>
        <w:ind w:left="693" w:right="62" w:firstLine="720"/>
      </w:pPr>
      <w:r>
        <w:t xml:space="preserve">Siendo un gasto específico y determinado ante la </w:t>
      </w:r>
      <w:r>
        <w:t xml:space="preserve">imposibilidad de demorarlo a ejercicios posteriores, y no habiendo crédito suficiente en las aplicaciónes presupuestarias. </w:t>
      </w:r>
    </w:p>
    <w:p w:rsidR="007617AD" w:rsidRDefault="00EE75C8">
      <w:pPr>
        <w:spacing w:after="138" w:line="259" w:lineRule="auto"/>
        <w:ind w:left="1416" w:firstLine="0"/>
        <w:jc w:val="left"/>
      </w:pPr>
      <w:r>
        <w:t xml:space="preserve"> </w:t>
      </w:r>
    </w:p>
    <w:p w:rsidR="007617AD" w:rsidRDefault="00EE75C8">
      <w:pPr>
        <w:ind w:left="703" w:right="58"/>
      </w:pPr>
      <w:r>
        <w:rPr>
          <w:b/>
        </w:rPr>
        <w:t>SE PROPONE:</w:t>
      </w:r>
      <w:r>
        <w:rPr>
          <w:rFonts w:ascii="Times New Roman" w:eastAsia="Times New Roman" w:hAnsi="Times New Roman" w:cs="Times New Roman"/>
          <w:sz w:val="24"/>
        </w:rPr>
        <w:t xml:space="preserve"> </w:t>
      </w:r>
    </w:p>
    <w:p w:rsidR="007617AD" w:rsidRDefault="00EE75C8">
      <w:pPr>
        <w:spacing w:after="11"/>
        <w:ind w:left="703" w:right="62"/>
      </w:pPr>
      <w:r>
        <w:t xml:space="preserve">Primero: Tramitar expediente </w:t>
      </w:r>
      <w:r>
        <w:rPr>
          <w:b/>
        </w:rPr>
        <w:t>6014/2022</w:t>
      </w:r>
      <w:r>
        <w:t xml:space="preserve"> de modificación presupuestaria por </w:t>
      </w:r>
      <w:r>
        <w:rPr>
          <w:b/>
        </w:rPr>
        <w:t xml:space="preserve">Suplementos de </w:t>
      </w:r>
    </w:p>
    <w:p w:rsidR="007617AD" w:rsidRDefault="00EE75C8">
      <w:pPr>
        <w:ind w:left="703" w:right="62"/>
      </w:pPr>
      <w:r>
        <w:rPr>
          <w:b/>
        </w:rPr>
        <w:t>Créditos</w:t>
      </w:r>
      <w:r>
        <w:t xml:space="preserve"> financiado con Rem</w:t>
      </w:r>
      <w:r>
        <w:t xml:space="preserve">anente de Tesorería para gastos generales, por la cantidad de </w:t>
      </w:r>
      <w:r>
        <w:rPr>
          <w:b/>
        </w:rPr>
        <w:t>301.746,30 euros</w:t>
      </w:r>
      <w:r>
        <w:t>, de acuerdo al siguiente detalle:</w:t>
      </w:r>
      <w:r>
        <w:rPr>
          <w:rFonts w:ascii="Times New Roman" w:eastAsia="Times New Roman" w:hAnsi="Times New Roman" w:cs="Times New Roman"/>
          <w:sz w:val="24"/>
        </w:rPr>
        <w:t xml:space="preserve"> </w:t>
      </w:r>
    </w:p>
    <w:p w:rsidR="007617AD" w:rsidRDefault="00EE75C8">
      <w:pPr>
        <w:spacing w:after="0" w:line="259" w:lineRule="auto"/>
        <w:ind w:left="10" w:right="349"/>
        <w:jc w:val="center"/>
      </w:pPr>
      <w:r>
        <w:rPr>
          <w:b/>
          <w:sz w:val="20"/>
        </w:rPr>
        <w:t xml:space="preserve">Estados de gastos </w:t>
      </w:r>
    </w:p>
    <w:tbl>
      <w:tblPr>
        <w:tblStyle w:val="TableGrid"/>
        <w:tblW w:w="8440" w:type="dxa"/>
        <w:tblInd w:w="779" w:type="dxa"/>
        <w:tblCellMar>
          <w:top w:w="7" w:type="dxa"/>
          <w:left w:w="70" w:type="dxa"/>
          <w:bottom w:w="0" w:type="dxa"/>
          <w:right w:w="13" w:type="dxa"/>
        </w:tblCellMar>
        <w:tblLook w:val="04A0" w:firstRow="1" w:lastRow="0" w:firstColumn="1" w:lastColumn="0" w:noHBand="0" w:noVBand="1"/>
      </w:tblPr>
      <w:tblGrid>
        <w:gridCol w:w="944"/>
        <w:gridCol w:w="1307"/>
        <w:gridCol w:w="4665"/>
        <w:gridCol w:w="1524"/>
      </w:tblGrid>
      <w:tr w:rsidR="007617AD">
        <w:trPr>
          <w:trHeight w:val="697"/>
        </w:trPr>
        <w:tc>
          <w:tcPr>
            <w:tcW w:w="906" w:type="dxa"/>
            <w:tcBorders>
              <w:top w:val="single" w:sz="4" w:space="0" w:color="000000"/>
              <w:left w:val="single" w:sz="4" w:space="0" w:color="000000"/>
              <w:bottom w:val="single" w:sz="4" w:space="0" w:color="000000"/>
              <w:right w:val="single" w:sz="4" w:space="0" w:color="000000"/>
            </w:tcBorders>
            <w:shd w:val="clear" w:color="auto" w:fill="D9D9D9"/>
          </w:tcPr>
          <w:p w:rsidR="007617AD" w:rsidRDefault="00EE75C8">
            <w:pPr>
              <w:spacing w:after="0" w:line="259" w:lineRule="auto"/>
              <w:ind w:left="0" w:firstLine="5"/>
              <w:jc w:val="center"/>
            </w:pPr>
            <w:r>
              <w:rPr>
                <w:b/>
                <w:sz w:val="20"/>
              </w:rPr>
              <w:t xml:space="preserve">Proyecto gasto </w:t>
            </w:r>
          </w:p>
        </w:tc>
        <w:tc>
          <w:tcPr>
            <w:tcW w:w="13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Aplicación </w:t>
            </w:r>
          </w:p>
        </w:tc>
        <w:tc>
          <w:tcPr>
            <w:tcW w:w="46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Denominación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56" w:firstLine="0"/>
              <w:jc w:val="center"/>
            </w:pPr>
            <w:r>
              <w:rPr>
                <w:b/>
                <w:sz w:val="20"/>
              </w:rPr>
              <w:t xml:space="preserve">Importe </w:t>
            </w:r>
          </w:p>
        </w:tc>
      </w:tr>
      <w:tr w:rsidR="007617AD">
        <w:trPr>
          <w:trHeight w:val="361"/>
        </w:trPr>
        <w:tc>
          <w:tcPr>
            <w:tcW w:w="90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9" w:firstLine="0"/>
              <w:jc w:val="left"/>
            </w:pPr>
            <w:r>
              <w:rPr>
                <w:sz w:val="20"/>
              </w:rPr>
              <w:t xml:space="preserve">20.2.42 </w:t>
            </w:r>
          </w:p>
        </w:tc>
        <w:tc>
          <w:tcPr>
            <w:tcW w:w="13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41500.61900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Pantalanes Muelle Pesquero</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201.746,30 </w:t>
            </w:r>
          </w:p>
        </w:tc>
      </w:tr>
      <w:tr w:rsidR="007617AD">
        <w:trPr>
          <w:trHeight w:val="360"/>
        </w:trPr>
        <w:tc>
          <w:tcPr>
            <w:tcW w:w="90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2" w:firstLine="0"/>
              <w:jc w:val="center"/>
            </w:pPr>
            <w:r>
              <w:rPr>
                <w:sz w:val="20"/>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01100.35900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Otros Gastos financieros</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100.000,00 </w:t>
            </w:r>
          </w:p>
        </w:tc>
      </w:tr>
      <w:tr w:rsidR="007617AD">
        <w:trPr>
          <w:trHeight w:val="250"/>
        </w:trPr>
        <w:tc>
          <w:tcPr>
            <w:tcW w:w="6912" w:type="dxa"/>
            <w:gridSpan w:val="3"/>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0" w:firstLine="0"/>
              <w:jc w:val="center"/>
            </w:pPr>
            <w:r>
              <w:rPr>
                <w:b/>
                <w:sz w:val="20"/>
              </w:rPr>
              <w:t xml:space="preserve">Total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b/>
                <w:sz w:val="20"/>
              </w:rPr>
              <w:t xml:space="preserve">301.746,30 </w:t>
            </w:r>
          </w:p>
        </w:tc>
      </w:tr>
    </w:tbl>
    <w:p w:rsidR="007617AD" w:rsidRDefault="00EE75C8">
      <w:pPr>
        <w:spacing w:after="21" w:line="259" w:lineRule="auto"/>
        <w:ind w:left="848"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p>
    <w:p w:rsidR="007617AD" w:rsidRDefault="00EE75C8">
      <w:pPr>
        <w:spacing w:after="0" w:line="259" w:lineRule="auto"/>
        <w:ind w:left="10" w:right="352"/>
        <w:jc w:val="center"/>
      </w:pPr>
      <w:r>
        <w:rPr>
          <w:b/>
          <w:sz w:val="20"/>
        </w:rPr>
        <w:t>Estados de Ingresos</w:t>
      </w:r>
      <w:r>
        <w:rPr>
          <w:rFonts w:ascii="Times New Roman" w:eastAsia="Times New Roman" w:hAnsi="Times New Roman" w:cs="Times New Roman"/>
          <w:sz w:val="24"/>
        </w:rPr>
        <w:t xml:space="preserve"> </w:t>
      </w:r>
    </w:p>
    <w:p w:rsidR="007617AD" w:rsidRDefault="00EE75C8">
      <w:pPr>
        <w:spacing w:after="0" w:line="259" w:lineRule="auto"/>
        <w:ind w:left="764" w:firstLine="0"/>
        <w:jc w:val="left"/>
      </w:pPr>
      <w:r>
        <w:rPr>
          <w:rFonts w:ascii="Calibri" w:eastAsia="Calibri" w:hAnsi="Calibri" w:cs="Calibri"/>
          <w:noProof/>
        </w:rPr>
        <mc:AlternateContent>
          <mc:Choice Requires="wpg">
            <w:drawing>
              <wp:inline distT="0" distB="0" distL="0" distR="0">
                <wp:extent cx="5369941" cy="6096"/>
                <wp:effectExtent l="0" t="0" r="0" b="0"/>
                <wp:docPr id="256917" name="Group 256917"/>
                <wp:cNvGraphicFramePr/>
                <a:graphic xmlns:a="http://schemas.openxmlformats.org/drawingml/2006/main">
                  <a:graphicData uri="http://schemas.microsoft.com/office/word/2010/wordprocessingGroup">
                    <wpg:wgp>
                      <wpg:cNvGrpSpPr/>
                      <wpg:grpSpPr>
                        <a:xfrm>
                          <a:off x="0" y="0"/>
                          <a:ext cx="5369941" cy="6096"/>
                          <a:chOff x="0" y="0"/>
                          <a:chExt cx="5369941" cy="6096"/>
                        </a:xfrm>
                      </wpg:grpSpPr>
                      <wps:wsp>
                        <wps:cNvPr id="320477" name="Shape 320477"/>
                        <wps:cNvSpPr/>
                        <wps:spPr>
                          <a:xfrm>
                            <a:off x="0" y="0"/>
                            <a:ext cx="5369941" cy="9144"/>
                          </a:xfrm>
                          <a:custGeom>
                            <a:avLst/>
                            <a:gdLst/>
                            <a:ahLst/>
                            <a:cxnLst/>
                            <a:rect l="0" t="0" r="0" b="0"/>
                            <a:pathLst>
                              <a:path w="5369941" h="9144">
                                <a:moveTo>
                                  <a:pt x="0" y="0"/>
                                </a:moveTo>
                                <a:lnTo>
                                  <a:pt x="5369941" y="0"/>
                                </a:lnTo>
                                <a:lnTo>
                                  <a:pt x="536994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6917" style="width:422.83pt;height:0.47998pt;mso-position-horizontal-relative:char;mso-position-vertical-relative:line" coordsize="53699,60">
                <v:shape id="Shape 320478" style="position:absolute;width:53699;height:91;left:0;top:0;" coordsize="5369941,9144" path="m0,0l5369941,0l5369941,9144l0,9144l0,0">
                  <v:stroke weight="0pt" endcap="square" joinstyle="miter" miterlimit="10" on="false" color="#000000" opacity="0"/>
                  <v:fill on="true" color="#000000"/>
                </v:shape>
              </v:group>
            </w:pict>
          </mc:Fallback>
        </mc:AlternateContent>
      </w:r>
    </w:p>
    <w:tbl>
      <w:tblPr>
        <w:tblStyle w:val="TableGrid"/>
        <w:tblW w:w="8440" w:type="dxa"/>
        <w:tblInd w:w="779" w:type="dxa"/>
        <w:tblCellMar>
          <w:top w:w="12" w:type="dxa"/>
          <w:left w:w="70" w:type="dxa"/>
          <w:bottom w:w="0" w:type="dxa"/>
          <w:right w:w="8" w:type="dxa"/>
        </w:tblCellMar>
        <w:tblLook w:val="04A0" w:firstRow="1" w:lastRow="0" w:firstColumn="1" w:lastColumn="0" w:noHBand="0" w:noVBand="1"/>
      </w:tblPr>
      <w:tblGrid>
        <w:gridCol w:w="2214"/>
        <w:gridCol w:w="4698"/>
        <w:gridCol w:w="1528"/>
      </w:tblGrid>
      <w:tr w:rsidR="007617AD">
        <w:trPr>
          <w:trHeight w:val="487"/>
        </w:trPr>
        <w:tc>
          <w:tcPr>
            <w:tcW w:w="221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4" w:firstLine="0"/>
              <w:jc w:val="center"/>
            </w:pPr>
            <w:r>
              <w:rPr>
                <w:b/>
                <w:sz w:val="20"/>
              </w:rPr>
              <w:t xml:space="preserve">Aplicación </w:t>
            </w:r>
          </w:p>
        </w:tc>
        <w:tc>
          <w:tcPr>
            <w:tcW w:w="4698" w:type="dxa"/>
            <w:tcBorders>
              <w:top w:val="single" w:sz="4" w:space="0" w:color="D9D9D9"/>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Denominación </w:t>
            </w:r>
          </w:p>
        </w:tc>
        <w:tc>
          <w:tcPr>
            <w:tcW w:w="1528" w:type="dxa"/>
            <w:tcBorders>
              <w:top w:val="single" w:sz="4" w:space="0" w:color="D9D9D9"/>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1" w:firstLine="0"/>
              <w:jc w:val="center"/>
            </w:pPr>
            <w:r>
              <w:rPr>
                <w:b/>
                <w:sz w:val="20"/>
              </w:rPr>
              <w:t xml:space="preserve">Importe </w:t>
            </w:r>
          </w:p>
        </w:tc>
      </w:tr>
      <w:tr w:rsidR="007617AD">
        <w:trPr>
          <w:trHeight w:val="313"/>
        </w:trPr>
        <w:tc>
          <w:tcPr>
            <w:tcW w:w="221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4" w:firstLine="0"/>
              <w:jc w:val="center"/>
            </w:pPr>
            <w:r>
              <w:rPr>
                <w:sz w:val="20"/>
              </w:rPr>
              <w:t xml:space="preserve">870.00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Remanente de Tesorería para gastos generales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sz w:val="20"/>
              </w:rPr>
              <w:t>301.746,30</w:t>
            </w:r>
            <w:r>
              <w:rPr>
                <w:rFonts w:ascii="Times New Roman" w:eastAsia="Times New Roman" w:hAnsi="Times New Roman" w:cs="Times New Roman"/>
                <w:sz w:val="24"/>
              </w:rPr>
              <w:t xml:space="preserve"> </w:t>
            </w:r>
          </w:p>
        </w:tc>
      </w:tr>
      <w:tr w:rsidR="007617AD">
        <w:trPr>
          <w:trHeight w:val="250"/>
        </w:trPr>
        <w:tc>
          <w:tcPr>
            <w:tcW w:w="2214"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4698" w:type="dxa"/>
            <w:tcBorders>
              <w:top w:val="single" w:sz="4" w:space="0" w:color="000000"/>
              <w:left w:val="nil"/>
              <w:bottom w:val="single" w:sz="4" w:space="0" w:color="000000"/>
              <w:right w:val="single" w:sz="4" w:space="0" w:color="000000"/>
            </w:tcBorders>
          </w:tcPr>
          <w:p w:rsidR="007617AD" w:rsidRDefault="00EE75C8">
            <w:pPr>
              <w:spacing w:after="0" w:line="259" w:lineRule="auto"/>
              <w:ind w:left="939" w:firstLine="0"/>
              <w:jc w:val="left"/>
            </w:pPr>
            <w:r>
              <w:rPr>
                <w:b/>
                <w:sz w:val="20"/>
              </w:rPr>
              <w:t xml:space="preserve">Total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b/>
                <w:sz w:val="20"/>
              </w:rPr>
              <w:t xml:space="preserve">301.746,30 </w:t>
            </w:r>
          </w:p>
        </w:tc>
      </w:tr>
    </w:tbl>
    <w:p w:rsidR="007617AD" w:rsidRDefault="00EE75C8">
      <w:pPr>
        <w:spacing w:after="134"/>
        <w:ind w:left="1426" w:right="62"/>
      </w:pPr>
      <w:r>
        <w:t>.”</w:t>
      </w:r>
      <w:r>
        <w:rPr>
          <w:rFonts w:ascii="Times New Roman" w:eastAsia="Times New Roman" w:hAnsi="Times New Roman" w:cs="Times New Roman"/>
          <w:sz w:val="24"/>
        </w:rPr>
        <w:t xml:space="preserve"> </w:t>
      </w:r>
    </w:p>
    <w:p w:rsidR="007617AD" w:rsidRDefault="00EE75C8">
      <w:pPr>
        <w:spacing w:after="161"/>
        <w:ind w:left="693" w:right="62" w:firstLine="708"/>
      </w:pPr>
      <w:r>
        <w:t>Vista las Memorias, informes técnicos, proyectos de obra y presupuestos, de las actuaciones que se quieren llevar a cabo, en la que se justifican la necesidad y urgencia de la modificación presupuestaria, requisito que se establece en la base 9ª del Presup</w:t>
      </w:r>
      <w:r>
        <w:t xml:space="preserve">uesto General,  y siendo un gasto específico y determinado, ante la imposibilidad de demorarlo a ejercicios posteriores, y no habiendo crédito suficiente en las aplicaciones presupuestarias. </w:t>
      </w:r>
    </w:p>
    <w:p w:rsidR="007617AD" w:rsidRDefault="00EE75C8">
      <w:pPr>
        <w:spacing w:after="43" w:line="259" w:lineRule="auto"/>
        <w:ind w:left="708" w:firstLine="0"/>
        <w:jc w:val="left"/>
      </w:pPr>
      <w:r>
        <w:t xml:space="preserve"> </w:t>
      </w:r>
    </w:p>
    <w:p w:rsidR="007617AD" w:rsidRDefault="00EE75C8">
      <w:pPr>
        <w:spacing w:after="54"/>
        <w:ind w:left="703" w:right="62"/>
      </w:pPr>
      <w:r>
        <w:rPr>
          <w:b/>
        </w:rPr>
        <w:t xml:space="preserve">PRIMERO. </w:t>
      </w:r>
      <w:r>
        <w:t>Visto Acuerdo del Congreso de los Diputados del 22 de</w:t>
      </w:r>
      <w:r>
        <w:t xml:space="preserve"> septiembre de 2021, aprobado por mayoría absoluta, ha apreciado, por mayoría absoluta de sus miembros, que se da una situación de emergencia extraordinaria que motiva la suspensión de las reglas fiscales, requisito que establece el artículo 11.3 de la LOE</w:t>
      </w:r>
      <w:r>
        <w:t xml:space="preserve">PSF. </w:t>
      </w:r>
    </w:p>
    <w:p w:rsidR="007617AD" w:rsidRDefault="00EE75C8">
      <w:pPr>
        <w:ind w:left="703" w:right="62"/>
      </w:pPr>
      <w:r>
        <w:t xml:space="preserve"> </w:t>
      </w:r>
      <w:r>
        <w:tab/>
        <w:t xml:space="preserve">Atendiendo al acuerdo del Consejo de Ministros de 27 de julio de 2021, mediante el que se acuerda: </w:t>
      </w:r>
    </w:p>
    <w:p w:rsidR="007617AD" w:rsidRDefault="00EE75C8">
      <w:pPr>
        <w:spacing w:after="51"/>
        <w:ind w:left="1428" w:right="62" w:hanging="360"/>
      </w:pPr>
      <w:r>
        <w:rPr>
          <w:rFonts w:ascii="Segoe UI Symbol" w:eastAsia="Segoe UI Symbol" w:hAnsi="Segoe UI Symbol" w:cs="Segoe UI Symbol"/>
        </w:rPr>
        <w:t></w:t>
      </w:r>
      <w:r>
        <w:t xml:space="preserve"> </w:t>
      </w:r>
      <w:r>
        <w:t xml:space="preserve">“Como ya ocurrió el año pasado, el Acuerdo de Consejo de Ministros también contempla el mantenimiento de la suspensión de las reglas fiscales. Esta medida se enmarca en la decisión de la Comisión Europea de mantener la cláusula de salvaguarda también para </w:t>
      </w:r>
      <w:r>
        <w:t xml:space="preserve">2022. Ello permite dotar a los Estados de mayor flexibilidad para afrontar la recuperación. </w:t>
      </w:r>
    </w:p>
    <w:p w:rsidR="007617AD" w:rsidRDefault="00EE75C8">
      <w:pPr>
        <w:spacing w:after="50"/>
        <w:ind w:left="1438" w:right="62"/>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3904" name="Group 25390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4519" name="Rectangle 451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4520" name="Rectangle 4520"/>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plataforma esPub</w:t>
                              </w:r>
                              <w:r>
                                <w:rPr>
                                  <w:sz w:val="12"/>
                                </w:rPr>
                                <w:t xml:space="preserve">lico Gestiona | Página 29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3904" style="width:12.7031pt;height:280.02pt;position:absolute;mso-position-horizontal-relative:page;mso-position-horizontal:absolute;margin-left:682.278pt;mso-position-vertical-relative:page;margin-top:531.9pt;" coordsize="1613,35562">
                <v:rect id="Rectangle 451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4520"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192 </w:t>
                        </w:r>
                      </w:p>
                    </w:txbxContent>
                  </v:textbox>
                </v:rect>
                <w10:wrap type="square"/>
              </v:group>
            </w:pict>
          </mc:Fallback>
        </mc:AlternateContent>
      </w:r>
      <w:r>
        <w:t>El Gobierno solicitará de nuevo al Congreso de los Diputados que aprecie si en España concurren las circunstancias extraordinarias previstas en el artículo 135.4 de la Constitución Española y 11.3 de la Ley Orgánica de Est</w:t>
      </w:r>
      <w:r>
        <w:t xml:space="preserve">abilidad Presupuestaria y Sostenibilidad Financiera. Es el mismo trámite que se siguió el año anterior para suspender las reglas fiscales nacionales.”.  </w:t>
      </w:r>
    </w:p>
    <w:p w:rsidR="007617AD" w:rsidRDefault="00EE75C8">
      <w:pPr>
        <w:spacing w:after="51"/>
        <w:ind w:left="703" w:right="62"/>
      </w:pPr>
      <w:r>
        <w:t xml:space="preserve"> La suspensión de las reglas fiscales ha supuesto que el superávit no tenga que dedicarse a amortizar </w:t>
      </w:r>
      <w:r>
        <w:t>deuda, aun siendo posible realizar esta amortización si la EELL lo considera. La regla del artículo 32 de la LOEPSF puede no aplicarse a partir del momento en que se han suspendido las reglas fiscales, ya que estas son el fundamento de aquella regla. Regla</w:t>
      </w:r>
      <w:r>
        <w:t xml:space="preserve"> que conecta con el objetivo de estabilidad presupuestaria y con el de deuda pública.  </w:t>
      </w:r>
    </w:p>
    <w:p w:rsidR="007617AD" w:rsidRDefault="00EE75C8">
      <w:pPr>
        <w:spacing w:after="13"/>
        <w:ind w:left="703" w:right="62"/>
      </w:pPr>
      <w:r>
        <w:t xml:space="preserve"> Al no ser aplicable la regla general, tampoco es necesaria la regla especial de destinar el superávit a inversiones financieramente sostenibles, salvo las excepciones </w:t>
      </w:r>
      <w:r>
        <w:t xml:space="preserve">siguientes, o mediante norma posterior que prorrogue íntegramente la DA 6ª de la LOEPSF. </w:t>
      </w:r>
    </w:p>
    <w:p w:rsidR="007617AD" w:rsidRDefault="00EE75C8">
      <w:pPr>
        <w:spacing w:after="40" w:line="259" w:lineRule="auto"/>
        <w:ind w:left="708" w:firstLine="0"/>
        <w:jc w:val="left"/>
      </w:pPr>
      <w:r>
        <w:t xml:space="preserve"> </w:t>
      </w:r>
      <w:r>
        <w:tab/>
      </w:r>
      <w:r>
        <w:rPr>
          <w:rFonts w:ascii="Times New Roman" w:eastAsia="Times New Roman" w:hAnsi="Times New Roman" w:cs="Times New Roman"/>
          <w:sz w:val="24"/>
        </w:rPr>
        <w:t xml:space="preserve"> </w:t>
      </w:r>
    </w:p>
    <w:p w:rsidR="007617AD" w:rsidRDefault="00EE75C8">
      <w:pPr>
        <w:spacing w:after="30"/>
        <w:ind w:left="703" w:right="62"/>
      </w:pPr>
      <w:r>
        <w:rPr>
          <w:b/>
        </w:rPr>
        <w:t>SEGUNDO</w:t>
      </w:r>
      <w:r>
        <w:t>. La legislación aplicable es la siguiente:</w:t>
      </w:r>
      <w:r>
        <w:rPr>
          <w:rFonts w:ascii="Times New Roman" w:eastAsia="Times New Roman" w:hAnsi="Times New Roman" w:cs="Times New Roman"/>
          <w:sz w:val="24"/>
        </w:rPr>
        <w:t xml:space="preserve"> </w:t>
      </w:r>
    </w:p>
    <w:p w:rsidR="007617AD" w:rsidRDefault="00EE75C8">
      <w:pPr>
        <w:numPr>
          <w:ilvl w:val="0"/>
          <w:numId w:val="10"/>
        </w:numPr>
        <w:spacing w:after="47" w:line="252" w:lineRule="auto"/>
        <w:ind w:right="62" w:hanging="360"/>
      </w:pPr>
      <w:r>
        <w:t>Los artículos 169, 170 y 172 a 177 del Real Decreto Legislativo 2/2004, de 5 de marzo, por el que se aprueba e</w:t>
      </w:r>
      <w:r>
        <w:t xml:space="preserve">l Texto Refundido de la Ley Reguladora de las Haciendas Locales.  </w:t>
      </w:r>
    </w:p>
    <w:p w:rsidR="007617AD" w:rsidRDefault="00EE75C8">
      <w:pPr>
        <w:numPr>
          <w:ilvl w:val="0"/>
          <w:numId w:val="10"/>
        </w:numPr>
        <w:spacing w:after="52" w:line="248" w:lineRule="auto"/>
        <w:ind w:right="62" w:hanging="360"/>
      </w:pPr>
      <w:r>
        <w:t xml:space="preserve">Los artículos 34 a 38 del Real Decreto 500/1990, de 20 de abril, por el que se desarrolla el Capítulo I, del Título VI, de la Ley 39/1988, de 28 de diciembre, Reguladora de las Haciendas Locales, en materia de presupuestos. </w:t>
      </w:r>
    </w:p>
    <w:p w:rsidR="007617AD" w:rsidRDefault="00EE75C8">
      <w:pPr>
        <w:numPr>
          <w:ilvl w:val="0"/>
          <w:numId w:val="10"/>
        </w:numPr>
        <w:ind w:right="62" w:hanging="360"/>
      </w:pPr>
      <w:r>
        <w:t>Los artículos 3, 4, 11, 12, 13,</w:t>
      </w:r>
      <w:r>
        <w:t xml:space="preserve"> 21, 23 y 32 de la Ley Orgánica 2/2012, de 27 de abril, de Estabilidad Presupuestaria y Sostenibilidad Financiera.  </w:t>
      </w:r>
    </w:p>
    <w:p w:rsidR="007617AD" w:rsidRDefault="00EE75C8">
      <w:pPr>
        <w:numPr>
          <w:ilvl w:val="0"/>
          <w:numId w:val="10"/>
        </w:numPr>
        <w:spacing w:after="52"/>
        <w:ind w:right="62" w:hanging="360"/>
      </w:pPr>
      <w:r>
        <w:t xml:space="preserve">El artículo 16.2 del Real Decreto 1463/2007, de 2 de noviembre, por el que se aprueba el Reglamento de Desarrollo de la Ley 18/2001, de 12 </w:t>
      </w:r>
      <w:r>
        <w:t xml:space="preserve">de noviembre, de Estabilidad Presupuestaria, en su Aplicación a las Entidades Locales. </w:t>
      </w:r>
    </w:p>
    <w:p w:rsidR="007617AD" w:rsidRDefault="00EE75C8">
      <w:pPr>
        <w:numPr>
          <w:ilvl w:val="0"/>
          <w:numId w:val="10"/>
        </w:numPr>
        <w:spacing w:after="51"/>
        <w:ind w:right="62" w:hanging="360"/>
      </w:pPr>
      <w:r>
        <w:t xml:space="preserve">El artículo 22.2.e) de la Ley 7/1985, de 2 de abril, Reguladora de las Bases del Régimen Local. </w:t>
      </w:r>
    </w:p>
    <w:p w:rsidR="007617AD" w:rsidRDefault="00EE75C8">
      <w:pPr>
        <w:numPr>
          <w:ilvl w:val="0"/>
          <w:numId w:val="10"/>
        </w:numPr>
        <w:spacing w:after="88"/>
        <w:ind w:right="62" w:hanging="360"/>
      </w:pPr>
      <w:r>
        <w:t>La Disposición Adicional 6.ª de la Ley Orgánica 2/2012, de 27 de abril,</w:t>
      </w:r>
      <w:r>
        <w:t xml:space="preserve"> de Estabilidad Presupuestaria y Sostenibilidad Financiera. </w:t>
      </w:r>
    </w:p>
    <w:p w:rsidR="007617AD" w:rsidRDefault="00EE75C8">
      <w:pPr>
        <w:numPr>
          <w:ilvl w:val="0"/>
          <w:numId w:val="10"/>
        </w:numPr>
        <w:spacing w:after="35"/>
        <w:ind w:right="62" w:hanging="360"/>
      </w:pPr>
      <w:r>
        <w:t>La Orden EHA/3565/2008, de 3 de diciembre, por la que se aprueba la estructura de presupuestos de las entidades locales. - Resolución de 14 de septiembre de 2009, de la Dirección General de Coord</w:t>
      </w:r>
      <w:r>
        <w:t>inación Financiera con las Comunidades Autónomas y con las Entidades Locales, por la que se Dictan Medidas para el Desarrollo de la Orden EHA/3565/2008, de 3 de diciembre, por la que se Aprueba la Estructura de los Presupuestos de las Entidades Locales</w:t>
      </w:r>
      <w:r>
        <w:rPr>
          <w:b/>
        </w:rPr>
        <w:t>.</w:t>
      </w:r>
      <w:r>
        <w:rPr>
          <w:rFonts w:ascii="Times New Roman" w:eastAsia="Times New Roman" w:hAnsi="Times New Roman" w:cs="Times New Roman"/>
          <w:sz w:val="24"/>
        </w:rPr>
        <w:t xml:space="preserve"> </w:t>
      </w:r>
    </w:p>
    <w:p w:rsidR="007617AD" w:rsidRDefault="00EE75C8">
      <w:pPr>
        <w:numPr>
          <w:ilvl w:val="0"/>
          <w:numId w:val="10"/>
        </w:numPr>
        <w:spacing w:after="51"/>
        <w:ind w:right="62" w:hanging="360"/>
      </w:pPr>
      <w:r>
        <w:t xml:space="preserve">La Disposición Adicional 16.ª del Texto Refundido de la Ley Reguladora de las Haciendas Locales.  </w:t>
      </w:r>
    </w:p>
    <w:p w:rsidR="007617AD" w:rsidRDefault="00EE75C8">
      <w:pPr>
        <w:numPr>
          <w:ilvl w:val="0"/>
          <w:numId w:val="10"/>
        </w:numPr>
        <w:spacing w:after="53"/>
        <w:ind w:right="62" w:hanging="360"/>
      </w:pPr>
      <w:r>
        <w:t>Acuerdo del Congreso de los Diputados del 13 de octubre de 2020, relativo al Objetivo de Estabilidad Presupuestaria, según acuerdo del Consejo de Ministros d</w:t>
      </w:r>
      <w:r>
        <w:t>e 6 de octubre de 2020 de “Someter a la deliberación del Pleno, a los efectos previstos en los artículos 135.4 de la Constitución y 11.3 de la Ley Orgánica 2/2012, de 27 de abril, de Estabilidad Presupuestaria y Sostenibilidad Financiera y publicar en el B</w:t>
      </w:r>
      <w:r>
        <w:t xml:space="preserve">oletín Oficial de las Cortes Generales.” </w:t>
      </w:r>
    </w:p>
    <w:p w:rsidR="007617AD" w:rsidRDefault="00EE75C8">
      <w:pPr>
        <w:spacing w:after="0" w:line="259" w:lineRule="auto"/>
        <w:ind w:left="708" w:firstLine="0"/>
        <w:jc w:val="left"/>
      </w:pPr>
      <w:r>
        <w:t xml:space="preserve"> </w:t>
      </w:r>
    </w:p>
    <w:p w:rsidR="007617AD" w:rsidRDefault="00EE75C8">
      <w:pPr>
        <w:spacing w:after="0"/>
        <w:ind w:left="703" w:right="62"/>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47231" name="Group 247231"/>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4644" name="Rectangle 464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4645" name="Rectangle 4645"/>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30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47231" style="width:12.7031pt;height:280.02pt;position:absolute;mso-position-horizontal-relative:page;mso-position-horizontal:absolute;margin-left:682.278pt;mso-position-vertical-relative:page;margin-top:531.9pt;" coordsize="1613,35562">
                <v:rect id="Rectangle 464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4645"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192 </w:t>
                        </w:r>
                      </w:p>
                    </w:txbxContent>
                  </v:textbox>
                </v:rect>
                <w10:wrap type="square"/>
              </v:group>
            </w:pict>
          </mc:Fallback>
        </mc:AlternateContent>
      </w:r>
      <w:r>
        <w:rPr>
          <w:b/>
        </w:rPr>
        <w:t>TERCERO</w:t>
      </w:r>
      <w:r>
        <w:t>: Considerando que el artículo 177 del Real Decreto Legislativo 2/2004, de 5 de marzo, por el que se aprueba el texto refundido de la Ley Reguladora de las Haciendas Locales, regula los expedientes de modificación presupuestaria mediante créditos extraordi</w:t>
      </w:r>
      <w:r>
        <w:t>narios y suplementos de crédito, al señalar que:</w:t>
      </w:r>
      <w:r>
        <w:rPr>
          <w:rFonts w:ascii="Times New Roman" w:eastAsia="Times New Roman" w:hAnsi="Times New Roman" w:cs="Times New Roman"/>
          <w:sz w:val="24"/>
        </w:rPr>
        <w:t xml:space="preserve"> </w:t>
      </w:r>
    </w:p>
    <w:p w:rsidR="007617AD" w:rsidRDefault="00EE75C8">
      <w:pPr>
        <w:numPr>
          <w:ilvl w:val="0"/>
          <w:numId w:val="11"/>
        </w:numPr>
        <w:spacing w:after="6"/>
        <w:ind w:right="62" w:hanging="360"/>
      </w:pPr>
      <w:r>
        <w:t>Cuando haya de realizarse algún gasto que no pueda demorarse hasta el ejercicio siguiente, y sea insuficiente en el presupuesto de la corporación el crédito consignado, el presidente de la corporación orden</w:t>
      </w:r>
      <w:r>
        <w:t xml:space="preserve">ará la incoación del expediente de suplemento de crédito.  </w:t>
      </w:r>
    </w:p>
    <w:p w:rsidR="007617AD" w:rsidRDefault="00EE75C8">
      <w:pPr>
        <w:numPr>
          <w:ilvl w:val="0"/>
          <w:numId w:val="11"/>
        </w:numPr>
        <w:spacing w:after="9"/>
        <w:ind w:right="62" w:hanging="360"/>
      </w:pPr>
      <w:r>
        <w:t>El expediente, que habrá de ser previamente informado por la Intervención, se someterá a la aprobación del Pleno de la corporación, con sujeción a los mismos trámites y requisitos que los presupue</w:t>
      </w:r>
      <w:r>
        <w:t xml:space="preserve">stos. Serán, asimismo, de aplicación, las normas sobre información, reclamación y publicidad de los presupuestos a que se refiere el artículo 169 de esta ley.  </w:t>
      </w:r>
    </w:p>
    <w:p w:rsidR="007617AD" w:rsidRDefault="00EE75C8">
      <w:pPr>
        <w:numPr>
          <w:ilvl w:val="0"/>
          <w:numId w:val="11"/>
        </w:numPr>
        <w:spacing w:after="44"/>
        <w:ind w:right="62" w:hanging="360"/>
      </w:pPr>
      <w:r>
        <w:t xml:space="preserve">El expediente deberá especificar la concreta partida presupuestaria a incrementar y el medio o </w:t>
      </w:r>
      <w:r>
        <w:t xml:space="preserve">recurso que ha de financiar el aumento que se propone. </w:t>
      </w:r>
    </w:p>
    <w:p w:rsidR="007617AD" w:rsidRDefault="00EE75C8">
      <w:pPr>
        <w:numPr>
          <w:ilvl w:val="0"/>
          <w:numId w:val="11"/>
        </w:numPr>
        <w:spacing w:after="0"/>
        <w:ind w:right="62" w:hanging="360"/>
      </w:pPr>
      <w:r>
        <w:t>Dicho aumento se financiará con cargo al remanente líquido de tesorería, con nuevos o mayores ingresos recaudados sobre los totales previstos en el presupuesto corriente, y mediante anulaciones o baja</w:t>
      </w:r>
      <w:r>
        <w:t>s de créditos de gastos de otras partidas del presupuesto vigente no comprometidos, cuyas dotaciones se estimen reducibles sin perturbación del respectivo servicio. En el expediente se acreditará que los ingresos previstos en el presupuesto vengan efectuán</w:t>
      </w:r>
      <w:r>
        <w:t xml:space="preserve">dose con normalidad, salvo que aquéllos tengan carácter finalista. </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5"/>
        <w:ind w:left="703" w:right="62"/>
      </w:pPr>
      <w:r>
        <w:rPr>
          <w:b/>
        </w:rPr>
        <w:t>CUARTO:</w:t>
      </w:r>
      <w:r>
        <w:t xml:space="preserve"> Vista la Liquidación del Presupuesto general 2021, aprobada por decreto 597/2022 de 16/03/2021, donde se aprueba un Remanente de Tesorería para gastos Generales (RTGG) por un im</w:t>
      </w:r>
      <w:r>
        <w:t>porte de 18.482.024,15€.</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r>
        <w:tab/>
        <w:t xml:space="preserve"> </w:t>
      </w:r>
    </w:p>
    <w:p w:rsidR="007617AD" w:rsidRDefault="00EE75C8">
      <w:pPr>
        <w:spacing w:after="27"/>
        <w:ind w:left="703" w:right="62"/>
      </w:pPr>
      <w:r>
        <w:t xml:space="preserve"> </w:t>
      </w:r>
      <w:r>
        <w:tab/>
        <w:t xml:space="preserve">Y visto los expedientes de modificación presupuestaria financiados con cargo al Remanente de Tesorería para Gastos generales que se detallan a continuación, queda un disponible de RTGG de 8.917.841,37€.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right="9572" w:firstLine="0"/>
        <w:jc w:val="left"/>
      </w:pPr>
      <w:r>
        <w:t xml:space="preserve"> </w:t>
      </w:r>
      <w:r>
        <w:rPr>
          <w:rFonts w:ascii="Times New Roman" w:eastAsia="Times New Roman" w:hAnsi="Times New Roman" w:cs="Times New Roman"/>
          <w:sz w:val="24"/>
        </w:rPr>
        <w:t xml:space="preserve"> </w:t>
      </w:r>
    </w:p>
    <w:tbl>
      <w:tblPr>
        <w:tblStyle w:val="TableGrid"/>
        <w:tblW w:w="8543" w:type="dxa"/>
        <w:tblInd w:w="708" w:type="dxa"/>
        <w:tblCellMar>
          <w:top w:w="7" w:type="dxa"/>
          <w:left w:w="70" w:type="dxa"/>
          <w:bottom w:w="0" w:type="dxa"/>
          <w:right w:w="8" w:type="dxa"/>
        </w:tblCellMar>
        <w:tblLook w:val="04A0" w:firstRow="1" w:lastRow="0" w:firstColumn="1" w:lastColumn="0" w:noHBand="0" w:noVBand="1"/>
      </w:tblPr>
      <w:tblGrid>
        <w:gridCol w:w="1262"/>
        <w:gridCol w:w="3466"/>
        <w:gridCol w:w="2384"/>
        <w:gridCol w:w="1431"/>
      </w:tblGrid>
      <w:tr w:rsidR="007617AD">
        <w:trPr>
          <w:trHeight w:val="517"/>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center"/>
            </w:pPr>
            <w:r>
              <w:rPr>
                <w:b/>
              </w:rPr>
              <w:t xml:space="preserve">Expediente </w:t>
            </w:r>
          </w:p>
        </w:tc>
        <w:tc>
          <w:tcPr>
            <w:tcW w:w="3466"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2" w:firstLine="0"/>
              <w:jc w:val="center"/>
            </w:pPr>
            <w:r>
              <w:rPr>
                <w:b/>
              </w:rPr>
              <w:t xml:space="preserve">Tipo </w:t>
            </w:r>
          </w:p>
        </w:tc>
        <w:tc>
          <w:tcPr>
            <w:tcW w:w="238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1" w:firstLine="0"/>
              <w:jc w:val="center"/>
            </w:pPr>
            <w:r>
              <w:rPr>
                <w:b/>
              </w:rPr>
              <w:t xml:space="preserve">Aprobación  </w:t>
            </w:r>
          </w:p>
        </w:tc>
        <w:tc>
          <w:tcPr>
            <w:tcW w:w="1431"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0" w:firstLine="0"/>
              <w:jc w:val="center"/>
            </w:pPr>
            <w:r>
              <w:rPr>
                <w:b/>
              </w:rPr>
              <w:t xml:space="preserve">Importe </w:t>
            </w:r>
          </w:p>
        </w:tc>
      </w:tr>
      <w:tr w:rsidR="007617AD">
        <w:trPr>
          <w:trHeight w:val="516"/>
        </w:trPr>
        <w:tc>
          <w:tcPr>
            <w:tcW w:w="1262"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41" w:firstLine="0"/>
            </w:pPr>
            <w:r>
              <w:t xml:space="preserve">2916/2022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t xml:space="preserve">Incorporación de remanentes de créditos </w:t>
            </w:r>
          </w:p>
        </w:tc>
        <w:tc>
          <w:tcPr>
            <w:tcW w:w="238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left"/>
            </w:pPr>
            <w:r>
              <w:t xml:space="preserve">Decreto 701/2022 </w:t>
            </w:r>
          </w:p>
        </w:tc>
        <w:tc>
          <w:tcPr>
            <w:tcW w:w="1431"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7" w:firstLine="0"/>
            </w:pPr>
            <w:r>
              <w:t xml:space="preserve">5.236.870,63 </w:t>
            </w:r>
          </w:p>
        </w:tc>
      </w:tr>
      <w:tr w:rsidR="007617AD">
        <w:trPr>
          <w:trHeight w:val="264"/>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1" w:firstLine="0"/>
            </w:pPr>
            <w:r>
              <w:t xml:space="preserve">2655/2022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t xml:space="preserve">Créditos extraordinarios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t xml:space="preserve">Pleno Marzo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 w:firstLine="0"/>
            </w:pPr>
            <w:r>
              <w:t xml:space="preserve">1.348.216,10 </w:t>
            </w:r>
          </w:p>
        </w:tc>
      </w:tr>
      <w:tr w:rsidR="007617AD">
        <w:trPr>
          <w:trHeight w:val="262"/>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1" w:firstLine="0"/>
            </w:pPr>
            <w:r>
              <w:t xml:space="preserve">3574/2022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t xml:space="preserve">Créditos extraordinarios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t xml:space="preserve">Pleno Abril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9" w:firstLine="0"/>
              <w:jc w:val="right"/>
            </w:pPr>
            <w:r>
              <w:t xml:space="preserve">721.010,97 </w:t>
            </w:r>
          </w:p>
        </w:tc>
      </w:tr>
      <w:tr w:rsidR="007617AD">
        <w:trPr>
          <w:trHeight w:val="264"/>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1" w:firstLine="0"/>
            </w:pPr>
            <w:r>
              <w:t xml:space="preserve">3899/2022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t xml:space="preserve">Suplemento de Créditos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t xml:space="preserve">Pleno Abril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9" w:firstLine="0"/>
              <w:jc w:val="right"/>
            </w:pPr>
            <w:r>
              <w:t xml:space="preserve">180.282,67 </w:t>
            </w:r>
          </w:p>
        </w:tc>
      </w:tr>
      <w:tr w:rsidR="007617AD">
        <w:trPr>
          <w:trHeight w:val="516"/>
        </w:trPr>
        <w:tc>
          <w:tcPr>
            <w:tcW w:w="1262"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41" w:firstLine="0"/>
            </w:pPr>
            <w:r>
              <w:t xml:space="preserve">4246/2022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t xml:space="preserve">Incorporación de remanentes de créditos </w:t>
            </w:r>
          </w:p>
        </w:tc>
        <w:tc>
          <w:tcPr>
            <w:tcW w:w="238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left"/>
            </w:pPr>
            <w:r>
              <w:t xml:space="preserve">Decreto 1146/2022 </w:t>
            </w:r>
          </w:p>
        </w:tc>
        <w:tc>
          <w:tcPr>
            <w:tcW w:w="1431"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59" w:firstLine="0"/>
              <w:jc w:val="right"/>
            </w:pPr>
            <w:r>
              <w:t xml:space="preserve">9.525,47 </w:t>
            </w:r>
          </w:p>
        </w:tc>
      </w:tr>
      <w:tr w:rsidR="007617AD">
        <w:trPr>
          <w:trHeight w:val="264"/>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t xml:space="preserve">4560/2022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t xml:space="preserve">Creditos extraordinarios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t xml:space="preserve">Pleno Mayo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 w:firstLine="0"/>
            </w:pPr>
            <w:r>
              <w:t xml:space="preserve">2.000.972,48 </w:t>
            </w:r>
          </w:p>
        </w:tc>
      </w:tr>
      <w:tr w:rsidR="007617AD">
        <w:trPr>
          <w:trHeight w:val="262"/>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t xml:space="preserve">4834/2022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t xml:space="preserve">Suplementos de Créditos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t xml:space="preserve">Pleno Mayo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9" w:firstLine="0"/>
              <w:jc w:val="right"/>
            </w:pPr>
            <w:r>
              <w:t xml:space="preserve">67.304,46 </w:t>
            </w:r>
          </w:p>
        </w:tc>
      </w:tr>
      <w:tr w:rsidR="007617AD">
        <w:trPr>
          <w:trHeight w:val="264"/>
        </w:trPr>
        <w:tc>
          <w:tcPr>
            <w:tcW w:w="4729" w:type="dxa"/>
            <w:gridSpan w:val="2"/>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2384" w:type="dxa"/>
            <w:tcBorders>
              <w:top w:val="single" w:sz="4" w:space="0" w:color="000000"/>
              <w:left w:val="nil"/>
              <w:bottom w:val="single" w:sz="4" w:space="0" w:color="000000"/>
              <w:right w:val="single" w:sz="4" w:space="0" w:color="000000"/>
            </w:tcBorders>
          </w:tcPr>
          <w:p w:rsidR="007617AD" w:rsidRDefault="00EE75C8">
            <w:pPr>
              <w:spacing w:after="0" w:line="259" w:lineRule="auto"/>
              <w:ind w:left="0" w:right="62" w:firstLine="0"/>
              <w:jc w:val="right"/>
            </w:pPr>
            <w:r>
              <w:rPr>
                <w:b/>
              </w:rPr>
              <w:t xml:space="preserve">Total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 w:firstLine="0"/>
            </w:pPr>
            <w:r>
              <w:rPr>
                <w:b/>
              </w:rPr>
              <w:t xml:space="preserve">9.564.182,78 </w:t>
            </w:r>
          </w:p>
        </w:tc>
      </w:tr>
    </w:tbl>
    <w:p w:rsidR="007617AD" w:rsidRDefault="00EE75C8">
      <w:pPr>
        <w:spacing w:after="17" w:line="259" w:lineRule="auto"/>
        <w:ind w:left="708" w:firstLine="0"/>
        <w:jc w:val="left"/>
      </w:pPr>
      <w:r>
        <w:rPr>
          <w:rFonts w:ascii="Times New Roman" w:eastAsia="Times New Roman" w:hAnsi="Times New Roman" w:cs="Times New Roman"/>
          <w:sz w:val="20"/>
        </w:rPr>
        <w:t xml:space="preserve">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7617AD" w:rsidRDefault="00EE75C8">
      <w:pPr>
        <w:ind w:left="703" w:right="62"/>
      </w:pPr>
      <w:r>
        <w:rPr>
          <w:b/>
        </w:rPr>
        <w:t>QUINTO:</w:t>
      </w:r>
      <w:r>
        <w:t xml:space="preserve"> Que el expediente de modificación presupuestaria </w:t>
      </w:r>
      <w:r>
        <w:rPr>
          <w:b/>
        </w:rPr>
        <w:t>6014/2022</w:t>
      </w:r>
      <w:r>
        <w:t xml:space="preserve"> de modificación presupuestaria por </w:t>
      </w:r>
      <w:r>
        <w:rPr>
          <w:b/>
        </w:rPr>
        <w:t>Suplementos de Créditos</w:t>
      </w:r>
      <w:r>
        <w:t xml:space="preserve"> financiado con Remanente de Tesorería para gastos generales, por la cantidad de </w:t>
      </w:r>
      <w:r>
        <w:rPr>
          <w:b/>
        </w:rPr>
        <w:t>301.746,30 euros</w:t>
      </w:r>
      <w:r>
        <w:t xml:space="preserve">, se apruebe de acuerdo al siguiente detalle: </w:t>
      </w:r>
    </w:p>
    <w:p w:rsidR="007617AD" w:rsidRDefault="00EE75C8">
      <w:pPr>
        <w:spacing w:after="98" w:line="259" w:lineRule="auto"/>
        <w:ind w:left="708"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5454" name="Group 25545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5098" name="Rectangle 509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5099" name="Rectangle 5099"/>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31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5454" style="width:12.7031pt;height:280.02pt;position:absolute;mso-position-horizontal-relative:page;mso-position-horizontal:absolute;margin-left:682.278pt;mso-position-vertical-relative:page;margin-top:531.9pt;" coordsize="1613,35562">
                <v:rect id="Rectangle 509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5099"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192 </w:t>
                        </w:r>
                      </w:p>
                    </w:txbxContent>
                  </v:textbox>
                </v:rect>
                <w10:wrap type="square"/>
              </v:group>
            </w:pict>
          </mc:Fallback>
        </mc:AlternateContent>
      </w:r>
      <w:r>
        <w:t xml:space="preserve"> </w:t>
      </w:r>
    </w:p>
    <w:p w:rsidR="007617AD" w:rsidRDefault="00EE75C8">
      <w:pPr>
        <w:spacing w:after="98" w:line="259" w:lineRule="auto"/>
        <w:ind w:left="708" w:firstLine="0"/>
        <w:jc w:val="left"/>
      </w:pPr>
      <w:r>
        <w:t xml:space="preserve"> </w:t>
      </w:r>
    </w:p>
    <w:p w:rsidR="007617AD" w:rsidRDefault="00EE75C8">
      <w:pPr>
        <w:spacing w:after="0" w:line="259" w:lineRule="auto"/>
        <w:ind w:left="10" w:right="349"/>
        <w:jc w:val="center"/>
      </w:pPr>
      <w:r>
        <w:rPr>
          <w:b/>
          <w:sz w:val="20"/>
        </w:rPr>
        <w:t xml:space="preserve">Estados de gastos </w:t>
      </w:r>
    </w:p>
    <w:tbl>
      <w:tblPr>
        <w:tblStyle w:val="TableGrid"/>
        <w:tblW w:w="8440" w:type="dxa"/>
        <w:tblInd w:w="779" w:type="dxa"/>
        <w:tblCellMar>
          <w:top w:w="6" w:type="dxa"/>
          <w:left w:w="70" w:type="dxa"/>
          <w:bottom w:w="0" w:type="dxa"/>
          <w:right w:w="13" w:type="dxa"/>
        </w:tblCellMar>
        <w:tblLook w:val="04A0" w:firstRow="1" w:lastRow="0" w:firstColumn="1" w:lastColumn="0" w:noHBand="0" w:noVBand="1"/>
      </w:tblPr>
      <w:tblGrid>
        <w:gridCol w:w="944"/>
        <w:gridCol w:w="1307"/>
        <w:gridCol w:w="4665"/>
        <w:gridCol w:w="1524"/>
      </w:tblGrid>
      <w:tr w:rsidR="007617AD">
        <w:trPr>
          <w:trHeight w:val="698"/>
        </w:trPr>
        <w:tc>
          <w:tcPr>
            <w:tcW w:w="906" w:type="dxa"/>
            <w:tcBorders>
              <w:top w:val="single" w:sz="4" w:space="0" w:color="000000"/>
              <w:left w:val="single" w:sz="4" w:space="0" w:color="000000"/>
              <w:bottom w:val="single" w:sz="4" w:space="0" w:color="000000"/>
              <w:right w:val="single" w:sz="4" w:space="0" w:color="000000"/>
            </w:tcBorders>
            <w:shd w:val="clear" w:color="auto" w:fill="D9D9D9"/>
          </w:tcPr>
          <w:p w:rsidR="007617AD" w:rsidRDefault="00EE75C8">
            <w:pPr>
              <w:spacing w:after="0" w:line="259" w:lineRule="auto"/>
              <w:ind w:left="0" w:firstLine="5"/>
              <w:jc w:val="center"/>
            </w:pPr>
            <w:r>
              <w:rPr>
                <w:b/>
                <w:sz w:val="20"/>
              </w:rPr>
              <w:t xml:space="preserve">Proyecto gasto </w:t>
            </w:r>
          </w:p>
        </w:tc>
        <w:tc>
          <w:tcPr>
            <w:tcW w:w="13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Aplicación </w:t>
            </w:r>
          </w:p>
        </w:tc>
        <w:tc>
          <w:tcPr>
            <w:tcW w:w="46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Denominación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56" w:firstLine="0"/>
              <w:jc w:val="center"/>
            </w:pPr>
            <w:r>
              <w:rPr>
                <w:b/>
                <w:sz w:val="20"/>
              </w:rPr>
              <w:t xml:space="preserve">Importe </w:t>
            </w:r>
          </w:p>
        </w:tc>
      </w:tr>
      <w:tr w:rsidR="007617AD">
        <w:trPr>
          <w:trHeight w:val="361"/>
        </w:trPr>
        <w:tc>
          <w:tcPr>
            <w:tcW w:w="90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9" w:firstLine="0"/>
              <w:jc w:val="left"/>
            </w:pPr>
            <w:r>
              <w:rPr>
                <w:sz w:val="20"/>
              </w:rPr>
              <w:t xml:space="preserve">20.2.42 </w:t>
            </w:r>
          </w:p>
        </w:tc>
        <w:tc>
          <w:tcPr>
            <w:tcW w:w="13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41500.61900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Pantalanes Muelle Pesquero</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201.746,30 </w:t>
            </w:r>
          </w:p>
        </w:tc>
      </w:tr>
      <w:tr w:rsidR="007617AD">
        <w:trPr>
          <w:trHeight w:val="361"/>
        </w:trPr>
        <w:tc>
          <w:tcPr>
            <w:tcW w:w="90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2" w:firstLine="0"/>
              <w:jc w:val="center"/>
            </w:pPr>
            <w:r>
              <w:rPr>
                <w:sz w:val="20"/>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01100.35900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Otros Gastos financieros</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100.000,00 </w:t>
            </w:r>
          </w:p>
        </w:tc>
      </w:tr>
      <w:tr w:rsidR="007617AD">
        <w:trPr>
          <w:trHeight w:val="250"/>
        </w:trPr>
        <w:tc>
          <w:tcPr>
            <w:tcW w:w="6912" w:type="dxa"/>
            <w:gridSpan w:val="3"/>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0" w:firstLine="0"/>
              <w:jc w:val="center"/>
            </w:pPr>
            <w:r>
              <w:rPr>
                <w:b/>
                <w:sz w:val="20"/>
              </w:rPr>
              <w:t xml:space="preserve">Total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b/>
                <w:sz w:val="20"/>
              </w:rPr>
              <w:t xml:space="preserve">301.746,30 </w:t>
            </w:r>
          </w:p>
        </w:tc>
      </w:tr>
    </w:tbl>
    <w:p w:rsidR="007617AD" w:rsidRDefault="00EE75C8">
      <w:pPr>
        <w:spacing w:after="21" w:line="259" w:lineRule="auto"/>
        <w:ind w:left="848"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p>
    <w:p w:rsidR="007617AD" w:rsidRDefault="00EE75C8">
      <w:pPr>
        <w:spacing w:after="0" w:line="259" w:lineRule="auto"/>
        <w:ind w:left="10" w:right="352"/>
        <w:jc w:val="center"/>
      </w:pPr>
      <w:r>
        <w:rPr>
          <w:b/>
          <w:sz w:val="20"/>
        </w:rPr>
        <w:t>Estados de Ingresos</w:t>
      </w:r>
      <w:r>
        <w:rPr>
          <w:rFonts w:ascii="Times New Roman" w:eastAsia="Times New Roman" w:hAnsi="Times New Roman" w:cs="Times New Roman"/>
          <w:sz w:val="24"/>
        </w:rPr>
        <w:t xml:space="preserve"> </w:t>
      </w:r>
    </w:p>
    <w:tbl>
      <w:tblPr>
        <w:tblStyle w:val="TableGrid"/>
        <w:tblW w:w="8440" w:type="dxa"/>
        <w:tblInd w:w="779" w:type="dxa"/>
        <w:tblCellMar>
          <w:top w:w="12" w:type="dxa"/>
          <w:left w:w="70" w:type="dxa"/>
          <w:bottom w:w="0" w:type="dxa"/>
          <w:right w:w="8" w:type="dxa"/>
        </w:tblCellMar>
        <w:tblLook w:val="04A0" w:firstRow="1" w:lastRow="0" w:firstColumn="1" w:lastColumn="0" w:noHBand="0" w:noVBand="1"/>
      </w:tblPr>
      <w:tblGrid>
        <w:gridCol w:w="2214"/>
        <w:gridCol w:w="4698"/>
        <w:gridCol w:w="1528"/>
      </w:tblGrid>
      <w:tr w:rsidR="007617AD">
        <w:trPr>
          <w:trHeight w:val="487"/>
        </w:trPr>
        <w:tc>
          <w:tcPr>
            <w:tcW w:w="221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4" w:firstLine="0"/>
              <w:jc w:val="center"/>
            </w:pPr>
            <w:r>
              <w:rPr>
                <w:b/>
                <w:sz w:val="20"/>
              </w:rPr>
              <w:t xml:space="preserve">Aplicación </w:t>
            </w:r>
          </w:p>
        </w:tc>
        <w:tc>
          <w:tcPr>
            <w:tcW w:w="46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Denominación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1" w:firstLine="0"/>
              <w:jc w:val="center"/>
            </w:pPr>
            <w:r>
              <w:rPr>
                <w:b/>
                <w:sz w:val="20"/>
              </w:rPr>
              <w:t xml:space="preserve">Importe </w:t>
            </w:r>
          </w:p>
        </w:tc>
      </w:tr>
      <w:tr w:rsidR="007617AD">
        <w:trPr>
          <w:trHeight w:val="311"/>
        </w:trPr>
        <w:tc>
          <w:tcPr>
            <w:tcW w:w="221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5" w:firstLine="0"/>
              <w:jc w:val="center"/>
            </w:pPr>
            <w:r>
              <w:rPr>
                <w:sz w:val="20"/>
              </w:rPr>
              <w:t xml:space="preserve">870.00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Remanente de Tesorería para gastos generales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sz w:val="20"/>
              </w:rPr>
              <w:t>301.746,30</w:t>
            </w:r>
            <w:r>
              <w:rPr>
                <w:rFonts w:ascii="Times New Roman" w:eastAsia="Times New Roman" w:hAnsi="Times New Roman" w:cs="Times New Roman"/>
                <w:sz w:val="24"/>
              </w:rPr>
              <w:t xml:space="preserve"> </w:t>
            </w:r>
          </w:p>
        </w:tc>
      </w:tr>
      <w:tr w:rsidR="007617AD">
        <w:trPr>
          <w:trHeight w:val="250"/>
        </w:trPr>
        <w:tc>
          <w:tcPr>
            <w:tcW w:w="2214"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4698" w:type="dxa"/>
            <w:tcBorders>
              <w:top w:val="single" w:sz="4" w:space="0" w:color="000000"/>
              <w:left w:val="nil"/>
              <w:bottom w:val="single" w:sz="4" w:space="0" w:color="000000"/>
              <w:right w:val="single" w:sz="4" w:space="0" w:color="000000"/>
            </w:tcBorders>
          </w:tcPr>
          <w:p w:rsidR="007617AD" w:rsidRDefault="00EE75C8">
            <w:pPr>
              <w:spacing w:after="0" w:line="259" w:lineRule="auto"/>
              <w:ind w:left="939" w:firstLine="0"/>
              <w:jc w:val="left"/>
            </w:pPr>
            <w:r>
              <w:rPr>
                <w:b/>
                <w:sz w:val="20"/>
              </w:rPr>
              <w:t xml:space="preserve">Total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b/>
                <w:sz w:val="20"/>
              </w:rPr>
              <w:t xml:space="preserve">301.746,30 </w:t>
            </w:r>
          </w:p>
        </w:tc>
      </w:tr>
    </w:tbl>
    <w:p w:rsidR="007617AD" w:rsidRDefault="00EE75C8">
      <w:pPr>
        <w:ind w:left="703" w:right="62"/>
      </w:pPr>
      <w:r>
        <w:t xml:space="preserve">“ </w:t>
      </w:r>
    </w:p>
    <w:p w:rsidR="007617AD" w:rsidRDefault="00EE75C8">
      <w:pPr>
        <w:spacing w:after="0" w:line="259" w:lineRule="auto"/>
        <w:ind w:left="704" w:firstLine="0"/>
        <w:jc w:val="left"/>
      </w:pPr>
      <w:r>
        <w:rPr>
          <w:rFonts w:ascii="Times New Roman" w:eastAsia="Times New Roman" w:hAnsi="Times New Roman" w:cs="Times New Roman"/>
          <w:sz w:val="24"/>
        </w:rPr>
        <w:t xml:space="preserve"> </w:t>
      </w:r>
    </w:p>
    <w:p w:rsidR="007617AD" w:rsidRDefault="00EE75C8">
      <w:pPr>
        <w:spacing w:after="0"/>
        <w:ind w:left="703" w:right="58"/>
      </w:pPr>
      <w:r>
        <w:rPr>
          <w:b/>
        </w:rPr>
        <w:t xml:space="preserve">Consta en el expediente propuesta del Concejal delegado de Hacienda, D. Airam Pérez Chinea, de fecha 22 de junio de 2022, que transcrito literalmente dice: </w:t>
      </w:r>
    </w:p>
    <w:p w:rsidR="007617AD" w:rsidRDefault="00EE75C8">
      <w:pPr>
        <w:spacing w:after="130" w:line="259" w:lineRule="auto"/>
        <w:ind w:left="708" w:firstLine="0"/>
        <w:jc w:val="left"/>
      </w:pPr>
      <w:r>
        <w:rPr>
          <w:b/>
        </w:rPr>
        <w:t xml:space="preserve"> </w:t>
      </w:r>
    </w:p>
    <w:p w:rsidR="007617AD" w:rsidRDefault="00EE75C8">
      <w:pPr>
        <w:ind w:left="693" w:right="62" w:firstLine="708"/>
      </w:pPr>
      <w:r>
        <w:t xml:space="preserve">“Dado expediente </w:t>
      </w:r>
      <w:r>
        <w:rPr>
          <w:b/>
        </w:rPr>
        <w:t>6014/2022 de Suplemento de Créditos</w:t>
      </w:r>
      <w:r>
        <w:t xml:space="preserve">, relativos a actuaciones y necesidades para </w:t>
      </w:r>
      <w:r>
        <w:t>dotar infraestructuras y servicios municipales, y visto informe de la Intervención General que se transcribe a continuación:</w:t>
      </w:r>
      <w:r>
        <w:rPr>
          <w:rFonts w:ascii="Times New Roman" w:eastAsia="Times New Roman" w:hAnsi="Times New Roman" w:cs="Times New Roman"/>
          <w:sz w:val="24"/>
        </w:rPr>
        <w:t xml:space="preserve"> </w:t>
      </w:r>
    </w:p>
    <w:p w:rsidR="007617AD" w:rsidRDefault="00EE75C8">
      <w:pPr>
        <w:spacing w:after="52" w:line="248" w:lineRule="auto"/>
        <w:ind w:left="693" w:right="34" w:firstLine="708"/>
        <w:jc w:val="left"/>
      </w:pPr>
      <w:r>
        <w:t xml:space="preserve">“Vista la propuesta de la Alcaldesa, </w:t>
      </w:r>
      <w:r>
        <w:t xml:space="preserve">de tramitación de modificación presupuestaria por Suplementos de Créditos financiados con remanantes de Tesorería para Gastos Generales, que dice: </w:t>
      </w:r>
    </w:p>
    <w:p w:rsidR="007617AD" w:rsidRDefault="00EE75C8">
      <w:pPr>
        <w:spacing w:after="142"/>
        <w:ind w:left="693" w:right="62" w:firstLine="708"/>
      </w:pPr>
      <w:r>
        <w:t>“El Ayuntamiento de Candelaria necesita suplementar créditos a los consignados en su Presupuesto vigente, pa</w:t>
      </w:r>
      <w:r>
        <w:t>ra llevar a cabo actuaciones de mejora de instalaciones e infraestructuras municipales, y de ejecución de gastos necesarios para el funcionamiento de los servicios municipales, con ocasión de la ejecución de las actuaciones siguientes:</w:t>
      </w:r>
      <w:r>
        <w:rPr>
          <w:rFonts w:ascii="Times New Roman" w:eastAsia="Times New Roman" w:hAnsi="Times New Roman" w:cs="Times New Roman"/>
          <w:sz w:val="24"/>
        </w:rPr>
        <w:t xml:space="preserve"> </w:t>
      </w:r>
    </w:p>
    <w:p w:rsidR="007617AD" w:rsidRDefault="00EE75C8">
      <w:pPr>
        <w:spacing w:after="146" w:line="259" w:lineRule="auto"/>
        <w:ind w:left="1774" w:firstLine="0"/>
        <w:jc w:val="left"/>
      </w:pPr>
      <w:r>
        <w:t xml:space="preserve"> </w:t>
      </w:r>
    </w:p>
    <w:p w:rsidR="007617AD" w:rsidRDefault="00EE75C8">
      <w:pPr>
        <w:spacing w:after="137"/>
        <w:ind w:left="693" w:right="62" w:firstLine="708"/>
      </w:pPr>
      <w:r>
        <w:rPr>
          <w:b/>
        </w:rPr>
        <w:t xml:space="preserve">Pantalanes en el </w:t>
      </w:r>
      <w:r>
        <w:rPr>
          <w:b/>
        </w:rPr>
        <w:t>Muelle Pesquero de Candelaria:</w:t>
      </w:r>
      <w:r>
        <w:t xml:space="preserve"> Visto el que el proyecto técnico se ha modificado por el Ingeniero redactor D. Carlos Daniel Mora Ramos Col. nº 4326 con fecha 24 de mayo de 2022, al quedar desierta la licitación, dado que el presupuesto inicial del proyecto</w:t>
      </w:r>
      <w:r>
        <w:t xml:space="preserve"> redactado en enero el año 2020 ascendía a 128.884,03 €, y dicho presupuesto no se adapta al contexto económico inflacionista actual como consecuencia de la guerra de Ucrania, por lo que ha modificado el presupuesto del mismo de forma que el importe ascien</w:t>
      </w:r>
      <w:r>
        <w:t>de ahora a 330.630, 33 €.</w:t>
      </w:r>
      <w:r>
        <w:rPr>
          <w:rFonts w:ascii="Times New Roman" w:eastAsia="Times New Roman" w:hAnsi="Times New Roman" w:cs="Times New Roman"/>
          <w:sz w:val="24"/>
        </w:rPr>
        <w:t xml:space="preserve"> </w:t>
      </w:r>
    </w:p>
    <w:p w:rsidR="007617AD" w:rsidRDefault="00EE75C8">
      <w:pPr>
        <w:ind w:left="693" w:right="62" w:firstLine="720"/>
      </w:pPr>
      <w:r>
        <w:rPr>
          <w:b/>
        </w:rPr>
        <w:t xml:space="preserve">Otros gastos financieros: </w:t>
      </w:r>
      <w:r>
        <w:t>Visto el cobro de intereses bancarios por parte de las entidades financieras en concepto de comisiones, por la que se aplica un % sobre el saldo bancario, dado que constan en las cuentas un importe de má</w:t>
      </w:r>
      <w:r>
        <w:t>s de 24.000.000€, se estima que un incremento del gasto en concepto de intereses de 100.000,00</w:t>
      </w:r>
      <w:r>
        <w:rPr>
          <w:rFonts w:ascii="Times New Roman" w:eastAsia="Times New Roman" w:hAnsi="Times New Roman" w:cs="Times New Roman"/>
          <w:sz w:val="24"/>
        </w:rPr>
        <w:t xml:space="preserve"> </w:t>
      </w:r>
    </w:p>
    <w:p w:rsidR="007617AD" w:rsidRDefault="00EE75C8">
      <w:pPr>
        <w:spacing w:after="153"/>
        <w:ind w:left="693" w:right="62" w:firstLine="720"/>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0913" name="Group 250913"/>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5363" name="Rectangle 5363"/>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5364" name="Rectangle 5364"/>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plataforma es</w:t>
                              </w:r>
                              <w:r>
                                <w:rPr>
                                  <w:sz w:val="12"/>
                                </w:rPr>
                                <w:t xml:space="preserve">Publico Gestiona | Página 32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0913" style="width:12.7031pt;height:280.02pt;position:absolute;mso-position-horizontal-relative:page;mso-position-horizontal:absolute;margin-left:682.278pt;mso-position-vertical-relative:page;margin-top:531.9pt;" coordsize="1613,35562">
                <v:rect id="Rectangle 5363"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5364"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192 </w:t>
                        </w:r>
                      </w:p>
                    </w:txbxContent>
                  </v:textbox>
                </v:rect>
                <w10:wrap type="square"/>
              </v:group>
            </w:pict>
          </mc:Fallback>
        </mc:AlternateContent>
      </w:r>
      <w:r>
        <w:t xml:space="preserve">Siendo un gasto específico y determinado ante la imposibilidad de demorarlo a ejercicios posteriores, y no habiendo crédito suficiente en las aplicaciónes presupuestarias. </w:t>
      </w:r>
    </w:p>
    <w:p w:rsidR="007617AD" w:rsidRDefault="00EE75C8">
      <w:pPr>
        <w:ind w:left="703" w:right="58"/>
      </w:pPr>
      <w:r>
        <w:rPr>
          <w:b/>
        </w:rPr>
        <w:t>SE PROPONE:</w:t>
      </w:r>
      <w:r>
        <w:rPr>
          <w:rFonts w:ascii="Times New Roman" w:eastAsia="Times New Roman" w:hAnsi="Times New Roman" w:cs="Times New Roman"/>
          <w:sz w:val="24"/>
        </w:rPr>
        <w:t xml:space="preserve"> </w:t>
      </w:r>
    </w:p>
    <w:p w:rsidR="007617AD" w:rsidRDefault="00EE75C8">
      <w:pPr>
        <w:ind w:left="703" w:right="62"/>
      </w:pPr>
      <w:r>
        <w:t xml:space="preserve">Primero: Tramitar expediente </w:t>
      </w:r>
      <w:r>
        <w:rPr>
          <w:b/>
        </w:rPr>
        <w:t>6014/2022</w:t>
      </w:r>
      <w:r>
        <w:t xml:space="preserve"> de modificación presupuestaria por </w:t>
      </w:r>
      <w:r>
        <w:rPr>
          <w:b/>
        </w:rPr>
        <w:t>Suplementos de Créditos</w:t>
      </w:r>
      <w:r>
        <w:t xml:space="preserve"> financiado con Remanente de Tesorería para gastos generales, por la cantidad de </w:t>
      </w:r>
      <w:r>
        <w:rPr>
          <w:b/>
        </w:rPr>
        <w:t>301.746,30 euros</w:t>
      </w:r>
      <w:r>
        <w:t>, de acuerdo al siguiente detalle:</w:t>
      </w:r>
      <w:r>
        <w:rPr>
          <w:rFonts w:ascii="Times New Roman" w:eastAsia="Times New Roman" w:hAnsi="Times New Roman" w:cs="Times New Roman"/>
          <w:sz w:val="24"/>
        </w:rPr>
        <w:t xml:space="preserve"> </w:t>
      </w:r>
    </w:p>
    <w:p w:rsidR="007617AD" w:rsidRDefault="00EE75C8">
      <w:pPr>
        <w:spacing w:after="142" w:line="259" w:lineRule="auto"/>
        <w:ind w:left="708" w:firstLine="0"/>
        <w:jc w:val="left"/>
      </w:pPr>
      <w:r>
        <w:t xml:space="preserve"> </w:t>
      </w:r>
    </w:p>
    <w:p w:rsidR="007617AD" w:rsidRDefault="00EE75C8">
      <w:pPr>
        <w:spacing w:after="0" w:line="259" w:lineRule="auto"/>
        <w:ind w:left="10" w:right="349"/>
        <w:jc w:val="center"/>
      </w:pPr>
      <w:r>
        <w:rPr>
          <w:rFonts w:ascii="Times New Roman" w:eastAsia="Times New Roman" w:hAnsi="Times New Roman" w:cs="Times New Roman"/>
          <w:b/>
          <w:sz w:val="18"/>
        </w:rPr>
        <w:t>Estados de gastos</w:t>
      </w:r>
      <w:r>
        <w:rPr>
          <w:rFonts w:ascii="Times New Roman" w:eastAsia="Times New Roman" w:hAnsi="Times New Roman" w:cs="Times New Roman"/>
          <w:sz w:val="24"/>
        </w:rPr>
        <w:t xml:space="preserve"> </w:t>
      </w:r>
    </w:p>
    <w:tbl>
      <w:tblPr>
        <w:tblStyle w:val="TableGrid"/>
        <w:tblW w:w="8440" w:type="dxa"/>
        <w:tblInd w:w="779" w:type="dxa"/>
        <w:tblCellMar>
          <w:top w:w="7" w:type="dxa"/>
          <w:left w:w="72" w:type="dxa"/>
          <w:bottom w:w="0" w:type="dxa"/>
          <w:right w:w="8" w:type="dxa"/>
        </w:tblCellMar>
        <w:tblLook w:val="04A0" w:firstRow="1" w:lastRow="0" w:firstColumn="1" w:lastColumn="0" w:noHBand="0" w:noVBand="1"/>
      </w:tblPr>
      <w:tblGrid>
        <w:gridCol w:w="908"/>
        <w:gridCol w:w="1200"/>
        <w:gridCol w:w="4795"/>
        <w:gridCol w:w="1537"/>
      </w:tblGrid>
      <w:tr w:rsidR="007617AD">
        <w:trPr>
          <w:trHeight w:val="488"/>
        </w:trPr>
        <w:tc>
          <w:tcPr>
            <w:tcW w:w="908" w:type="dxa"/>
            <w:tcBorders>
              <w:top w:val="single" w:sz="4" w:space="0" w:color="000000"/>
              <w:left w:val="single" w:sz="4" w:space="0" w:color="000000"/>
              <w:bottom w:val="single" w:sz="4" w:space="0" w:color="000000"/>
              <w:right w:val="single" w:sz="4" w:space="0" w:color="000000"/>
            </w:tcBorders>
            <w:shd w:val="clear" w:color="auto" w:fill="D9D9D9"/>
          </w:tcPr>
          <w:p w:rsidR="007617AD" w:rsidRDefault="00EE75C8">
            <w:pPr>
              <w:spacing w:after="0" w:line="259" w:lineRule="auto"/>
              <w:ind w:left="0" w:firstLine="0"/>
              <w:jc w:val="center"/>
            </w:pPr>
            <w:r>
              <w:rPr>
                <w:rFonts w:ascii="Times New Roman" w:eastAsia="Times New Roman" w:hAnsi="Times New Roman" w:cs="Times New Roman"/>
                <w:b/>
                <w:sz w:val="18"/>
              </w:rPr>
              <w:t xml:space="preserve">Proyecto gasto </w:t>
            </w:r>
          </w:p>
        </w:tc>
        <w:tc>
          <w:tcPr>
            <w:tcW w:w="12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rFonts w:ascii="Times New Roman" w:eastAsia="Times New Roman" w:hAnsi="Times New Roman" w:cs="Times New Roman"/>
                <w:b/>
                <w:sz w:val="18"/>
              </w:rPr>
              <w:t xml:space="preserve">Aplicación </w:t>
            </w:r>
          </w:p>
        </w:tc>
        <w:tc>
          <w:tcPr>
            <w:tcW w:w="4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rFonts w:ascii="Times New Roman" w:eastAsia="Times New Roman" w:hAnsi="Times New Roman" w:cs="Times New Roman"/>
                <w:b/>
                <w:sz w:val="18"/>
              </w:rPr>
              <w:t>Denomi</w:t>
            </w:r>
            <w:r>
              <w:rPr>
                <w:rFonts w:ascii="Times New Roman" w:eastAsia="Times New Roman" w:hAnsi="Times New Roman" w:cs="Times New Roman"/>
                <w:b/>
                <w:sz w:val="18"/>
              </w:rPr>
              <w:t xml:space="preserve">nación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4" w:firstLine="0"/>
              <w:jc w:val="center"/>
            </w:pPr>
            <w:r>
              <w:rPr>
                <w:rFonts w:ascii="Times New Roman" w:eastAsia="Times New Roman" w:hAnsi="Times New Roman" w:cs="Times New Roman"/>
                <w:b/>
                <w:sz w:val="18"/>
              </w:rPr>
              <w:t xml:space="preserve">Importe </w:t>
            </w:r>
          </w:p>
        </w:tc>
      </w:tr>
      <w:tr w:rsidR="007617AD">
        <w:trPr>
          <w:trHeight w:val="368"/>
        </w:trPr>
        <w:tc>
          <w:tcPr>
            <w:tcW w:w="9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80" w:firstLine="0"/>
              <w:jc w:val="left"/>
            </w:pPr>
            <w:r>
              <w:rPr>
                <w:rFonts w:ascii="Times New Roman" w:eastAsia="Times New Roman" w:hAnsi="Times New Roman" w:cs="Times New Roman"/>
                <w:sz w:val="20"/>
              </w:rPr>
              <w:t xml:space="preserve">20.2.42 </w:t>
            </w:r>
          </w:p>
        </w:tc>
        <w:tc>
          <w:tcPr>
            <w:tcW w:w="120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rFonts w:ascii="Times New Roman" w:eastAsia="Times New Roman" w:hAnsi="Times New Roman" w:cs="Times New Roman"/>
                <w:sz w:val="20"/>
              </w:rPr>
              <w:t xml:space="preserve">41500.61900 </w:t>
            </w:r>
          </w:p>
        </w:tc>
        <w:tc>
          <w:tcPr>
            <w:tcW w:w="479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rFonts w:ascii="Times New Roman" w:eastAsia="Times New Roman" w:hAnsi="Times New Roman" w:cs="Times New Roman"/>
                <w:sz w:val="20"/>
              </w:rPr>
              <w:t>Pantalanes Muelle Pesquero</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1" w:firstLine="0"/>
              <w:jc w:val="right"/>
            </w:pPr>
            <w:r>
              <w:rPr>
                <w:rFonts w:ascii="Times New Roman" w:eastAsia="Times New Roman" w:hAnsi="Times New Roman" w:cs="Times New Roman"/>
                <w:sz w:val="20"/>
              </w:rPr>
              <w:t xml:space="preserve">201.746,30 </w:t>
            </w:r>
          </w:p>
        </w:tc>
      </w:tr>
      <w:tr w:rsidR="007617AD">
        <w:trPr>
          <w:trHeight w:val="370"/>
        </w:trPr>
        <w:tc>
          <w:tcPr>
            <w:tcW w:w="9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17" w:firstLine="0"/>
              <w:jc w:val="center"/>
            </w:pPr>
            <w:r>
              <w:rPr>
                <w:rFonts w:ascii="Times New Roman" w:eastAsia="Times New Roman" w:hAnsi="Times New Roman" w:cs="Times New Roman"/>
                <w:sz w:val="20"/>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rFonts w:ascii="Times New Roman" w:eastAsia="Times New Roman" w:hAnsi="Times New Roman" w:cs="Times New Roman"/>
                <w:sz w:val="20"/>
              </w:rPr>
              <w:t xml:space="preserve">01100.35900 </w:t>
            </w:r>
          </w:p>
        </w:tc>
        <w:tc>
          <w:tcPr>
            <w:tcW w:w="479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rFonts w:ascii="Times New Roman" w:eastAsia="Times New Roman" w:hAnsi="Times New Roman" w:cs="Times New Roman"/>
                <w:sz w:val="20"/>
              </w:rPr>
              <w:t>Otros Gastos financieros</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1" w:firstLine="0"/>
              <w:jc w:val="right"/>
            </w:pPr>
            <w:r>
              <w:rPr>
                <w:rFonts w:ascii="Times New Roman" w:eastAsia="Times New Roman" w:hAnsi="Times New Roman" w:cs="Times New Roman"/>
                <w:sz w:val="20"/>
              </w:rPr>
              <w:t>100.000,00</w:t>
            </w:r>
            <w:r>
              <w:rPr>
                <w:rFonts w:ascii="Times New Roman" w:eastAsia="Times New Roman" w:hAnsi="Times New Roman" w:cs="Times New Roman"/>
                <w:sz w:val="24"/>
              </w:rPr>
              <w:t xml:space="preserve"> </w:t>
            </w:r>
          </w:p>
        </w:tc>
      </w:tr>
      <w:tr w:rsidR="007617AD">
        <w:trPr>
          <w:trHeight w:val="250"/>
        </w:trPr>
        <w:tc>
          <w:tcPr>
            <w:tcW w:w="6903" w:type="dxa"/>
            <w:gridSpan w:val="3"/>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6" w:firstLine="0"/>
              <w:jc w:val="center"/>
            </w:pPr>
            <w:r>
              <w:rPr>
                <w:rFonts w:ascii="Times New Roman" w:eastAsia="Times New Roman" w:hAnsi="Times New Roman" w:cs="Times New Roman"/>
                <w:b/>
                <w:sz w:val="20"/>
              </w:rPr>
              <w:t>Total</w:t>
            </w:r>
            <w:r>
              <w:rPr>
                <w:rFonts w:ascii="Times New Roman" w:eastAsia="Times New Roman" w:hAnsi="Times New Roman" w:cs="Times New Roman"/>
                <w:sz w:val="24"/>
              </w:rPr>
              <w:t xml:space="preserve"> </w:t>
            </w:r>
          </w:p>
        </w:tc>
        <w:tc>
          <w:tcPr>
            <w:tcW w:w="1537"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1" w:firstLine="0"/>
              <w:jc w:val="right"/>
            </w:pPr>
            <w:r>
              <w:rPr>
                <w:rFonts w:ascii="Times New Roman" w:eastAsia="Times New Roman" w:hAnsi="Times New Roman" w:cs="Times New Roman"/>
                <w:b/>
                <w:sz w:val="20"/>
              </w:rPr>
              <w:t xml:space="preserve">301.746,30 </w:t>
            </w:r>
          </w:p>
        </w:tc>
      </w:tr>
    </w:tbl>
    <w:p w:rsidR="007617AD" w:rsidRDefault="00EE75C8">
      <w:pPr>
        <w:spacing w:after="23" w:line="259" w:lineRule="auto"/>
        <w:ind w:left="848" w:firstLine="0"/>
        <w:jc w:val="left"/>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Calibri" w:eastAsia="Calibri" w:hAnsi="Calibri" w:cs="Calibri"/>
          <w:sz w:val="20"/>
        </w:rPr>
        <w:t xml:space="preserve"> </w:t>
      </w:r>
      <w:r>
        <w:rPr>
          <w:rFonts w:ascii="Calibri" w:eastAsia="Calibri" w:hAnsi="Calibri" w:cs="Calibri"/>
          <w:sz w:val="20"/>
        </w:rPr>
        <w:tab/>
        <w:t xml:space="preserve"> </w:t>
      </w:r>
      <w:r>
        <w:rPr>
          <w:rFonts w:ascii="Calibri" w:eastAsia="Calibri" w:hAnsi="Calibri" w:cs="Calibri"/>
          <w:sz w:val="20"/>
        </w:rPr>
        <w:tab/>
        <w:t xml:space="preserve"> </w:t>
      </w:r>
    </w:p>
    <w:p w:rsidR="007617AD" w:rsidRDefault="00EE75C8">
      <w:pPr>
        <w:spacing w:after="0" w:line="259" w:lineRule="auto"/>
        <w:ind w:left="10" w:right="349"/>
        <w:jc w:val="center"/>
      </w:pPr>
      <w:r>
        <w:rPr>
          <w:rFonts w:ascii="Times New Roman" w:eastAsia="Times New Roman" w:hAnsi="Times New Roman" w:cs="Times New Roman"/>
          <w:b/>
          <w:sz w:val="18"/>
        </w:rPr>
        <w:t>Estados de Ingresos</w:t>
      </w:r>
      <w:r>
        <w:rPr>
          <w:rFonts w:ascii="Times New Roman" w:eastAsia="Times New Roman" w:hAnsi="Times New Roman" w:cs="Times New Roman"/>
          <w:sz w:val="24"/>
        </w:rPr>
        <w:t xml:space="preserve"> </w:t>
      </w:r>
    </w:p>
    <w:tbl>
      <w:tblPr>
        <w:tblStyle w:val="TableGrid"/>
        <w:tblW w:w="8440" w:type="dxa"/>
        <w:tblInd w:w="779" w:type="dxa"/>
        <w:tblCellMar>
          <w:top w:w="12" w:type="dxa"/>
          <w:left w:w="72" w:type="dxa"/>
          <w:bottom w:w="0" w:type="dxa"/>
          <w:right w:w="8" w:type="dxa"/>
        </w:tblCellMar>
        <w:tblLook w:val="04A0" w:firstRow="1" w:lastRow="0" w:firstColumn="1" w:lastColumn="0" w:noHBand="0" w:noVBand="1"/>
      </w:tblPr>
      <w:tblGrid>
        <w:gridCol w:w="2108"/>
        <w:gridCol w:w="4795"/>
        <w:gridCol w:w="1537"/>
      </w:tblGrid>
      <w:tr w:rsidR="007617AD">
        <w:trPr>
          <w:trHeight w:val="487"/>
        </w:trPr>
        <w:tc>
          <w:tcPr>
            <w:tcW w:w="21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70" w:firstLine="0"/>
              <w:jc w:val="center"/>
            </w:pPr>
            <w:r>
              <w:rPr>
                <w:rFonts w:ascii="Times New Roman" w:eastAsia="Times New Roman" w:hAnsi="Times New Roman" w:cs="Times New Roman"/>
                <w:b/>
                <w:sz w:val="20"/>
              </w:rPr>
              <w:t xml:space="preserve">Aplicación </w:t>
            </w:r>
          </w:p>
        </w:tc>
        <w:tc>
          <w:tcPr>
            <w:tcW w:w="4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rFonts w:ascii="Times New Roman" w:eastAsia="Times New Roman" w:hAnsi="Times New Roman" w:cs="Times New Roman"/>
                <w:b/>
                <w:sz w:val="20"/>
              </w:rPr>
              <w:t xml:space="preserve">Denominación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5" w:firstLine="0"/>
              <w:jc w:val="center"/>
            </w:pPr>
            <w:r>
              <w:rPr>
                <w:rFonts w:ascii="Times New Roman" w:eastAsia="Times New Roman" w:hAnsi="Times New Roman" w:cs="Times New Roman"/>
                <w:b/>
                <w:sz w:val="20"/>
              </w:rPr>
              <w:t xml:space="preserve">Importe </w:t>
            </w:r>
          </w:p>
        </w:tc>
      </w:tr>
      <w:tr w:rsidR="007617AD">
        <w:trPr>
          <w:trHeight w:val="313"/>
        </w:trPr>
        <w:tc>
          <w:tcPr>
            <w:tcW w:w="21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5" w:firstLine="0"/>
              <w:jc w:val="center"/>
            </w:pPr>
            <w:r>
              <w:rPr>
                <w:rFonts w:ascii="Times New Roman" w:eastAsia="Times New Roman" w:hAnsi="Times New Roman" w:cs="Times New Roman"/>
                <w:sz w:val="20"/>
              </w:rPr>
              <w:t xml:space="preserve">870.00 </w:t>
            </w:r>
          </w:p>
        </w:tc>
        <w:tc>
          <w:tcPr>
            <w:tcW w:w="479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rFonts w:ascii="Times New Roman" w:eastAsia="Times New Roman" w:hAnsi="Times New Roman" w:cs="Times New Roman"/>
                <w:sz w:val="20"/>
              </w:rPr>
              <w:t xml:space="preserve">Remanente de Tesorería para gastos generales </w:t>
            </w:r>
          </w:p>
        </w:tc>
        <w:tc>
          <w:tcPr>
            <w:tcW w:w="1537"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1" w:firstLine="0"/>
              <w:jc w:val="right"/>
            </w:pPr>
            <w:r>
              <w:rPr>
                <w:rFonts w:ascii="Times New Roman" w:eastAsia="Times New Roman" w:hAnsi="Times New Roman" w:cs="Times New Roman"/>
                <w:sz w:val="20"/>
              </w:rPr>
              <w:t>301.746,30</w:t>
            </w:r>
            <w:r>
              <w:rPr>
                <w:rFonts w:ascii="Times New Roman" w:eastAsia="Times New Roman" w:hAnsi="Times New Roman" w:cs="Times New Roman"/>
                <w:sz w:val="24"/>
              </w:rPr>
              <w:t xml:space="preserve"> </w:t>
            </w:r>
          </w:p>
        </w:tc>
      </w:tr>
      <w:tr w:rsidR="007617AD">
        <w:trPr>
          <w:trHeight w:val="250"/>
        </w:trPr>
        <w:tc>
          <w:tcPr>
            <w:tcW w:w="2108"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4795" w:type="dxa"/>
            <w:tcBorders>
              <w:top w:val="single" w:sz="4" w:space="0" w:color="000000"/>
              <w:left w:val="nil"/>
              <w:bottom w:val="single" w:sz="4" w:space="0" w:color="000000"/>
              <w:right w:val="single" w:sz="4" w:space="0" w:color="000000"/>
            </w:tcBorders>
          </w:tcPr>
          <w:p w:rsidR="007617AD" w:rsidRDefault="00EE75C8">
            <w:pPr>
              <w:spacing w:after="0" w:line="259" w:lineRule="auto"/>
              <w:ind w:left="1052" w:firstLine="0"/>
              <w:jc w:val="left"/>
            </w:pPr>
            <w:r>
              <w:rPr>
                <w:rFonts w:ascii="Times New Roman" w:eastAsia="Times New Roman" w:hAnsi="Times New Roman" w:cs="Times New Roman"/>
                <w:b/>
                <w:sz w:val="20"/>
              </w:rPr>
              <w:t xml:space="preserve">Total </w:t>
            </w:r>
          </w:p>
        </w:tc>
        <w:tc>
          <w:tcPr>
            <w:tcW w:w="1537"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1" w:firstLine="0"/>
              <w:jc w:val="right"/>
            </w:pPr>
            <w:r>
              <w:rPr>
                <w:rFonts w:ascii="Times New Roman" w:eastAsia="Times New Roman" w:hAnsi="Times New Roman" w:cs="Times New Roman"/>
                <w:b/>
                <w:sz w:val="20"/>
              </w:rPr>
              <w:t xml:space="preserve">301.746,30 </w:t>
            </w:r>
          </w:p>
        </w:tc>
      </w:tr>
    </w:tbl>
    <w:p w:rsidR="007617AD" w:rsidRDefault="00EE75C8">
      <w:pPr>
        <w:pStyle w:val="Ttulo1"/>
        <w:spacing w:after="130" w:line="259" w:lineRule="auto"/>
        <w:ind w:left="1411"/>
        <w:jc w:val="left"/>
      </w:pPr>
      <w:r>
        <w:rPr>
          <w:rFonts w:ascii="Times New Roman" w:eastAsia="Times New Roman" w:hAnsi="Times New Roman" w:cs="Times New Roman"/>
          <w:b w:val="0"/>
          <w:sz w:val="24"/>
        </w:rPr>
        <w:t xml:space="preserve">.” </w:t>
      </w:r>
    </w:p>
    <w:p w:rsidR="007617AD" w:rsidRDefault="00EE75C8">
      <w:pPr>
        <w:spacing w:after="5" w:line="265" w:lineRule="auto"/>
        <w:ind w:left="10" w:right="62"/>
        <w:jc w:val="right"/>
      </w:pPr>
      <w:r>
        <w:t xml:space="preserve">Vista las Memorias, informes técnicos, proyectos de obra y presupuestos, de las actuaciones </w:t>
      </w:r>
    </w:p>
    <w:p w:rsidR="007617AD" w:rsidRDefault="00EE75C8">
      <w:pPr>
        <w:spacing w:after="156"/>
        <w:ind w:left="703" w:right="62"/>
      </w:pPr>
      <w:r>
        <w:t>que se quieren llevar a cabo, en la que se justifican la necesidad y urgencia de la modificación presupuestaria, requisito que se establece en la base 9ª del Presupuesto General, y siendo un gasto específico y determinado, ante la imposibilidad de demorarl</w:t>
      </w:r>
      <w:r>
        <w:t xml:space="preserve">o a ejercicios posteriores, y no habiendo crédito suficiente en las aplicaciones presupuestarias. </w:t>
      </w:r>
    </w:p>
    <w:p w:rsidR="007617AD" w:rsidRDefault="00EE75C8">
      <w:pPr>
        <w:spacing w:after="51"/>
        <w:ind w:left="703" w:right="62"/>
      </w:pPr>
      <w:r>
        <w:rPr>
          <w:b/>
        </w:rPr>
        <w:t xml:space="preserve">PRIMERO. </w:t>
      </w:r>
      <w:r>
        <w:t>Visto Acuerdo del Congreso de los Diputados del 22 de septiembre de 2021, aprobado por mayoría absoluta, ha apreciado, por mayoría absoluta de sus m</w:t>
      </w:r>
      <w:r>
        <w:t xml:space="preserve">iembros, que se da una situación de emergencia extraordinaria que motiva la suspensión de las reglas fiscales, requisito que establece el artículo 11.3 de la LOEPSF. </w:t>
      </w:r>
    </w:p>
    <w:p w:rsidR="007617AD" w:rsidRDefault="00EE75C8">
      <w:pPr>
        <w:spacing w:after="54" w:line="259" w:lineRule="auto"/>
        <w:ind w:left="708" w:firstLine="0"/>
        <w:jc w:val="left"/>
      </w:pPr>
      <w:r>
        <w:t xml:space="preserve"> </w:t>
      </w:r>
    </w:p>
    <w:p w:rsidR="007617AD" w:rsidRDefault="00EE75C8">
      <w:pPr>
        <w:spacing w:after="55"/>
        <w:ind w:left="703" w:right="62"/>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Atendiendo al acuerdo del Consejo de Ministros de 27 de julio de 2021, mediante el que se acuerda:</w:t>
      </w:r>
      <w:r>
        <w:rPr>
          <w:rFonts w:ascii="Times New Roman" w:eastAsia="Times New Roman" w:hAnsi="Times New Roman" w:cs="Times New Roman"/>
          <w:sz w:val="24"/>
        </w:rPr>
        <w:t xml:space="preserve"> </w:t>
      </w:r>
    </w:p>
    <w:p w:rsidR="007617AD" w:rsidRDefault="00EE75C8">
      <w:pPr>
        <w:spacing w:after="54"/>
        <w:ind w:left="1428" w:right="62" w:hanging="360"/>
      </w:pPr>
      <w:r>
        <w:rPr>
          <w:rFonts w:ascii="Segoe UI Symbol" w:eastAsia="Segoe UI Symbol" w:hAnsi="Segoe UI Symbol" w:cs="Segoe UI Symbol"/>
        </w:rPr>
        <w:t></w:t>
      </w:r>
      <w:r>
        <w:t xml:space="preserve"> “Como ya ocurrió el año pasado, el Acuerdo de Consejo de Ministros también contempla el mantenimiento de la suspensión de las reglas fiscales. Esta medida</w:t>
      </w:r>
      <w:r>
        <w:t xml:space="preserve"> se enmarca en la decisión de la Comisión Europea de mantener la cláusula de salvaguarda también para 2022. Ello permite dotar a los Estados de mayor flexibilidad para afrontar la recuperación. </w:t>
      </w:r>
    </w:p>
    <w:p w:rsidR="007617AD" w:rsidRDefault="00EE75C8">
      <w:pPr>
        <w:spacing w:after="53"/>
        <w:ind w:left="1438" w:right="62"/>
      </w:pPr>
      <w:r>
        <w:t xml:space="preserve">El Gobierno solicitará de nuevo al Congreso de los Diputados </w:t>
      </w:r>
      <w:r>
        <w:t>que aprecie si en España concurren las circunstancias extraordinarias previstas en el artículo 135.4 de la Constitución Española y 11.3 de la Ley Orgánica de Estabilidad Presupuestaria y Sostenibilidad Financiera. Es el mismo trámite que se siguió el año a</w:t>
      </w:r>
      <w:r>
        <w:t xml:space="preserve">nterior para suspender las reglas fiscales nacionales.”.  </w:t>
      </w:r>
    </w:p>
    <w:p w:rsidR="007617AD" w:rsidRDefault="00EE75C8">
      <w:pPr>
        <w:spacing w:after="54"/>
        <w:ind w:left="703" w:right="62"/>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47147" name="Group 24714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5484" name="Rectangle 548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5485" name="Rectangle 5485"/>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33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47147" style="width:12.7031pt;height:280.02pt;position:absolute;mso-position-horizontal-relative:page;mso-position-horizontal:absolute;margin-left:682.278pt;mso-position-vertical-relative:page;margin-top:531.9pt;" coordsize="1613,35562">
                <v:rect id="Rectangle 548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5485"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192 </w:t>
                        </w:r>
                      </w:p>
                    </w:txbxContent>
                  </v:textbox>
                </v:rect>
                <w10:wrap type="square"/>
              </v:group>
            </w:pict>
          </mc:Fallback>
        </mc:AlternateContent>
      </w:r>
      <w:r>
        <w:t xml:space="preserve"> La suspensión de las reglas fiscales ha supuesto que el superávit no tenga que dedicarse a amortizar deuda, aun siendo posible realizar esta amortización si la EELL lo considera. La regla del artículo 32 de la LOEPSF puede no aplicarse a partir del moment</w:t>
      </w:r>
      <w:r>
        <w:t xml:space="preserve">o en que se han suspendido las reglas fiscales, ya que estas son el fundamento de aquella regla. Regla que conecta con el objetivo de estabilidad presupuestaria y con el de deuda pública.  </w:t>
      </w:r>
    </w:p>
    <w:p w:rsidR="007617AD" w:rsidRDefault="00EE75C8">
      <w:pPr>
        <w:spacing w:after="13"/>
        <w:ind w:left="703" w:right="62"/>
      </w:pPr>
      <w:r>
        <w:t xml:space="preserve"> Al no ser aplicable la regla general, tampoco es necesaria la reg</w:t>
      </w:r>
      <w:r>
        <w:t xml:space="preserve">la especial de destinar el superávit a inversiones financieramente sostenibles, salvo las excepciones siguientes, o mediante norma posterior que prorrogue íntegramente la DA 6ª de la LOEPSF. </w:t>
      </w:r>
    </w:p>
    <w:p w:rsidR="007617AD" w:rsidRDefault="00EE75C8">
      <w:pPr>
        <w:spacing w:after="40" w:line="259" w:lineRule="auto"/>
        <w:ind w:left="708" w:firstLine="0"/>
        <w:jc w:val="left"/>
      </w:pPr>
      <w:r>
        <w:t xml:space="preserve"> </w:t>
      </w:r>
      <w:r>
        <w:tab/>
      </w:r>
      <w:r>
        <w:rPr>
          <w:rFonts w:ascii="Times New Roman" w:eastAsia="Times New Roman" w:hAnsi="Times New Roman" w:cs="Times New Roman"/>
          <w:sz w:val="24"/>
        </w:rPr>
        <w:t xml:space="preserve"> </w:t>
      </w:r>
    </w:p>
    <w:p w:rsidR="007617AD" w:rsidRDefault="00EE75C8">
      <w:pPr>
        <w:spacing w:after="31"/>
        <w:ind w:left="703" w:right="62"/>
      </w:pPr>
      <w:r>
        <w:rPr>
          <w:b/>
        </w:rPr>
        <w:t>SEGUNDO</w:t>
      </w:r>
      <w:r>
        <w:t>. La legislación aplicable es la siguiente:</w:t>
      </w:r>
      <w:r>
        <w:rPr>
          <w:rFonts w:ascii="Times New Roman" w:eastAsia="Times New Roman" w:hAnsi="Times New Roman" w:cs="Times New Roman"/>
          <w:sz w:val="24"/>
        </w:rPr>
        <w:t xml:space="preserve"> </w:t>
      </w:r>
    </w:p>
    <w:p w:rsidR="007617AD" w:rsidRDefault="00EE75C8">
      <w:pPr>
        <w:numPr>
          <w:ilvl w:val="0"/>
          <w:numId w:val="12"/>
        </w:numPr>
        <w:spacing w:after="47" w:line="252" w:lineRule="auto"/>
        <w:ind w:right="62" w:hanging="360"/>
      </w:pPr>
      <w:r>
        <w:t>Los artí</w:t>
      </w:r>
      <w:r>
        <w:t xml:space="preserve">culos 169, 170 y 172 a 177 del Real Decreto Legislativo 2/2004, de 5 de marzo, por el que se aprueba el Texto Refundido de la Ley Reguladora de las Haciendas Locales.  </w:t>
      </w:r>
    </w:p>
    <w:p w:rsidR="007617AD" w:rsidRDefault="00EE75C8">
      <w:pPr>
        <w:numPr>
          <w:ilvl w:val="0"/>
          <w:numId w:val="12"/>
        </w:numPr>
        <w:spacing w:after="52" w:line="248" w:lineRule="auto"/>
        <w:ind w:right="62" w:hanging="360"/>
      </w:pPr>
      <w:r>
        <w:t xml:space="preserve">Los artículos 34 a 38 del Real Decreto 500/1990, de 20 de abril, por el que se desarrolla el Capítulo I, del Título VI, de la Ley 39/1988, de 28 de diciembre, Reguladora de las Haciendas Locales, en materia de presupuestos. </w:t>
      </w:r>
    </w:p>
    <w:p w:rsidR="007617AD" w:rsidRDefault="00EE75C8">
      <w:pPr>
        <w:numPr>
          <w:ilvl w:val="0"/>
          <w:numId w:val="12"/>
        </w:numPr>
        <w:spacing w:after="51"/>
        <w:ind w:right="62" w:hanging="360"/>
      </w:pPr>
      <w:r>
        <w:t>Los artículos 3, 4, 11, 12, 13,</w:t>
      </w:r>
      <w:r>
        <w:t xml:space="preserve"> 21, 23 y 32 de la Ley Orgánica 2/2012, de 27 de abril, de Estabilidad Presupuestaria y Sostenibilidad Financiera.  </w:t>
      </w:r>
    </w:p>
    <w:p w:rsidR="007617AD" w:rsidRDefault="00EE75C8">
      <w:pPr>
        <w:numPr>
          <w:ilvl w:val="0"/>
          <w:numId w:val="12"/>
        </w:numPr>
        <w:spacing w:after="52"/>
        <w:ind w:right="62" w:hanging="360"/>
      </w:pPr>
      <w:r>
        <w:t xml:space="preserve">El artículo 16.2 del Real Decreto 1463/2007, de 2 de noviembre, por el que se aprueba el Reglamento de Desarrollo de la Ley 18/2001, de 12 </w:t>
      </w:r>
      <w:r>
        <w:t xml:space="preserve">de noviembre, de Estabilidad Presupuestaria, en su Aplicación a las Entidades Locales. </w:t>
      </w:r>
    </w:p>
    <w:p w:rsidR="007617AD" w:rsidRDefault="00EE75C8">
      <w:pPr>
        <w:numPr>
          <w:ilvl w:val="0"/>
          <w:numId w:val="12"/>
        </w:numPr>
        <w:spacing w:after="52"/>
        <w:ind w:right="62" w:hanging="360"/>
      </w:pPr>
      <w:r>
        <w:t xml:space="preserve">El artículo 22.2.e) de la Ley 7/1985, de 2 de abril, Reguladora de las Bases del Régimen Local. </w:t>
      </w:r>
    </w:p>
    <w:p w:rsidR="007617AD" w:rsidRDefault="00EE75C8">
      <w:pPr>
        <w:numPr>
          <w:ilvl w:val="0"/>
          <w:numId w:val="12"/>
        </w:numPr>
        <w:ind w:right="62" w:hanging="360"/>
      </w:pPr>
      <w:r>
        <w:t>La Disposición Adicional 6.ª de la Ley Orgánica 2/2012, de 27 de abril,</w:t>
      </w:r>
      <w:r>
        <w:t xml:space="preserve"> de Estabilidad Presupuestaria y Sostenibilidad Financiera. </w:t>
      </w:r>
    </w:p>
    <w:p w:rsidR="007617AD" w:rsidRDefault="00EE75C8">
      <w:pPr>
        <w:numPr>
          <w:ilvl w:val="0"/>
          <w:numId w:val="12"/>
        </w:numPr>
        <w:spacing w:after="38"/>
        <w:ind w:right="62" w:hanging="360"/>
      </w:pPr>
      <w:r>
        <w:t>La Orden EHA/3565/2008, de 3 de diciembre, por la que se aprueba la estructura de presupuestos de las entidades locales. - Resolución de 14 de septiembre de 2009, de la Dirección General de Coord</w:t>
      </w:r>
      <w:r>
        <w:t>inación Financiera con las Comunidades Autónomas y con las Entidades Locales, por la que se Dictan Medidas para el Desarrollo de la Orden EHA/3565/2008, de 3 de diciembre, por la que se Aprueba la Estructura de los Presupuestos de las Entidades Locales</w:t>
      </w:r>
      <w:r>
        <w:rPr>
          <w:b/>
        </w:rPr>
        <w:t>.</w:t>
      </w:r>
      <w:r>
        <w:rPr>
          <w:rFonts w:ascii="Times New Roman" w:eastAsia="Times New Roman" w:hAnsi="Times New Roman" w:cs="Times New Roman"/>
          <w:sz w:val="24"/>
        </w:rPr>
        <w:t xml:space="preserve"> </w:t>
      </w:r>
    </w:p>
    <w:p w:rsidR="007617AD" w:rsidRDefault="00EE75C8">
      <w:pPr>
        <w:numPr>
          <w:ilvl w:val="0"/>
          <w:numId w:val="12"/>
        </w:numPr>
        <w:spacing w:after="52"/>
        <w:ind w:right="62" w:hanging="360"/>
      </w:pPr>
      <w:r>
        <w:t xml:space="preserve">La Disposición Adicional 16.ª del Texto Refundido de la Ley Reguladora de las Haciendas Locales.  </w:t>
      </w:r>
    </w:p>
    <w:p w:rsidR="007617AD" w:rsidRDefault="00EE75C8">
      <w:pPr>
        <w:numPr>
          <w:ilvl w:val="0"/>
          <w:numId w:val="12"/>
        </w:numPr>
        <w:spacing w:after="11"/>
        <w:ind w:right="62" w:hanging="360"/>
      </w:pPr>
      <w:r>
        <w:t xml:space="preserve">Acuerdo del Congreso de los Diputados del 13 de octubre de 2020, relativo al Objetivo de </w:t>
      </w:r>
    </w:p>
    <w:p w:rsidR="007617AD" w:rsidRDefault="00EE75C8">
      <w:pPr>
        <w:spacing w:after="53"/>
        <w:ind w:left="1438" w:right="62"/>
      </w:pPr>
      <w:r>
        <w:t xml:space="preserve">Estabilidad Presupuestaria, según acuerdo del Consejo de Ministros </w:t>
      </w:r>
      <w:r>
        <w:t xml:space="preserve">de 6 de octubre de 2020 de “Someter a la deliberación del Pleno, a los efectos previstos en los artículos 135.4 de la Constitución y 11.3 de la Ley Orgánica 2/2012, de 27 de abril, de Estabilidad Presupuestaria y Sostenibilidad Financiera y publicar en el </w:t>
      </w:r>
      <w:r>
        <w:t xml:space="preserve">Boletín Oficial de las Cortes Generales.” </w:t>
      </w:r>
    </w:p>
    <w:p w:rsidR="007617AD" w:rsidRDefault="00EE75C8">
      <w:pPr>
        <w:spacing w:after="0" w:line="259" w:lineRule="auto"/>
        <w:ind w:left="708" w:firstLine="0"/>
        <w:jc w:val="left"/>
      </w:pPr>
      <w:r>
        <w:t xml:space="preserve"> </w:t>
      </w:r>
    </w:p>
    <w:p w:rsidR="007617AD" w:rsidRDefault="00EE75C8">
      <w:pPr>
        <w:spacing w:after="0"/>
        <w:ind w:left="703" w:right="62"/>
      </w:pPr>
      <w:r>
        <w:rPr>
          <w:b/>
        </w:rPr>
        <w:t>TERCERO</w:t>
      </w:r>
      <w:r>
        <w:t>: Considerando que el artículo 177 del Real Decreto Legislativo 2/2004, de 5 de marzo, por el que se aprueba el texto refundido de la Ley Reguladora de las Haciendas Locales, regula los expedientes de mod</w:t>
      </w:r>
      <w:r>
        <w:t>ificación presupuestaria mediante créditos extraordinarios y suplementos de crédito, al señalar que:</w:t>
      </w:r>
      <w:r>
        <w:rPr>
          <w:rFonts w:ascii="Times New Roman" w:eastAsia="Times New Roman" w:hAnsi="Times New Roman" w:cs="Times New Roman"/>
          <w:sz w:val="24"/>
        </w:rPr>
        <w:t xml:space="preserve"> </w:t>
      </w:r>
    </w:p>
    <w:p w:rsidR="007617AD" w:rsidRDefault="00EE75C8">
      <w:pPr>
        <w:numPr>
          <w:ilvl w:val="0"/>
          <w:numId w:val="13"/>
        </w:numPr>
        <w:spacing w:after="6"/>
        <w:ind w:right="62" w:hanging="360"/>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6746" name="Group 25674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5682" name="Rectangle 568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5683" name="Rectangle 5683"/>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34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6746" style="width:12.7031pt;height:280.02pt;position:absolute;mso-position-horizontal-relative:page;mso-position-horizontal:absolute;margin-left:682.278pt;mso-position-vertical-relative:page;margin-top:531.9pt;" coordsize="1613,35562">
                <v:rect id="Rectangle 568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5683"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192 </w:t>
                        </w:r>
                      </w:p>
                    </w:txbxContent>
                  </v:textbox>
                </v:rect>
                <w10:wrap type="square"/>
              </v:group>
            </w:pict>
          </mc:Fallback>
        </mc:AlternateContent>
      </w:r>
      <w:r>
        <w:t>Cuando haya de realizarse algún gasto que no pueda demorarse hasta el ejercicio siguiente, y sea insuficiente en el presupuesto de la corporación el crédito consi</w:t>
      </w:r>
      <w:r>
        <w:t xml:space="preserve">gnado, el presidente de la corporación ordenará la incoación del expediente de suplemento de crédito.  </w:t>
      </w:r>
    </w:p>
    <w:p w:rsidR="007617AD" w:rsidRDefault="00EE75C8">
      <w:pPr>
        <w:numPr>
          <w:ilvl w:val="0"/>
          <w:numId w:val="13"/>
        </w:numPr>
        <w:spacing w:after="6"/>
        <w:ind w:right="62" w:hanging="360"/>
      </w:pPr>
      <w:r>
        <w:t>El expediente, que habrá de ser previamente informado por la Intervención, se someterá a la aprobación del Pleno de la corporación, con sujeción a los m</w:t>
      </w:r>
      <w:r>
        <w:t xml:space="preserve">ismos trámites y requisitos que los presupuestos. Serán, asimismo, de aplicación, las normas sobre información, reclamación y publicidad de los presupuestos a que se refiere el artículo 169 de esta ley.  </w:t>
      </w:r>
    </w:p>
    <w:p w:rsidR="007617AD" w:rsidRDefault="00EE75C8">
      <w:pPr>
        <w:numPr>
          <w:ilvl w:val="0"/>
          <w:numId w:val="13"/>
        </w:numPr>
        <w:spacing w:after="42"/>
        <w:ind w:right="62" w:hanging="360"/>
      </w:pPr>
      <w:r>
        <w:t>El expediente deberá especificar la concreta partid</w:t>
      </w:r>
      <w:r>
        <w:t xml:space="preserve">a presupuestaria a incrementar y el medio o recurso que ha de financiar el aumento que se propone. </w:t>
      </w:r>
    </w:p>
    <w:p w:rsidR="007617AD" w:rsidRDefault="00EE75C8">
      <w:pPr>
        <w:numPr>
          <w:ilvl w:val="0"/>
          <w:numId w:val="13"/>
        </w:numPr>
        <w:spacing w:after="0"/>
        <w:ind w:right="62" w:hanging="360"/>
      </w:pPr>
      <w:r>
        <w:t>Dicho aumento se financiará con cargo al remanente líquido de tesorería, con nuevos o mayores ingresos recaudados sobre los totales previstos en el presupue</w:t>
      </w:r>
      <w:r>
        <w:t>sto corriente, y mediante anulaciones o bajas de créditos de gastos de otras partidas del presupuesto vigente no comprometidos, cuyas dotaciones se estimen reducibles sin perturbación del respectivo servicio. En el expediente se acreditará que los ingresos</w:t>
      </w:r>
      <w:r>
        <w:t xml:space="preserve"> previstos en el presupuesto vengan efectuándose con normalidad, salvo que aquéllos tengan carácter finalista. </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5"/>
        <w:ind w:left="703" w:right="62"/>
      </w:pPr>
      <w:r>
        <w:rPr>
          <w:b/>
        </w:rPr>
        <w:t>CUARTO:</w:t>
      </w:r>
      <w:r>
        <w:t xml:space="preserve"> Vista la Liquidación del Presupuesto general 2021, aprobada por decreto 597/2022 de 16/03/2021, donde se aprueba un Remanente de Teso</w:t>
      </w:r>
      <w:r>
        <w:t>rería para gastos Generales (RTGG) por un importe de 18.482.024,15€.</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r>
        <w:tab/>
        <w:t xml:space="preserve"> </w:t>
      </w:r>
    </w:p>
    <w:p w:rsidR="007617AD" w:rsidRDefault="00EE75C8">
      <w:pPr>
        <w:spacing w:after="9"/>
        <w:ind w:left="703" w:right="62"/>
      </w:pPr>
      <w:r>
        <w:t xml:space="preserve"> Y visto los expedientes de modificación presupuestaria financiados con cargo al Remanente de Tesorería para Gastos generales que se detallan a continuación, queda un disponible de R</w:t>
      </w:r>
      <w:r>
        <w:t xml:space="preserve">TGG de 8.917.841,37€.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tbl>
      <w:tblPr>
        <w:tblStyle w:val="TableGrid"/>
        <w:tblW w:w="8543" w:type="dxa"/>
        <w:tblInd w:w="708" w:type="dxa"/>
        <w:tblCellMar>
          <w:top w:w="5" w:type="dxa"/>
          <w:left w:w="70" w:type="dxa"/>
          <w:bottom w:w="0" w:type="dxa"/>
          <w:right w:w="14" w:type="dxa"/>
        </w:tblCellMar>
        <w:tblLook w:val="04A0" w:firstRow="1" w:lastRow="0" w:firstColumn="1" w:lastColumn="0" w:noHBand="0" w:noVBand="1"/>
      </w:tblPr>
      <w:tblGrid>
        <w:gridCol w:w="1262"/>
        <w:gridCol w:w="3466"/>
        <w:gridCol w:w="2384"/>
        <w:gridCol w:w="1431"/>
      </w:tblGrid>
      <w:tr w:rsidR="007617AD">
        <w:trPr>
          <w:trHeight w:val="250"/>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6" w:firstLine="0"/>
            </w:pPr>
            <w:r>
              <w:rPr>
                <w:b/>
                <w:sz w:val="20"/>
              </w:rPr>
              <w:t xml:space="preserve">Expediente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4" w:firstLine="0"/>
              <w:jc w:val="center"/>
            </w:pPr>
            <w:r>
              <w:rPr>
                <w:b/>
                <w:sz w:val="20"/>
              </w:rPr>
              <w:t xml:space="preserve">Tipo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9" w:firstLine="0"/>
              <w:jc w:val="center"/>
            </w:pPr>
            <w:r>
              <w:rPr>
                <w:b/>
                <w:sz w:val="20"/>
              </w:rPr>
              <w:t xml:space="preserve">Aprobación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9" w:firstLine="0"/>
              <w:jc w:val="center"/>
            </w:pPr>
            <w:r>
              <w:rPr>
                <w:b/>
                <w:sz w:val="20"/>
              </w:rPr>
              <w:t xml:space="preserve">Importe </w:t>
            </w:r>
          </w:p>
        </w:tc>
      </w:tr>
      <w:tr w:rsidR="007617AD">
        <w:trPr>
          <w:trHeight w:val="488"/>
        </w:trPr>
        <w:tc>
          <w:tcPr>
            <w:tcW w:w="1262"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89" w:firstLine="0"/>
              <w:jc w:val="left"/>
            </w:pPr>
            <w:r>
              <w:rPr>
                <w:sz w:val="20"/>
              </w:rPr>
              <w:t xml:space="preserve">2916/2022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Incorporación de remanentes de créditos </w:t>
            </w:r>
          </w:p>
        </w:tc>
        <w:tc>
          <w:tcPr>
            <w:tcW w:w="238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left"/>
            </w:pPr>
            <w:r>
              <w:rPr>
                <w:sz w:val="20"/>
              </w:rPr>
              <w:t xml:space="preserve">Decreto 701/2022 </w:t>
            </w:r>
          </w:p>
        </w:tc>
        <w:tc>
          <w:tcPr>
            <w:tcW w:w="1431"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58" w:firstLine="0"/>
              <w:jc w:val="right"/>
            </w:pPr>
            <w:r>
              <w:rPr>
                <w:sz w:val="20"/>
              </w:rPr>
              <w:t xml:space="preserve">5.236.870,63 </w:t>
            </w:r>
          </w:p>
        </w:tc>
      </w:tr>
      <w:tr w:rsidR="007617AD">
        <w:trPr>
          <w:trHeight w:val="250"/>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89" w:firstLine="0"/>
              <w:jc w:val="left"/>
            </w:pPr>
            <w:r>
              <w:rPr>
                <w:sz w:val="20"/>
              </w:rPr>
              <w:t xml:space="preserve">2655/2022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Créditos extraordinarios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Marzo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1.348.216,10 </w:t>
            </w:r>
          </w:p>
        </w:tc>
      </w:tr>
      <w:tr w:rsidR="007617AD">
        <w:trPr>
          <w:trHeight w:val="245"/>
        </w:trPr>
        <w:tc>
          <w:tcPr>
            <w:tcW w:w="1262" w:type="dxa"/>
            <w:tcBorders>
              <w:top w:val="nil"/>
              <w:left w:val="single" w:sz="4" w:space="0" w:color="000000"/>
              <w:bottom w:val="single" w:sz="4" w:space="0" w:color="000000"/>
              <w:right w:val="single" w:sz="4" w:space="0" w:color="000000"/>
            </w:tcBorders>
          </w:tcPr>
          <w:p w:rsidR="007617AD" w:rsidRDefault="00EE75C8">
            <w:pPr>
              <w:spacing w:after="0" w:line="259" w:lineRule="auto"/>
              <w:ind w:left="89" w:firstLine="0"/>
              <w:jc w:val="left"/>
            </w:pPr>
            <w:r>
              <w:rPr>
                <w:sz w:val="20"/>
              </w:rPr>
              <w:t xml:space="preserve">3574/2022 </w:t>
            </w:r>
          </w:p>
        </w:tc>
        <w:tc>
          <w:tcPr>
            <w:tcW w:w="3466" w:type="dxa"/>
            <w:tcBorders>
              <w:top w:val="nil"/>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Créditos extraordinarios </w:t>
            </w:r>
          </w:p>
        </w:tc>
        <w:tc>
          <w:tcPr>
            <w:tcW w:w="2384" w:type="dxa"/>
            <w:tcBorders>
              <w:top w:val="nil"/>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Abril </w:t>
            </w:r>
          </w:p>
        </w:tc>
        <w:tc>
          <w:tcPr>
            <w:tcW w:w="1431" w:type="dxa"/>
            <w:tcBorders>
              <w:top w:val="nil"/>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721.010,97 </w:t>
            </w:r>
          </w:p>
        </w:tc>
      </w:tr>
      <w:tr w:rsidR="007617AD">
        <w:trPr>
          <w:trHeight w:val="247"/>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89" w:firstLine="0"/>
              <w:jc w:val="left"/>
            </w:pPr>
            <w:r>
              <w:rPr>
                <w:sz w:val="20"/>
              </w:rPr>
              <w:t xml:space="preserve">3899/2022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Suplemento de Créditos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Abril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180.282,67 </w:t>
            </w:r>
          </w:p>
        </w:tc>
      </w:tr>
      <w:tr w:rsidR="007617AD">
        <w:trPr>
          <w:trHeight w:val="487"/>
        </w:trPr>
        <w:tc>
          <w:tcPr>
            <w:tcW w:w="1262"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89" w:firstLine="0"/>
              <w:jc w:val="left"/>
            </w:pPr>
            <w:r>
              <w:rPr>
                <w:sz w:val="20"/>
              </w:rPr>
              <w:t xml:space="preserve">4246/2022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Incorporación de remanentes de créditos </w:t>
            </w:r>
          </w:p>
        </w:tc>
        <w:tc>
          <w:tcPr>
            <w:tcW w:w="238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left"/>
            </w:pPr>
            <w:r>
              <w:rPr>
                <w:sz w:val="20"/>
              </w:rPr>
              <w:t xml:space="preserve">Decreto 1146/2022 </w:t>
            </w:r>
          </w:p>
        </w:tc>
        <w:tc>
          <w:tcPr>
            <w:tcW w:w="1431"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58" w:firstLine="0"/>
              <w:jc w:val="right"/>
            </w:pPr>
            <w:r>
              <w:rPr>
                <w:sz w:val="20"/>
              </w:rPr>
              <w:t xml:space="preserve">9.525,47 </w:t>
            </w:r>
          </w:p>
        </w:tc>
      </w:tr>
      <w:tr w:rsidR="007617AD">
        <w:trPr>
          <w:trHeight w:val="250"/>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4560/2022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Creditos extraordinarios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Mayo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2.000.972,48 </w:t>
            </w:r>
          </w:p>
        </w:tc>
      </w:tr>
      <w:tr w:rsidR="007617AD">
        <w:trPr>
          <w:trHeight w:val="247"/>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4834/2022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Suplementos de Créditos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Mayo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9" w:firstLine="0"/>
              <w:jc w:val="right"/>
            </w:pPr>
            <w:r>
              <w:rPr>
                <w:sz w:val="20"/>
              </w:rPr>
              <w:t xml:space="preserve">67.304,46 </w:t>
            </w:r>
          </w:p>
        </w:tc>
      </w:tr>
      <w:tr w:rsidR="007617AD">
        <w:trPr>
          <w:trHeight w:val="250"/>
        </w:trPr>
        <w:tc>
          <w:tcPr>
            <w:tcW w:w="1262"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3466" w:type="dxa"/>
            <w:tcBorders>
              <w:top w:val="single" w:sz="4" w:space="0" w:color="000000"/>
              <w:left w:val="nil"/>
              <w:bottom w:val="single" w:sz="4" w:space="0" w:color="000000"/>
              <w:right w:val="nil"/>
            </w:tcBorders>
          </w:tcPr>
          <w:p w:rsidR="007617AD" w:rsidRDefault="007617AD">
            <w:pPr>
              <w:spacing w:after="160" w:line="259" w:lineRule="auto"/>
              <w:ind w:left="0" w:firstLine="0"/>
              <w:jc w:val="left"/>
            </w:pPr>
          </w:p>
        </w:tc>
        <w:tc>
          <w:tcPr>
            <w:tcW w:w="2384" w:type="dxa"/>
            <w:tcBorders>
              <w:top w:val="single" w:sz="4" w:space="0" w:color="000000"/>
              <w:left w:val="nil"/>
              <w:bottom w:val="single" w:sz="4" w:space="0" w:color="000000"/>
              <w:right w:val="single" w:sz="4" w:space="0" w:color="000000"/>
            </w:tcBorders>
          </w:tcPr>
          <w:p w:rsidR="007617AD" w:rsidRDefault="00EE75C8">
            <w:pPr>
              <w:spacing w:after="0" w:line="259" w:lineRule="auto"/>
              <w:ind w:left="0" w:right="55" w:firstLine="0"/>
              <w:jc w:val="right"/>
            </w:pPr>
            <w:r>
              <w:rPr>
                <w:b/>
                <w:sz w:val="20"/>
              </w:rPr>
              <w:t xml:space="preserve">Total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b/>
                <w:sz w:val="20"/>
              </w:rPr>
              <w:t xml:space="preserve">9.564.182,78 </w:t>
            </w:r>
          </w:p>
        </w:tc>
      </w:tr>
    </w:tbl>
    <w:p w:rsidR="007617AD" w:rsidRDefault="00EE75C8">
      <w:pPr>
        <w:spacing w:after="18" w:line="259" w:lineRule="auto"/>
        <w:ind w:left="708" w:firstLine="0"/>
        <w:jc w:val="left"/>
      </w:pPr>
      <w:r>
        <w:rPr>
          <w:rFonts w:ascii="Times New Roman" w:eastAsia="Times New Roman" w:hAnsi="Times New Roman" w:cs="Times New Roman"/>
          <w:sz w:val="20"/>
        </w:rPr>
        <w:t xml:space="preserve">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7617AD" w:rsidRDefault="00EE75C8">
      <w:pPr>
        <w:ind w:left="703" w:right="62"/>
      </w:pPr>
      <w:r>
        <w:rPr>
          <w:b/>
        </w:rPr>
        <w:t>QUINTO:</w:t>
      </w:r>
      <w:r>
        <w:t xml:space="preserve"> Que el expediente de modificación presupuestaria </w:t>
      </w:r>
      <w:r>
        <w:rPr>
          <w:b/>
        </w:rPr>
        <w:t>6014/2022</w:t>
      </w:r>
      <w:r>
        <w:t xml:space="preserve"> de modificación presupuestaria por </w:t>
      </w:r>
      <w:r>
        <w:rPr>
          <w:b/>
        </w:rPr>
        <w:t>Suplementos de Créditos</w:t>
      </w:r>
      <w:r>
        <w:t xml:space="preserve"> </w:t>
      </w:r>
      <w:r>
        <w:t xml:space="preserve">financiado con Remanente de Tesorería para gastos generales, por la cantidad de </w:t>
      </w:r>
      <w:r>
        <w:rPr>
          <w:b/>
        </w:rPr>
        <w:t>301.746,30 euros</w:t>
      </w:r>
      <w:r>
        <w:t xml:space="preserve">, se apruebe de acuerdo al siguiente detalle: </w:t>
      </w:r>
    </w:p>
    <w:p w:rsidR="007617AD" w:rsidRDefault="00EE75C8">
      <w:pPr>
        <w:spacing w:after="95" w:line="259" w:lineRule="auto"/>
        <w:ind w:left="708" w:firstLine="0"/>
        <w:jc w:val="left"/>
      </w:pPr>
      <w:r>
        <w:t xml:space="preserve"> </w:t>
      </w:r>
    </w:p>
    <w:p w:rsidR="007617AD" w:rsidRDefault="00EE75C8">
      <w:pPr>
        <w:spacing w:after="0" w:line="259" w:lineRule="auto"/>
        <w:ind w:left="10" w:right="349"/>
        <w:jc w:val="center"/>
      </w:pPr>
      <w:r>
        <w:rPr>
          <w:b/>
          <w:sz w:val="20"/>
        </w:rPr>
        <w:t xml:space="preserve">Estados de gastos </w:t>
      </w:r>
    </w:p>
    <w:tbl>
      <w:tblPr>
        <w:tblStyle w:val="TableGrid"/>
        <w:tblW w:w="8440" w:type="dxa"/>
        <w:tblInd w:w="779" w:type="dxa"/>
        <w:tblCellMar>
          <w:top w:w="3" w:type="dxa"/>
          <w:left w:w="70" w:type="dxa"/>
          <w:bottom w:w="0" w:type="dxa"/>
          <w:right w:w="8" w:type="dxa"/>
        </w:tblCellMar>
        <w:tblLook w:val="04A0" w:firstRow="1" w:lastRow="0" w:firstColumn="1" w:lastColumn="0" w:noHBand="0" w:noVBand="1"/>
      </w:tblPr>
      <w:tblGrid>
        <w:gridCol w:w="939"/>
        <w:gridCol w:w="1307"/>
        <w:gridCol w:w="4669"/>
        <w:gridCol w:w="1525"/>
      </w:tblGrid>
      <w:tr w:rsidR="007617AD">
        <w:trPr>
          <w:trHeight w:val="722"/>
        </w:trPr>
        <w:tc>
          <w:tcPr>
            <w:tcW w:w="906" w:type="dxa"/>
            <w:tcBorders>
              <w:top w:val="single" w:sz="4" w:space="0" w:color="000000"/>
              <w:left w:val="single" w:sz="4" w:space="0" w:color="000000"/>
              <w:bottom w:val="single" w:sz="4" w:space="0" w:color="000000"/>
              <w:right w:val="single" w:sz="4" w:space="0" w:color="000000"/>
            </w:tcBorders>
            <w:shd w:val="clear" w:color="auto" w:fill="D9D9D9"/>
          </w:tcPr>
          <w:p w:rsidR="007617AD" w:rsidRDefault="00EE75C8">
            <w:pPr>
              <w:spacing w:after="0" w:line="259" w:lineRule="auto"/>
              <w:ind w:left="0" w:firstLine="5"/>
              <w:jc w:val="center"/>
            </w:pPr>
            <w:r>
              <w:rPr>
                <w:b/>
                <w:sz w:val="20"/>
              </w:rPr>
              <w:t xml:space="preserve">Proyecto gasto </w:t>
            </w:r>
          </w:p>
        </w:tc>
        <w:tc>
          <w:tcPr>
            <w:tcW w:w="13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Aplicación </w:t>
            </w:r>
          </w:p>
        </w:tc>
        <w:tc>
          <w:tcPr>
            <w:tcW w:w="46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Denominación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1" w:firstLine="0"/>
              <w:jc w:val="center"/>
            </w:pPr>
            <w:r>
              <w:rPr>
                <w:b/>
                <w:sz w:val="20"/>
              </w:rPr>
              <w:t xml:space="preserve">Importe </w:t>
            </w:r>
          </w:p>
        </w:tc>
      </w:tr>
      <w:tr w:rsidR="007617AD">
        <w:trPr>
          <w:trHeight w:val="371"/>
        </w:trPr>
        <w:tc>
          <w:tcPr>
            <w:tcW w:w="90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9" w:firstLine="0"/>
              <w:jc w:val="left"/>
            </w:pPr>
            <w:r>
              <w:rPr>
                <w:sz w:val="20"/>
              </w:rPr>
              <w:t xml:space="preserve">20.2.42 </w:t>
            </w:r>
          </w:p>
        </w:tc>
        <w:tc>
          <w:tcPr>
            <w:tcW w:w="13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41500.61900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Pantalanes Muelle Pesquero</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2" w:firstLine="0"/>
              <w:jc w:val="right"/>
            </w:pPr>
            <w:r>
              <w:rPr>
                <w:sz w:val="20"/>
              </w:rPr>
              <w:t xml:space="preserve">201.746,30 </w:t>
            </w:r>
          </w:p>
        </w:tc>
      </w:tr>
      <w:tr w:rsidR="007617AD">
        <w:trPr>
          <w:trHeight w:val="370"/>
        </w:trPr>
        <w:tc>
          <w:tcPr>
            <w:tcW w:w="90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7" w:firstLine="0"/>
              <w:jc w:val="center"/>
            </w:pPr>
            <w:r>
              <w:rPr>
                <w:sz w:val="20"/>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01100.35900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Otros Gastos financieros</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sz w:val="20"/>
              </w:rPr>
              <w:t>100.000,00</w:t>
            </w:r>
            <w:r>
              <w:rPr>
                <w:rFonts w:ascii="Times New Roman" w:eastAsia="Times New Roman" w:hAnsi="Times New Roman" w:cs="Times New Roman"/>
                <w:sz w:val="24"/>
              </w:rPr>
              <w:t xml:space="preserve"> </w:t>
            </w:r>
          </w:p>
        </w:tc>
      </w:tr>
      <w:tr w:rsidR="007617AD">
        <w:trPr>
          <w:trHeight w:val="250"/>
        </w:trPr>
        <w:tc>
          <w:tcPr>
            <w:tcW w:w="6912" w:type="dxa"/>
            <w:gridSpan w:val="3"/>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5" w:firstLine="0"/>
              <w:jc w:val="center"/>
            </w:pPr>
            <w:r>
              <w:rPr>
                <w:b/>
                <w:sz w:val="20"/>
              </w:rPr>
              <w:t>Total</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b/>
                <w:sz w:val="20"/>
              </w:rPr>
              <w:t xml:space="preserve">301.746,30 </w:t>
            </w:r>
          </w:p>
        </w:tc>
      </w:tr>
    </w:tbl>
    <w:p w:rsidR="007617AD" w:rsidRDefault="00EE75C8">
      <w:pPr>
        <w:spacing w:after="28" w:line="259" w:lineRule="auto"/>
        <w:ind w:left="848"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p>
    <w:p w:rsidR="007617AD" w:rsidRDefault="00EE75C8">
      <w:pPr>
        <w:spacing w:after="0" w:line="259" w:lineRule="auto"/>
        <w:ind w:left="10" w:right="352"/>
        <w:jc w:val="center"/>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5707" name="Group 27570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6182" name="Rectangle 618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6183" name="Rectangle 6183"/>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35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5707" style="width:12.7031pt;height:280.02pt;position:absolute;mso-position-horizontal-relative:page;mso-position-horizontal:absolute;margin-left:682.278pt;mso-position-vertical-relative:page;margin-top:531.9pt;" coordsize="1613,35562">
                <v:rect id="Rectangle 618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6183"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192 </w:t>
                        </w:r>
                      </w:p>
                    </w:txbxContent>
                  </v:textbox>
                </v:rect>
                <w10:wrap type="square"/>
              </v:group>
            </w:pict>
          </mc:Fallback>
        </mc:AlternateContent>
      </w:r>
      <w:r>
        <w:rPr>
          <w:b/>
          <w:sz w:val="20"/>
        </w:rPr>
        <w:t>Estados de Ingresos</w:t>
      </w:r>
      <w:r>
        <w:rPr>
          <w:rFonts w:ascii="Times New Roman" w:eastAsia="Times New Roman" w:hAnsi="Times New Roman" w:cs="Times New Roman"/>
          <w:sz w:val="24"/>
        </w:rPr>
        <w:t xml:space="preserve"> </w:t>
      </w:r>
    </w:p>
    <w:tbl>
      <w:tblPr>
        <w:tblStyle w:val="TableGrid"/>
        <w:tblW w:w="8440" w:type="dxa"/>
        <w:tblInd w:w="779" w:type="dxa"/>
        <w:tblCellMar>
          <w:top w:w="9" w:type="dxa"/>
          <w:left w:w="70" w:type="dxa"/>
          <w:bottom w:w="0" w:type="dxa"/>
          <w:right w:w="8" w:type="dxa"/>
        </w:tblCellMar>
        <w:tblLook w:val="04A0" w:firstRow="1" w:lastRow="0" w:firstColumn="1" w:lastColumn="0" w:noHBand="0" w:noVBand="1"/>
      </w:tblPr>
      <w:tblGrid>
        <w:gridCol w:w="2214"/>
        <w:gridCol w:w="4698"/>
        <w:gridCol w:w="1528"/>
      </w:tblGrid>
      <w:tr w:rsidR="007617AD">
        <w:trPr>
          <w:trHeight w:val="487"/>
        </w:trPr>
        <w:tc>
          <w:tcPr>
            <w:tcW w:w="221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4" w:firstLine="0"/>
              <w:jc w:val="center"/>
            </w:pPr>
            <w:r>
              <w:rPr>
                <w:b/>
                <w:sz w:val="20"/>
              </w:rPr>
              <w:t xml:space="preserve">Aplicación </w:t>
            </w:r>
          </w:p>
        </w:tc>
        <w:tc>
          <w:tcPr>
            <w:tcW w:w="46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Denominación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1" w:firstLine="0"/>
              <w:jc w:val="center"/>
            </w:pPr>
            <w:r>
              <w:rPr>
                <w:b/>
                <w:sz w:val="20"/>
              </w:rPr>
              <w:t xml:space="preserve">Importe </w:t>
            </w:r>
          </w:p>
        </w:tc>
      </w:tr>
      <w:tr w:rsidR="007617AD">
        <w:trPr>
          <w:trHeight w:val="311"/>
        </w:trPr>
        <w:tc>
          <w:tcPr>
            <w:tcW w:w="221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5" w:firstLine="0"/>
              <w:jc w:val="center"/>
            </w:pPr>
            <w:r>
              <w:rPr>
                <w:sz w:val="20"/>
              </w:rPr>
              <w:t xml:space="preserve">870.00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Remanente de Tesorería para gastos generales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sz w:val="20"/>
              </w:rPr>
              <w:t>301.746,30</w:t>
            </w:r>
            <w:r>
              <w:rPr>
                <w:rFonts w:ascii="Times New Roman" w:eastAsia="Times New Roman" w:hAnsi="Times New Roman" w:cs="Times New Roman"/>
                <w:sz w:val="24"/>
              </w:rPr>
              <w:t xml:space="preserve"> </w:t>
            </w:r>
          </w:p>
        </w:tc>
      </w:tr>
      <w:tr w:rsidR="007617AD">
        <w:trPr>
          <w:trHeight w:val="250"/>
        </w:trPr>
        <w:tc>
          <w:tcPr>
            <w:tcW w:w="2214"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4698" w:type="dxa"/>
            <w:tcBorders>
              <w:top w:val="single" w:sz="4" w:space="0" w:color="000000"/>
              <w:left w:val="nil"/>
              <w:bottom w:val="single" w:sz="4" w:space="0" w:color="000000"/>
              <w:right w:val="single" w:sz="4" w:space="0" w:color="000000"/>
            </w:tcBorders>
          </w:tcPr>
          <w:p w:rsidR="007617AD" w:rsidRDefault="00EE75C8">
            <w:pPr>
              <w:spacing w:after="0" w:line="259" w:lineRule="auto"/>
              <w:ind w:left="939" w:firstLine="0"/>
              <w:jc w:val="left"/>
            </w:pPr>
            <w:r>
              <w:rPr>
                <w:b/>
                <w:sz w:val="20"/>
              </w:rPr>
              <w:t xml:space="preserve">Total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b/>
                <w:sz w:val="20"/>
              </w:rPr>
              <w:t xml:space="preserve">301.746,30 </w:t>
            </w:r>
          </w:p>
        </w:tc>
      </w:tr>
    </w:tbl>
    <w:p w:rsidR="007617AD" w:rsidRDefault="00EE75C8">
      <w:pPr>
        <w:spacing w:after="55" w:line="259" w:lineRule="auto"/>
        <w:ind w:left="708" w:firstLine="0"/>
        <w:jc w:val="left"/>
      </w:pPr>
      <w:r>
        <w:rPr>
          <w:sz w:val="20"/>
        </w:rPr>
        <w:t>.”</w:t>
      </w:r>
      <w:r>
        <w:t xml:space="preserve"> </w:t>
      </w:r>
    </w:p>
    <w:p w:rsidR="007617AD" w:rsidRDefault="00EE75C8">
      <w:pPr>
        <w:spacing w:after="0" w:line="259" w:lineRule="auto"/>
        <w:ind w:left="708" w:firstLine="0"/>
        <w:jc w:val="left"/>
      </w:pPr>
      <w:r>
        <w:rPr>
          <w:rFonts w:ascii="Times New Roman" w:eastAsia="Times New Roman" w:hAnsi="Times New Roman" w:cs="Times New Roman"/>
          <w:b/>
          <w:sz w:val="24"/>
        </w:rPr>
        <w:t xml:space="preserve"> </w:t>
      </w:r>
    </w:p>
    <w:p w:rsidR="007617AD" w:rsidRDefault="00EE75C8">
      <w:pPr>
        <w:spacing w:after="0"/>
        <w:ind w:left="703" w:right="58"/>
      </w:pPr>
      <w:r>
        <w:rPr>
          <w:b/>
        </w:rPr>
        <w:t>Este Concejal Delegado de Hacienda, PROPONE al Pleno la adopción del siguiente ACUERDO:</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ind w:left="703" w:right="62"/>
      </w:pPr>
      <w:r>
        <w:rPr>
          <w:b/>
        </w:rPr>
        <w:t xml:space="preserve">PRIMERO. - </w:t>
      </w:r>
      <w:r>
        <w:t xml:space="preserve">Aprobar expediente de modificación presupuestaria nº </w:t>
      </w:r>
      <w:r>
        <w:rPr>
          <w:b/>
        </w:rPr>
        <w:t>6014/2022</w:t>
      </w:r>
      <w:r>
        <w:t xml:space="preserve"> de modificación presupuestaria por </w:t>
      </w:r>
      <w:r>
        <w:rPr>
          <w:b/>
        </w:rPr>
        <w:t>Suplementos de Créditos</w:t>
      </w:r>
      <w:r>
        <w:t xml:space="preserve"> financiado con Remanente de Teso</w:t>
      </w:r>
      <w:r>
        <w:t xml:space="preserve">rería para gastos generales, por la cantidad de </w:t>
      </w:r>
      <w:r>
        <w:rPr>
          <w:b/>
        </w:rPr>
        <w:t>301.746,30 euros</w:t>
      </w:r>
      <w:r>
        <w:t xml:space="preserve">, se apruebe de acuerdo al siguiente detalle: </w:t>
      </w:r>
    </w:p>
    <w:p w:rsidR="007617AD" w:rsidRDefault="00EE75C8">
      <w:pPr>
        <w:spacing w:after="95" w:line="259" w:lineRule="auto"/>
        <w:ind w:left="708" w:firstLine="0"/>
        <w:jc w:val="left"/>
      </w:pPr>
      <w:r>
        <w:rPr>
          <w:b/>
        </w:rPr>
        <w:t xml:space="preserve"> </w:t>
      </w:r>
    </w:p>
    <w:p w:rsidR="007617AD" w:rsidRDefault="00EE75C8">
      <w:pPr>
        <w:spacing w:after="0" w:line="259" w:lineRule="auto"/>
        <w:ind w:left="10" w:right="349"/>
        <w:jc w:val="center"/>
      </w:pPr>
      <w:r>
        <w:rPr>
          <w:b/>
          <w:sz w:val="20"/>
        </w:rPr>
        <w:t xml:space="preserve">Estados de gastos </w:t>
      </w:r>
    </w:p>
    <w:tbl>
      <w:tblPr>
        <w:tblStyle w:val="TableGrid"/>
        <w:tblW w:w="8440" w:type="dxa"/>
        <w:tblInd w:w="779" w:type="dxa"/>
        <w:tblCellMar>
          <w:top w:w="3" w:type="dxa"/>
          <w:left w:w="70" w:type="dxa"/>
          <w:bottom w:w="0" w:type="dxa"/>
          <w:right w:w="8" w:type="dxa"/>
        </w:tblCellMar>
        <w:tblLook w:val="04A0" w:firstRow="1" w:lastRow="0" w:firstColumn="1" w:lastColumn="0" w:noHBand="0" w:noVBand="1"/>
      </w:tblPr>
      <w:tblGrid>
        <w:gridCol w:w="939"/>
        <w:gridCol w:w="1307"/>
        <w:gridCol w:w="4669"/>
        <w:gridCol w:w="1525"/>
      </w:tblGrid>
      <w:tr w:rsidR="007617AD">
        <w:trPr>
          <w:trHeight w:val="724"/>
        </w:trPr>
        <w:tc>
          <w:tcPr>
            <w:tcW w:w="906" w:type="dxa"/>
            <w:tcBorders>
              <w:top w:val="single" w:sz="4" w:space="0" w:color="000000"/>
              <w:left w:val="single" w:sz="4" w:space="0" w:color="000000"/>
              <w:bottom w:val="single" w:sz="4" w:space="0" w:color="000000"/>
              <w:right w:val="single" w:sz="4" w:space="0" w:color="000000"/>
            </w:tcBorders>
            <w:shd w:val="clear" w:color="auto" w:fill="D9D9D9"/>
          </w:tcPr>
          <w:p w:rsidR="007617AD" w:rsidRDefault="00EE75C8">
            <w:pPr>
              <w:spacing w:after="0" w:line="259" w:lineRule="auto"/>
              <w:ind w:left="0" w:firstLine="5"/>
              <w:jc w:val="center"/>
            </w:pPr>
            <w:r>
              <w:rPr>
                <w:b/>
                <w:sz w:val="20"/>
              </w:rPr>
              <w:t xml:space="preserve">Proyecto gasto </w:t>
            </w:r>
          </w:p>
        </w:tc>
        <w:tc>
          <w:tcPr>
            <w:tcW w:w="13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Aplicación </w:t>
            </w:r>
          </w:p>
        </w:tc>
        <w:tc>
          <w:tcPr>
            <w:tcW w:w="46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Denominación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1" w:firstLine="0"/>
              <w:jc w:val="center"/>
            </w:pPr>
            <w:r>
              <w:rPr>
                <w:b/>
                <w:sz w:val="20"/>
              </w:rPr>
              <w:t xml:space="preserve">Importe </w:t>
            </w:r>
          </w:p>
        </w:tc>
      </w:tr>
      <w:tr w:rsidR="007617AD">
        <w:trPr>
          <w:trHeight w:val="368"/>
        </w:trPr>
        <w:tc>
          <w:tcPr>
            <w:tcW w:w="90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9" w:firstLine="0"/>
              <w:jc w:val="left"/>
            </w:pPr>
            <w:r>
              <w:rPr>
                <w:sz w:val="20"/>
              </w:rPr>
              <w:t xml:space="preserve">20.2.42 </w:t>
            </w:r>
          </w:p>
        </w:tc>
        <w:tc>
          <w:tcPr>
            <w:tcW w:w="13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41500.61900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Pantalanes Muelle Pesquero</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sz w:val="20"/>
              </w:rPr>
              <w:t xml:space="preserve">201.746,30 </w:t>
            </w:r>
          </w:p>
        </w:tc>
      </w:tr>
      <w:tr w:rsidR="007617AD">
        <w:trPr>
          <w:trHeight w:val="370"/>
        </w:trPr>
        <w:tc>
          <w:tcPr>
            <w:tcW w:w="90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7" w:firstLine="0"/>
              <w:jc w:val="center"/>
            </w:pPr>
            <w:r>
              <w:rPr>
                <w:sz w:val="20"/>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01100.35900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Otros Gastos financieros</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sz w:val="20"/>
              </w:rPr>
              <w:t>100.000,00</w:t>
            </w:r>
            <w:r>
              <w:rPr>
                <w:rFonts w:ascii="Times New Roman" w:eastAsia="Times New Roman" w:hAnsi="Times New Roman" w:cs="Times New Roman"/>
                <w:sz w:val="24"/>
              </w:rPr>
              <w:t xml:space="preserve"> </w:t>
            </w:r>
          </w:p>
        </w:tc>
      </w:tr>
      <w:tr w:rsidR="007617AD">
        <w:trPr>
          <w:trHeight w:val="250"/>
        </w:trPr>
        <w:tc>
          <w:tcPr>
            <w:tcW w:w="6912" w:type="dxa"/>
            <w:gridSpan w:val="3"/>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5" w:firstLine="0"/>
              <w:jc w:val="center"/>
            </w:pPr>
            <w:r>
              <w:rPr>
                <w:b/>
                <w:sz w:val="20"/>
              </w:rPr>
              <w:t>Total</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b/>
                <w:sz w:val="20"/>
              </w:rPr>
              <w:t xml:space="preserve">301.746,30 </w:t>
            </w:r>
          </w:p>
        </w:tc>
      </w:tr>
    </w:tbl>
    <w:p w:rsidR="007617AD" w:rsidRDefault="00EE75C8">
      <w:pPr>
        <w:spacing w:after="30" w:line="259" w:lineRule="auto"/>
        <w:ind w:left="848"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p>
    <w:p w:rsidR="007617AD" w:rsidRDefault="00EE75C8">
      <w:pPr>
        <w:spacing w:after="0" w:line="259" w:lineRule="auto"/>
        <w:ind w:left="10" w:right="352"/>
        <w:jc w:val="center"/>
      </w:pPr>
      <w:r>
        <w:rPr>
          <w:b/>
          <w:sz w:val="20"/>
        </w:rPr>
        <w:t>Estados de Ingresos</w:t>
      </w:r>
      <w:r>
        <w:rPr>
          <w:rFonts w:ascii="Times New Roman" w:eastAsia="Times New Roman" w:hAnsi="Times New Roman" w:cs="Times New Roman"/>
          <w:sz w:val="24"/>
        </w:rPr>
        <w:t xml:space="preserve"> </w:t>
      </w:r>
    </w:p>
    <w:p w:rsidR="007617AD" w:rsidRDefault="00EE75C8">
      <w:pPr>
        <w:spacing w:after="0" w:line="259" w:lineRule="auto"/>
        <w:ind w:left="764" w:firstLine="0"/>
        <w:jc w:val="left"/>
      </w:pPr>
      <w:r>
        <w:rPr>
          <w:rFonts w:ascii="Calibri" w:eastAsia="Calibri" w:hAnsi="Calibri" w:cs="Calibri"/>
          <w:noProof/>
        </w:rPr>
        <mc:AlternateContent>
          <mc:Choice Requires="wpg">
            <w:drawing>
              <wp:inline distT="0" distB="0" distL="0" distR="0">
                <wp:extent cx="5369941" cy="6096"/>
                <wp:effectExtent l="0" t="0" r="0" b="0"/>
                <wp:docPr id="275706" name="Group 275706"/>
                <wp:cNvGraphicFramePr/>
                <a:graphic xmlns:a="http://schemas.openxmlformats.org/drawingml/2006/main">
                  <a:graphicData uri="http://schemas.microsoft.com/office/word/2010/wordprocessingGroup">
                    <wpg:wgp>
                      <wpg:cNvGrpSpPr/>
                      <wpg:grpSpPr>
                        <a:xfrm>
                          <a:off x="0" y="0"/>
                          <a:ext cx="5369941" cy="6096"/>
                          <a:chOff x="0" y="0"/>
                          <a:chExt cx="5369941" cy="6096"/>
                        </a:xfrm>
                      </wpg:grpSpPr>
                      <wps:wsp>
                        <wps:cNvPr id="320479" name="Shape 320479"/>
                        <wps:cNvSpPr/>
                        <wps:spPr>
                          <a:xfrm>
                            <a:off x="0" y="0"/>
                            <a:ext cx="5369941" cy="9144"/>
                          </a:xfrm>
                          <a:custGeom>
                            <a:avLst/>
                            <a:gdLst/>
                            <a:ahLst/>
                            <a:cxnLst/>
                            <a:rect l="0" t="0" r="0" b="0"/>
                            <a:pathLst>
                              <a:path w="5369941" h="9144">
                                <a:moveTo>
                                  <a:pt x="0" y="0"/>
                                </a:moveTo>
                                <a:lnTo>
                                  <a:pt x="5369941" y="0"/>
                                </a:lnTo>
                                <a:lnTo>
                                  <a:pt x="5369941"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5706" style="width:422.83pt;height:0.47998pt;mso-position-horizontal-relative:char;mso-position-vertical-relative:line" coordsize="53699,60">
                <v:shape id="Shape 320480" style="position:absolute;width:53699;height:91;left:0;top:0;" coordsize="5369941,9144" path="m0,0l5369941,0l5369941,9144l0,9144l0,0">
                  <v:stroke weight="0pt" endcap="square" joinstyle="miter" miterlimit="10" on="false" color="#000000" opacity="0"/>
                  <v:fill on="true" color="#000000"/>
                </v:shape>
              </v:group>
            </w:pict>
          </mc:Fallback>
        </mc:AlternateContent>
      </w:r>
    </w:p>
    <w:tbl>
      <w:tblPr>
        <w:tblStyle w:val="TableGrid"/>
        <w:tblW w:w="8440" w:type="dxa"/>
        <w:tblInd w:w="779" w:type="dxa"/>
        <w:tblCellMar>
          <w:top w:w="7" w:type="dxa"/>
          <w:left w:w="70" w:type="dxa"/>
          <w:bottom w:w="0" w:type="dxa"/>
          <w:right w:w="8" w:type="dxa"/>
        </w:tblCellMar>
        <w:tblLook w:val="04A0" w:firstRow="1" w:lastRow="0" w:firstColumn="1" w:lastColumn="0" w:noHBand="0" w:noVBand="1"/>
      </w:tblPr>
      <w:tblGrid>
        <w:gridCol w:w="2214"/>
        <w:gridCol w:w="4698"/>
        <w:gridCol w:w="1528"/>
      </w:tblGrid>
      <w:tr w:rsidR="007617AD">
        <w:trPr>
          <w:trHeight w:val="487"/>
        </w:trPr>
        <w:tc>
          <w:tcPr>
            <w:tcW w:w="221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4" w:firstLine="0"/>
              <w:jc w:val="center"/>
            </w:pPr>
            <w:r>
              <w:rPr>
                <w:b/>
                <w:sz w:val="20"/>
              </w:rPr>
              <w:t xml:space="preserve">Aplicación </w:t>
            </w:r>
          </w:p>
        </w:tc>
        <w:tc>
          <w:tcPr>
            <w:tcW w:w="4698" w:type="dxa"/>
            <w:tcBorders>
              <w:top w:val="single" w:sz="4" w:space="0" w:color="D9D9D9"/>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Denominación </w:t>
            </w:r>
          </w:p>
        </w:tc>
        <w:tc>
          <w:tcPr>
            <w:tcW w:w="1528" w:type="dxa"/>
            <w:tcBorders>
              <w:top w:val="single" w:sz="4" w:space="0" w:color="D9D9D9"/>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1" w:firstLine="0"/>
              <w:jc w:val="center"/>
            </w:pPr>
            <w:r>
              <w:rPr>
                <w:b/>
                <w:sz w:val="20"/>
              </w:rPr>
              <w:t xml:space="preserve">Importe </w:t>
            </w:r>
          </w:p>
        </w:tc>
      </w:tr>
      <w:tr w:rsidR="007617AD">
        <w:trPr>
          <w:trHeight w:val="313"/>
        </w:trPr>
        <w:tc>
          <w:tcPr>
            <w:tcW w:w="221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5" w:firstLine="0"/>
              <w:jc w:val="center"/>
            </w:pPr>
            <w:r>
              <w:rPr>
                <w:sz w:val="20"/>
              </w:rPr>
              <w:t xml:space="preserve">870.00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Remanente de Tesorería para gastos generales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sz w:val="20"/>
              </w:rPr>
              <w:t>301.746,30</w:t>
            </w:r>
            <w:r>
              <w:rPr>
                <w:rFonts w:ascii="Times New Roman" w:eastAsia="Times New Roman" w:hAnsi="Times New Roman" w:cs="Times New Roman"/>
                <w:sz w:val="24"/>
              </w:rPr>
              <w:t xml:space="preserve"> </w:t>
            </w:r>
          </w:p>
        </w:tc>
      </w:tr>
      <w:tr w:rsidR="007617AD">
        <w:trPr>
          <w:trHeight w:val="250"/>
        </w:trPr>
        <w:tc>
          <w:tcPr>
            <w:tcW w:w="2214"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4698" w:type="dxa"/>
            <w:tcBorders>
              <w:top w:val="single" w:sz="4" w:space="0" w:color="000000"/>
              <w:left w:val="nil"/>
              <w:bottom w:val="single" w:sz="4" w:space="0" w:color="000000"/>
              <w:right w:val="single" w:sz="4" w:space="0" w:color="000000"/>
            </w:tcBorders>
          </w:tcPr>
          <w:p w:rsidR="007617AD" w:rsidRDefault="00EE75C8">
            <w:pPr>
              <w:spacing w:after="0" w:line="259" w:lineRule="auto"/>
              <w:ind w:left="939" w:firstLine="0"/>
              <w:jc w:val="left"/>
            </w:pPr>
            <w:r>
              <w:rPr>
                <w:b/>
                <w:sz w:val="20"/>
              </w:rPr>
              <w:t xml:space="preserve">Total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b/>
                <w:sz w:val="20"/>
              </w:rPr>
              <w:t xml:space="preserve">301.746,30 </w:t>
            </w:r>
          </w:p>
        </w:tc>
      </w:tr>
    </w:tbl>
    <w:p w:rsidR="007617AD" w:rsidRDefault="00EE75C8">
      <w:pPr>
        <w:spacing w:after="0"/>
        <w:ind w:left="703" w:right="62"/>
      </w:pPr>
      <w:r>
        <w:rPr>
          <w:b/>
        </w:rPr>
        <w:t>SEGUNDO. -</w:t>
      </w:r>
      <w:r>
        <w:t xml:space="preserve"> </w:t>
      </w:r>
      <w:r>
        <w:t>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r>
        <w:tab/>
        <w:t xml:space="preserve"> </w:t>
      </w:r>
    </w:p>
    <w:p w:rsidR="007617AD" w:rsidRDefault="00EE75C8">
      <w:pPr>
        <w:spacing w:after="0" w:line="248" w:lineRule="auto"/>
        <w:ind w:left="703" w:right="34"/>
        <w:jc w:val="left"/>
      </w:pPr>
      <w:r>
        <w:rPr>
          <w:b/>
        </w:rPr>
        <w:t xml:space="preserve">TERCERO. - </w:t>
      </w:r>
      <w:r>
        <w:t>El expediente se considerará def</w:t>
      </w:r>
      <w:r>
        <w:t>initivamente aprobado si durante el citado plazo no se hubiesen presentado reclamaciones, en caso contrario el Pleno dispondrá de un mes para resolverlas. El expediente definitivamente aprobado, será insertado en el boletín oficial de la provincia.”</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ind w:left="703" w:right="58"/>
      </w:pPr>
      <w:r>
        <w:rPr>
          <w:b/>
        </w:rPr>
        <w:t>DIC</w:t>
      </w:r>
      <w:r>
        <w:rPr>
          <w:b/>
        </w:rPr>
        <w:t xml:space="preserve">TAMEN FAVORABLE DE LA COMISIÓN INFORMATIVA DE HACIENDA, RECURSOS HUMANOS Y SERVICIOS GENERALES DE 27 DE JUNIO DE 2022. </w:t>
      </w:r>
    </w:p>
    <w:p w:rsidR="007617AD" w:rsidRDefault="00EE75C8">
      <w:pPr>
        <w:spacing w:after="0" w:line="259" w:lineRule="auto"/>
        <w:ind w:left="708" w:firstLine="0"/>
        <w:jc w:val="left"/>
      </w:pPr>
      <w:r>
        <w:t xml:space="preserve"> </w:t>
      </w:r>
    </w:p>
    <w:p w:rsidR="007617AD" w:rsidRDefault="00EE75C8">
      <w:pPr>
        <w:spacing w:after="0"/>
        <w:ind w:left="703" w:right="58"/>
      </w:pPr>
      <w:r>
        <w:rPr>
          <w:b/>
        </w:rPr>
        <w:t>El expediente con la propuesta previamente transcrita fue dictaminado con carácter favorable por la Comisión informativa con la siguie</w:t>
      </w:r>
      <w:r>
        <w:rPr>
          <w:b/>
        </w:rPr>
        <w:t xml:space="preserve">nte votación: </w:t>
      </w:r>
    </w:p>
    <w:p w:rsidR="007617AD" w:rsidRDefault="00EE75C8">
      <w:pPr>
        <w:spacing w:after="0" w:line="259" w:lineRule="auto"/>
        <w:ind w:left="708" w:firstLine="0"/>
        <w:jc w:val="left"/>
      </w:pPr>
      <w:r>
        <w:rPr>
          <w:b/>
        </w:rPr>
        <w:t xml:space="preserve"> </w:t>
      </w:r>
    </w:p>
    <w:p w:rsidR="007617AD" w:rsidRDefault="00EE75C8">
      <w:pPr>
        <w:spacing w:after="11"/>
        <w:ind w:left="703" w:right="62"/>
      </w:pPr>
      <w:r>
        <w:t xml:space="preserve">Votos a favor: 4. </w:t>
      </w:r>
    </w:p>
    <w:p w:rsidR="007617AD" w:rsidRDefault="00EE75C8">
      <w:pPr>
        <w:spacing w:after="0"/>
        <w:ind w:left="703" w:right="62"/>
      </w:pPr>
      <w:r>
        <w:t xml:space="preserve">Don Airam Pérez Chinea, Don Jorge Baute Delgado, Don Manuel Alberto González Pestano y Doña Margarita Eva Tendero Barroso.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Votos en contra: 0.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Abstenciones: 2. </w:t>
      </w:r>
    </w:p>
    <w:p w:rsidR="007617AD" w:rsidRDefault="00EE75C8">
      <w:pPr>
        <w:spacing w:after="0"/>
        <w:ind w:left="703" w:right="62"/>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6931" name="Group 256931"/>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6361" name="Rectangle 636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6362" name="Rectangle 6362"/>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36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6931" style="width:12.7031pt;height:280.02pt;position:absolute;mso-position-horizontal-relative:page;mso-position-horizontal:absolute;margin-left:682.278pt;mso-position-vertical-relative:page;margin-top:531.9pt;" coordsize="1613,35562">
                <v:rect id="Rectangle 636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6362"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192 </w:t>
                        </w:r>
                      </w:p>
                    </w:txbxContent>
                  </v:textbox>
                </v:rect>
                <w10:wrap type="square"/>
              </v:group>
            </w:pict>
          </mc:Fallback>
        </mc:AlternateContent>
      </w:r>
      <w:r>
        <w:t>2 de las concejales del Grupo Mixto: Doña Ángela Cruz Perera (</w:t>
      </w:r>
      <w:r>
        <w:t xml:space="preserve">CC-PNC) y Doña Lourdes del Carmen Mondéjar Rondón (SSP).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JUNTA DE PORTAVOCES DE 27 DE JUNIO DE 2022.  </w:t>
      </w:r>
    </w:p>
    <w:p w:rsidR="007617AD" w:rsidRDefault="00EE75C8">
      <w:pPr>
        <w:spacing w:after="11"/>
        <w:ind w:left="703" w:right="62"/>
      </w:pPr>
      <w:r>
        <w:t xml:space="preserve">Quedó oída.  </w:t>
      </w:r>
    </w:p>
    <w:p w:rsidR="007617AD" w:rsidRDefault="00EE75C8">
      <w:pPr>
        <w:spacing w:after="0" w:line="259" w:lineRule="auto"/>
        <w:ind w:left="708" w:firstLine="0"/>
        <w:jc w:val="left"/>
      </w:pPr>
      <w:r>
        <w:rPr>
          <w:b/>
        </w:rPr>
        <w:t xml:space="preserve"> </w:t>
      </w:r>
    </w:p>
    <w:p w:rsidR="007617AD" w:rsidRDefault="00EE75C8">
      <w:pPr>
        <w:spacing w:after="11"/>
        <w:ind w:left="2137" w:right="58"/>
      </w:pPr>
      <w:r>
        <w:rPr>
          <w:b/>
        </w:rPr>
        <w:t xml:space="preserve">VOTACIÓN EN EL PLENO DE 30 DE JUNIO DE 2022. </w:t>
      </w:r>
    </w:p>
    <w:p w:rsidR="007617AD" w:rsidRDefault="00EE75C8">
      <w:pPr>
        <w:spacing w:after="0" w:line="259" w:lineRule="auto"/>
        <w:ind w:left="708" w:firstLine="0"/>
        <w:jc w:val="left"/>
      </w:pPr>
      <w:r>
        <w:rPr>
          <w:b/>
        </w:rPr>
        <w:t xml:space="preserve"> </w:t>
      </w:r>
    </w:p>
    <w:p w:rsidR="007617AD" w:rsidRDefault="00EE75C8">
      <w:pPr>
        <w:spacing w:after="11"/>
        <w:ind w:left="703" w:right="62"/>
      </w:pPr>
      <w:r>
        <w:t xml:space="preserve">Votos a favor: 14. </w:t>
      </w:r>
    </w:p>
    <w:p w:rsidR="007617AD" w:rsidRDefault="00EE75C8">
      <w:pPr>
        <w:ind w:left="703" w:right="62"/>
      </w:pPr>
      <w:r>
        <w:t xml:space="preserve">10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Don Olegario Francisco Alonso Bello y Don Reinaldo José Triviño Blanco. </w:t>
      </w:r>
    </w:p>
    <w:p w:rsidR="007617AD" w:rsidRDefault="00EE75C8">
      <w:pPr>
        <w:ind w:left="703" w:right="62"/>
      </w:pPr>
      <w:r>
        <w:t xml:space="preserve">2 de los concejales del Grupo Mixto (SSP), Doña Lourdes del Carmen Mondéjar Rondón y Don Antonio Delgado García. </w:t>
      </w:r>
    </w:p>
    <w:p w:rsidR="007617AD" w:rsidRDefault="00EE75C8">
      <w:pPr>
        <w:ind w:left="703" w:right="62"/>
      </w:pPr>
      <w:r>
        <w:t>1 de la concejal del Gr</w:t>
      </w:r>
      <w:r>
        <w:t xml:space="preserve">upo Mixto (CC-PNC): Doña Ángela Cruz Perera. </w:t>
      </w:r>
    </w:p>
    <w:p w:rsidR="007617AD" w:rsidRDefault="00EE75C8">
      <w:pPr>
        <w:numPr>
          <w:ilvl w:val="0"/>
          <w:numId w:val="14"/>
        </w:numPr>
        <w:ind w:left="877" w:right="62" w:hanging="184"/>
      </w:pPr>
      <w:r>
        <w:t xml:space="preserve">de la concejal del Grupo Mixto (VxC): Doña Alicia Mercedes Marrero Meneses. </w:t>
      </w:r>
    </w:p>
    <w:p w:rsidR="007617AD" w:rsidRDefault="00EE75C8">
      <w:pPr>
        <w:ind w:left="703" w:right="62"/>
      </w:pPr>
      <w:r>
        <w:t xml:space="preserve">Votos en contra: 0. </w:t>
      </w:r>
    </w:p>
    <w:p w:rsidR="007617AD" w:rsidRDefault="00EE75C8">
      <w:pPr>
        <w:ind w:left="703" w:right="62"/>
      </w:pPr>
      <w:r>
        <w:t xml:space="preserve">Abstenciones: 2. </w:t>
      </w:r>
    </w:p>
    <w:p w:rsidR="007617AD" w:rsidRDefault="00EE75C8">
      <w:pPr>
        <w:numPr>
          <w:ilvl w:val="0"/>
          <w:numId w:val="14"/>
        </w:numPr>
        <w:spacing w:after="0"/>
        <w:ind w:left="877" w:right="62" w:hanging="184"/>
      </w:pPr>
      <w:r>
        <w:t xml:space="preserve">de los concejales del Grupo Popular: Don Andrés Rodríguez Delgado y Don Jacobo López Fariña.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rPr>
          <w:b/>
        </w:rPr>
        <w:t xml:space="preserve"> </w:t>
      </w:r>
    </w:p>
    <w:p w:rsidR="007617AD" w:rsidRDefault="00EE75C8">
      <w:pPr>
        <w:spacing w:after="98" w:line="259" w:lineRule="auto"/>
        <w:ind w:left="708" w:firstLine="0"/>
        <w:jc w:val="left"/>
      </w:pPr>
      <w:r>
        <w:rPr>
          <w:b/>
        </w:rPr>
        <w:t xml:space="preserve"> </w:t>
      </w:r>
    </w:p>
    <w:p w:rsidR="007617AD" w:rsidRDefault="00EE75C8">
      <w:pPr>
        <w:ind w:left="2137" w:right="58"/>
      </w:pPr>
      <w:r>
        <w:rPr>
          <w:b/>
        </w:rPr>
        <w:t xml:space="preserve">       ACUERDO DEL PLENO DE 30 DE JUNIO DE 2022. </w:t>
      </w:r>
    </w:p>
    <w:p w:rsidR="007617AD" w:rsidRDefault="00EE75C8">
      <w:pPr>
        <w:spacing w:after="98" w:line="259" w:lineRule="auto"/>
        <w:ind w:left="2127" w:firstLine="0"/>
        <w:jc w:val="left"/>
      </w:pPr>
      <w:r>
        <w:rPr>
          <w:b/>
        </w:rPr>
        <w:t xml:space="preserve"> </w:t>
      </w:r>
    </w:p>
    <w:p w:rsidR="007617AD" w:rsidRDefault="00EE75C8">
      <w:pPr>
        <w:spacing w:after="73"/>
        <w:ind w:left="703" w:right="58"/>
      </w:pPr>
      <w:r>
        <w:rPr>
          <w:b/>
        </w:rPr>
        <w:t>PRIMERO. - Aprobar expediente de modificación presupuestaria nº 6014/2022 por Suplementos de Créditos financiado con Remanente de Tesorería para gastos generales, por la cantidad de 301.746,30 euros</w:t>
      </w:r>
      <w:r>
        <w:rPr>
          <w:b/>
        </w:rPr>
        <w:t>, se apruebe de acuerdo al siguiente detalle:</w:t>
      </w:r>
      <w:r>
        <w:t xml:space="preserve"> </w:t>
      </w:r>
    </w:p>
    <w:p w:rsidR="007617AD" w:rsidRDefault="00EE75C8">
      <w:pPr>
        <w:spacing w:after="141" w:line="259" w:lineRule="auto"/>
        <w:ind w:left="708" w:firstLine="0"/>
        <w:jc w:val="left"/>
      </w:pPr>
      <w:r>
        <w:rPr>
          <w:b/>
          <w:sz w:val="18"/>
        </w:rPr>
        <w:t xml:space="preserve"> </w:t>
      </w:r>
    </w:p>
    <w:p w:rsidR="007617AD" w:rsidRDefault="00EE75C8">
      <w:pPr>
        <w:spacing w:after="0" w:line="259" w:lineRule="auto"/>
        <w:ind w:left="10" w:right="349"/>
        <w:jc w:val="center"/>
      </w:pPr>
      <w:r>
        <w:rPr>
          <w:b/>
          <w:sz w:val="20"/>
        </w:rPr>
        <w:t xml:space="preserve">Estados de gastos </w:t>
      </w:r>
    </w:p>
    <w:tbl>
      <w:tblPr>
        <w:tblStyle w:val="TableGrid"/>
        <w:tblW w:w="8440" w:type="dxa"/>
        <w:tblInd w:w="779" w:type="dxa"/>
        <w:tblCellMar>
          <w:top w:w="5" w:type="dxa"/>
          <w:left w:w="70" w:type="dxa"/>
          <w:bottom w:w="0" w:type="dxa"/>
          <w:right w:w="8" w:type="dxa"/>
        </w:tblCellMar>
        <w:tblLook w:val="04A0" w:firstRow="1" w:lastRow="0" w:firstColumn="1" w:lastColumn="0" w:noHBand="0" w:noVBand="1"/>
      </w:tblPr>
      <w:tblGrid>
        <w:gridCol w:w="939"/>
        <w:gridCol w:w="1307"/>
        <w:gridCol w:w="4669"/>
        <w:gridCol w:w="1525"/>
      </w:tblGrid>
      <w:tr w:rsidR="007617AD">
        <w:trPr>
          <w:trHeight w:val="722"/>
        </w:trPr>
        <w:tc>
          <w:tcPr>
            <w:tcW w:w="906" w:type="dxa"/>
            <w:tcBorders>
              <w:top w:val="single" w:sz="4" w:space="0" w:color="000000"/>
              <w:left w:val="single" w:sz="4" w:space="0" w:color="000000"/>
              <w:bottom w:val="single" w:sz="4" w:space="0" w:color="000000"/>
              <w:right w:val="single" w:sz="4" w:space="0" w:color="000000"/>
            </w:tcBorders>
            <w:shd w:val="clear" w:color="auto" w:fill="D9D9D9"/>
          </w:tcPr>
          <w:p w:rsidR="007617AD" w:rsidRDefault="00EE75C8">
            <w:pPr>
              <w:spacing w:after="0" w:line="259" w:lineRule="auto"/>
              <w:ind w:left="0" w:firstLine="5"/>
              <w:jc w:val="center"/>
            </w:pPr>
            <w:r>
              <w:rPr>
                <w:b/>
                <w:sz w:val="20"/>
              </w:rPr>
              <w:t xml:space="preserve">Proyecto gasto </w:t>
            </w:r>
          </w:p>
        </w:tc>
        <w:tc>
          <w:tcPr>
            <w:tcW w:w="13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Aplicación </w:t>
            </w:r>
          </w:p>
        </w:tc>
        <w:tc>
          <w:tcPr>
            <w:tcW w:w="46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Denominación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1" w:firstLine="0"/>
              <w:jc w:val="center"/>
            </w:pPr>
            <w:r>
              <w:rPr>
                <w:b/>
                <w:sz w:val="20"/>
              </w:rPr>
              <w:t xml:space="preserve">Importe </w:t>
            </w:r>
          </w:p>
        </w:tc>
      </w:tr>
      <w:tr w:rsidR="007617AD">
        <w:trPr>
          <w:trHeight w:val="371"/>
        </w:trPr>
        <w:tc>
          <w:tcPr>
            <w:tcW w:w="90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9" w:firstLine="0"/>
              <w:jc w:val="left"/>
            </w:pPr>
            <w:r>
              <w:rPr>
                <w:b/>
                <w:sz w:val="20"/>
              </w:rPr>
              <w:t xml:space="preserve">20.2.42 </w:t>
            </w:r>
          </w:p>
        </w:tc>
        <w:tc>
          <w:tcPr>
            <w:tcW w:w="13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b/>
                <w:sz w:val="20"/>
              </w:rPr>
              <w:t xml:space="preserve">41500.61900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b/>
                <w:sz w:val="20"/>
              </w:rPr>
              <w:t>Pantalanes Muelle Pesquero</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b/>
                <w:sz w:val="20"/>
              </w:rPr>
              <w:t xml:space="preserve">201.746,30 </w:t>
            </w:r>
          </w:p>
        </w:tc>
      </w:tr>
      <w:tr w:rsidR="007617AD">
        <w:trPr>
          <w:trHeight w:val="367"/>
        </w:trPr>
        <w:tc>
          <w:tcPr>
            <w:tcW w:w="90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7" w:firstLine="0"/>
              <w:jc w:val="center"/>
            </w:pPr>
            <w:r>
              <w:rPr>
                <w:b/>
                <w:sz w:val="20"/>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b/>
                <w:sz w:val="20"/>
              </w:rPr>
              <w:t xml:space="preserve">01100.35900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b/>
                <w:sz w:val="20"/>
              </w:rPr>
              <w:t>Otros Gastos financieros</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b/>
                <w:sz w:val="20"/>
              </w:rPr>
              <w:t>100.000,00</w:t>
            </w:r>
            <w:r>
              <w:rPr>
                <w:rFonts w:ascii="Times New Roman" w:eastAsia="Times New Roman" w:hAnsi="Times New Roman" w:cs="Times New Roman"/>
                <w:sz w:val="24"/>
              </w:rPr>
              <w:t xml:space="preserve"> </w:t>
            </w:r>
          </w:p>
        </w:tc>
      </w:tr>
      <w:tr w:rsidR="007617AD">
        <w:trPr>
          <w:trHeight w:val="252"/>
        </w:trPr>
        <w:tc>
          <w:tcPr>
            <w:tcW w:w="6912" w:type="dxa"/>
            <w:gridSpan w:val="3"/>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5" w:firstLine="0"/>
              <w:jc w:val="center"/>
            </w:pPr>
            <w:r>
              <w:rPr>
                <w:b/>
                <w:sz w:val="20"/>
              </w:rPr>
              <w:t>Total</w:t>
            </w:r>
            <w:r>
              <w:rPr>
                <w:rFonts w:ascii="Times New Roman" w:eastAsia="Times New Roman" w:hAnsi="Times New Roman" w:cs="Times New Roman"/>
                <w:sz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b/>
                <w:sz w:val="20"/>
              </w:rPr>
              <w:t xml:space="preserve">301.746,30 </w:t>
            </w:r>
          </w:p>
        </w:tc>
      </w:tr>
    </w:tbl>
    <w:p w:rsidR="007617AD" w:rsidRDefault="00EE75C8">
      <w:pPr>
        <w:spacing w:after="32" w:line="259" w:lineRule="auto"/>
        <w:ind w:left="848" w:firstLine="0"/>
        <w:jc w:val="left"/>
      </w:pPr>
      <w:r>
        <w:rPr>
          <w:b/>
          <w:sz w:val="20"/>
        </w:rPr>
        <w:t xml:space="preserve"> </w:t>
      </w:r>
      <w:r>
        <w:rPr>
          <w:b/>
          <w:sz w:val="20"/>
        </w:rPr>
        <w:tab/>
        <w:t xml:space="preserve"> </w:t>
      </w:r>
      <w:r>
        <w:rPr>
          <w:b/>
          <w:sz w:val="20"/>
        </w:rPr>
        <w:tab/>
        <w:t xml:space="preserve"> </w:t>
      </w:r>
      <w:r>
        <w:rPr>
          <w:b/>
          <w:sz w:val="20"/>
        </w:rPr>
        <w:tab/>
        <w:t xml:space="preserve"> </w:t>
      </w:r>
    </w:p>
    <w:p w:rsidR="007617AD" w:rsidRDefault="00EE75C8">
      <w:pPr>
        <w:spacing w:after="0" w:line="259" w:lineRule="auto"/>
        <w:ind w:left="10" w:right="352"/>
        <w:jc w:val="center"/>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0904" name="Group 26090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6629" name="Rectangle 662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6630" name="Rectangle 6630"/>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37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0904" style="width:12.7031pt;height:280.02pt;position:absolute;mso-position-horizontal-relative:page;mso-position-horizontal:absolute;margin-left:682.278pt;mso-position-vertical-relative:page;margin-top:531.9pt;" coordsize="1613,35562">
                <v:rect id="Rectangle 662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6630"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192 </w:t>
                        </w:r>
                      </w:p>
                    </w:txbxContent>
                  </v:textbox>
                </v:rect>
                <w10:wrap type="square"/>
              </v:group>
            </w:pict>
          </mc:Fallback>
        </mc:AlternateContent>
      </w:r>
      <w:r>
        <w:rPr>
          <w:b/>
          <w:sz w:val="20"/>
        </w:rPr>
        <w:t>Estados de Ingresos</w:t>
      </w:r>
      <w:r>
        <w:rPr>
          <w:rFonts w:ascii="Times New Roman" w:eastAsia="Times New Roman" w:hAnsi="Times New Roman" w:cs="Times New Roman"/>
          <w:sz w:val="24"/>
        </w:rPr>
        <w:t xml:space="preserve"> </w:t>
      </w:r>
    </w:p>
    <w:tbl>
      <w:tblPr>
        <w:tblStyle w:val="TableGrid"/>
        <w:tblW w:w="8440" w:type="dxa"/>
        <w:tblInd w:w="779" w:type="dxa"/>
        <w:tblCellMar>
          <w:top w:w="7" w:type="dxa"/>
          <w:left w:w="70" w:type="dxa"/>
          <w:bottom w:w="0" w:type="dxa"/>
          <w:right w:w="8" w:type="dxa"/>
        </w:tblCellMar>
        <w:tblLook w:val="04A0" w:firstRow="1" w:lastRow="0" w:firstColumn="1" w:lastColumn="0" w:noHBand="0" w:noVBand="1"/>
      </w:tblPr>
      <w:tblGrid>
        <w:gridCol w:w="2214"/>
        <w:gridCol w:w="4698"/>
        <w:gridCol w:w="1528"/>
      </w:tblGrid>
      <w:tr w:rsidR="007617AD">
        <w:trPr>
          <w:trHeight w:val="487"/>
        </w:trPr>
        <w:tc>
          <w:tcPr>
            <w:tcW w:w="221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4" w:firstLine="0"/>
              <w:jc w:val="center"/>
            </w:pPr>
            <w:r>
              <w:rPr>
                <w:b/>
                <w:sz w:val="20"/>
              </w:rPr>
              <w:t xml:space="preserve">Aplicación </w:t>
            </w:r>
          </w:p>
        </w:tc>
        <w:tc>
          <w:tcPr>
            <w:tcW w:w="46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firstLine="0"/>
              <w:jc w:val="left"/>
            </w:pPr>
            <w:r>
              <w:rPr>
                <w:b/>
                <w:sz w:val="20"/>
              </w:rPr>
              <w:t xml:space="preserve">Denominación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617AD" w:rsidRDefault="00EE75C8">
            <w:pPr>
              <w:spacing w:after="0" w:line="259" w:lineRule="auto"/>
              <w:ind w:left="0" w:right="61" w:firstLine="0"/>
              <w:jc w:val="center"/>
            </w:pPr>
            <w:r>
              <w:rPr>
                <w:b/>
                <w:sz w:val="20"/>
              </w:rPr>
              <w:t xml:space="preserve">Importe </w:t>
            </w:r>
          </w:p>
        </w:tc>
      </w:tr>
      <w:tr w:rsidR="007617AD">
        <w:trPr>
          <w:trHeight w:val="311"/>
        </w:trPr>
        <w:tc>
          <w:tcPr>
            <w:tcW w:w="221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5" w:firstLine="0"/>
              <w:jc w:val="center"/>
            </w:pPr>
            <w:r>
              <w:rPr>
                <w:b/>
                <w:sz w:val="20"/>
              </w:rPr>
              <w:t xml:space="preserve">870.00 </w:t>
            </w:r>
          </w:p>
        </w:tc>
        <w:tc>
          <w:tcPr>
            <w:tcW w:w="469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b/>
                <w:sz w:val="20"/>
              </w:rPr>
              <w:t xml:space="preserve">Remanente de Tesorería para gastos generales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b/>
                <w:sz w:val="20"/>
              </w:rPr>
              <w:t>301.746,30</w:t>
            </w:r>
            <w:r>
              <w:rPr>
                <w:rFonts w:ascii="Times New Roman" w:eastAsia="Times New Roman" w:hAnsi="Times New Roman" w:cs="Times New Roman"/>
                <w:sz w:val="24"/>
              </w:rPr>
              <w:t xml:space="preserve"> </w:t>
            </w:r>
          </w:p>
        </w:tc>
      </w:tr>
      <w:tr w:rsidR="007617AD">
        <w:trPr>
          <w:trHeight w:val="250"/>
        </w:trPr>
        <w:tc>
          <w:tcPr>
            <w:tcW w:w="2214"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4698" w:type="dxa"/>
            <w:tcBorders>
              <w:top w:val="single" w:sz="4" w:space="0" w:color="000000"/>
              <w:left w:val="nil"/>
              <w:bottom w:val="single" w:sz="4" w:space="0" w:color="000000"/>
              <w:right w:val="single" w:sz="4" w:space="0" w:color="000000"/>
            </w:tcBorders>
          </w:tcPr>
          <w:p w:rsidR="007617AD" w:rsidRDefault="00EE75C8">
            <w:pPr>
              <w:spacing w:after="0" w:line="259" w:lineRule="auto"/>
              <w:ind w:left="939" w:firstLine="0"/>
              <w:jc w:val="left"/>
            </w:pPr>
            <w:r>
              <w:rPr>
                <w:b/>
                <w:sz w:val="20"/>
              </w:rPr>
              <w:t xml:space="preserve">Total </w:t>
            </w:r>
          </w:p>
        </w:tc>
        <w:tc>
          <w:tcPr>
            <w:tcW w:w="1528"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3" w:firstLine="0"/>
              <w:jc w:val="right"/>
            </w:pPr>
            <w:r>
              <w:rPr>
                <w:b/>
                <w:sz w:val="20"/>
              </w:rPr>
              <w:t xml:space="preserve">301.746,30 </w:t>
            </w:r>
          </w:p>
        </w:tc>
      </w:tr>
    </w:tbl>
    <w:p w:rsidR="007617AD" w:rsidRDefault="00EE75C8">
      <w:pPr>
        <w:spacing w:after="110" w:line="259" w:lineRule="auto"/>
        <w:ind w:left="708" w:firstLine="0"/>
        <w:jc w:val="left"/>
      </w:pPr>
      <w:r>
        <w:rPr>
          <w:b/>
          <w:sz w:val="18"/>
        </w:rPr>
        <w:t xml:space="preserve"> </w:t>
      </w:r>
    </w:p>
    <w:p w:rsidR="007617AD" w:rsidRDefault="00EE75C8">
      <w:pPr>
        <w:spacing w:after="15" w:line="259" w:lineRule="auto"/>
        <w:ind w:left="708" w:firstLine="0"/>
        <w:jc w:val="left"/>
      </w:pPr>
      <w:r>
        <w:rPr>
          <w:rFonts w:ascii="Times New Roman" w:eastAsia="Times New Roman" w:hAnsi="Times New Roman" w:cs="Times New Roman"/>
          <w:b/>
          <w:sz w:val="18"/>
        </w:rPr>
        <w:t xml:space="preserve"> </w:t>
      </w:r>
    </w:p>
    <w:p w:rsidR="007617AD" w:rsidRDefault="00EE75C8">
      <w:pPr>
        <w:spacing w:after="0"/>
        <w:ind w:left="703" w:right="58"/>
      </w:pPr>
      <w:r>
        <w:rPr>
          <w:b/>
        </w:rPr>
        <w:t xml:space="preserve">SEGUNDO. - </w:t>
      </w:r>
      <w:r>
        <w:rPr>
          <w:b/>
        </w:rPr>
        <w:t>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r>
        <w:rPr>
          <w:b/>
        </w:rPr>
        <w:tab/>
        <w:t xml:space="preserve"> </w:t>
      </w:r>
    </w:p>
    <w:p w:rsidR="007617AD" w:rsidRDefault="00EE75C8">
      <w:pPr>
        <w:spacing w:after="0"/>
        <w:ind w:left="703" w:right="58"/>
      </w:pPr>
      <w:r>
        <w:rPr>
          <w:b/>
        </w:rPr>
        <w:t>TERCERO. - El expediente se considerará def</w:t>
      </w:r>
      <w:r>
        <w:rPr>
          <w:b/>
        </w:rPr>
        <w:t>initivamente aprobado si durante el</w:t>
      </w:r>
      <w:r>
        <w:t xml:space="preserve"> </w:t>
      </w:r>
      <w:r>
        <w:rPr>
          <w:b/>
        </w:rPr>
        <w:t>citado plazo no se hubiesen presentado reclamaciones, en caso contrario el Pleno dispondrá de un mes para resolverlas. El expediente definitivamente aprobado, será insertado en el boletín oficial de la provincia.</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101" w:line="241" w:lineRule="auto"/>
        <w:ind w:left="703" w:right="56"/>
      </w:pPr>
      <w:r>
        <w:rPr>
          <w:b/>
          <w:sz w:val="24"/>
        </w:rPr>
        <w:t xml:space="preserve">3.- Expediente 5316/2022. Propuesta del Concejal delegado de Hacienda de fecha 22 de junio de 2022 al Pleno de modificación presupuestaria por crédito extraordinario por importe de 1.380.537,83 euros. </w:t>
      </w:r>
    </w:p>
    <w:p w:rsidR="007617AD" w:rsidRDefault="00EE75C8">
      <w:pPr>
        <w:spacing w:after="79" w:line="259" w:lineRule="auto"/>
        <w:ind w:left="708" w:firstLine="0"/>
        <w:jc w:val="left"/>
      </w:pPr>
      <w:r>
        <w:rPr>
          <w:b/>
          <w:sz w:val="24"/>
        </w:rPr>
        <w:t xml:space="preserve"> </w:t>
      </w:r>
    </w:p>
    <w:p w:rsidR="007617AD" w:rsidRDefault="00EE75C8">
      <w:pPr>
        <w:spacing w:after="0"/>
        <w:ind w:left="703" w:right="58"/>
      </w:pPr>
      <w:r>
        <w:rPr>
          <w:b/>
        </w:rPr>
        <w:t>Consta en el expediente propuesta de la Alcaldesa-Presidenta, de fecha 22 de junio de 2022, cuyo tenor literal es el siguiente:</w:t>
      </w:r>
      <w:r>
        <w:rPr>
          <w:rFonts w:ascii="Times New Roman" w:eastAsia="Times New Roman" w:hAnsi="Times New Roman" w:cs="Times New Roman"/>
          <w:sz w:val="24"/>
        </w:rPr>
        <w:t xml:space="preserve"> </w:t>
      </w:r>
    </w:p>
    <w:p w:rsidR="007617AD" w:rsidRDefault="00EE75C8">
      <w:pPr>
        <w:spacing w:after="40" w:line="259" w:lineRule="auto"/>
        <w:ind w:left="708" w:firstLine="0"/>
        <w:jc w:val="left"/>
      </w:pPr>
      <w:r>
        <w:rPr>
          <w:b/>
        </w:rPr>
        <w:t xml:space="preserve"> </w:t>
      </w:r>
    </w:p>
    <w:p w:rsidR="007617AD" w:rsidRDefault="00EE75C8">
      <w:pPr>
        <w:spacing w:after="44"/>
        <w:ind w:left="693" w:right="62" w:firstLine="708"/>
      </w:pPr>
      <w:r>
        <w:t>“El Ayuntamiento de Candelaria necesita créditos extraordinarios a los consignados en el Presupuesto vigente para llevar a ca</w:t>
      </w:r>
      <w:r>
        <w:t>bo actuaciones de mejora de instalaciones e infraestructuras municipales con ocasión de la ejecución de las obras siguientes, según memoria-propuesta:</w:t>
      </w:r>
      <w:r>
        <w:rPr>
          <w:rFonts w:ascii="Times New Roman" w:eastAsia="Times New Roman" w:hAnsi="Times New Roman" w:cs="Times New Roman"/>
          <w:sz w:val="24"/>
        </w:rPr>
        <w:t xml:space="preserve"> </w:t>
      </w:r>
    </w:p>
    <w:p w:rsidR="007617AD" w:rsidRDefault="00EE75C8">
      <w:pPr>
        <w:spacing w:after="50" w:line="259" w:lineRule="auto"/>
        <w:ind w:left="1416" w:firstLine="0"/>
        <w:jc w:val="left"/>
      </w:pPr>
      <w:r>
        <w:t xml:space="preserve"> </w:t>
      </w:r>
    </w:p>
    <w:p w:rsidR="007617AD" w:rsidRDefault="00EE75C8">
      <w:pPr>
        <w:numPr>
          <w:ilvl w:val="0"/>
          <w:numId w:val="15"/>
        </w:numPr>
        <w:spacing w:after="0"/>
        <w:ind w:right="62" w:hanging="360"/>
      </w:pPr>
      <w:r>
        <w:rPr>
          <w:b/>
        </w:rPr>
        <w:t xml:space="preserve">Reasfaltado Parking los Brezos, </w:t>
      </w:r>
      <w:r>
        <w:t xml:space="preserve">por un importe total de </w:t>
      </w:r>
      <w:r>
        <w:rPr>
          <w:b/>
        </w:rPr>
        <w:t xml:space="preserve">20.551,49€: </w:t>
      </w:r>
      <w:r>
        <w:t>Visto el mal estado en que se encuentra el asfalto de la zona de aparcamiento del Parque recreativo Los Brezos, se ha visto la necesidad de dedicar una partida de asfaltado, con el objeto de mejorar el acceso al mismo y facilitar también la accesibilidad d</w:t>
      </w:r>
      <w:r>
        <w:t>e personas con movilidad reducida.</w:t>
      </w:r>
      <w:r>
        <w:rPr>
          <w:rFonts w:ascii="Times New Roman" w:eastAsia="Times New Roman" w:hAnsi="Times New Roman" w:cs="Times New Roman"/>
          <w:sz w:val="24"/>
        </w:rPr>
        <w:t xml:space="preserve"> </w:t>
      </w:r>
    </w:p>
    <w:p w:rsidR="007617AD" w:rsidRDefault="00EE75C8">
      <w:pPr>
        <w:numPr>
          <w:ilvl w:val="0"/>
          <w:numId w:val="15"/>
        </w:numPr>
        <w:spacing w:after="0"/>
        <w:ind w:right="62" w:hanging="360"/>
      </w:pPr>
      <w:r>
        <w:rPr>
          <w:b/>
        </w:rPr>
        <w:t xml:space="preserve">Asfaltado trasera polideportivo Cuevecitas, </w:t>
      </w:r>
      <w:r>
        <w:t>por un importe total de</w:t>
      </w:r>
      <w:r>
        <w:rPr>
          <w:b/>
        </w:rPr>
        <w:t xml:space="preserve"> 17.242,35 euros </w:t>
      </w:r>
      <w:r>
        <w:t>Vista la necesidad de acondicionar los alrededores del pabellón de las cuevecitas, debido al mal estado del firme. para subsanarlo se pr</w:t>
      </w:r>
      <w:r>
        <w:t>opone el asfaltado de la parte trasera del centro y convertirlo en un parquin público para los usuarios del mismo.</w:t>
      </w:r>
      <w:r>
        <w:rPr>
          <w:rFonts w:ascii="Times New Roman" w:eastAsia="Times New Roman" w:hAnsi="Times New Roman" w:cs="Times New Roman"/>
          <w:sz w:val="24"/>
        </w:rPr>
        <w:t xml:space="preserve"> </w:t>
      </w:r>
    </w:p>
    <w:p w:rsidR="007617AD" w:rsidRDefault="00EE75C8">
      <w:pPr>
        <w:numPr>
          <w:ilvl w:val="0"/>
          <w:numId w:val="15"/>
        </w:numPr>
        <w:spacing w:after="0"/>
        <w:ind w:right="62" w:hanging="360"/>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6759" name="Group 25675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6761" name="Rectangle 676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6762" name="Rectangle 6762"/>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w:t>
                              </w:r>
                              <w:r>
                                <w:rPr>
                                  <w:sz w:val="12"/>
                                </w:rPr>
                                <w:t xml:space="preserve">sde la plataforma esPublico Gestiona | Página 38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6759" style="width:12.7031pt;height:280.02pt;position:absolute;mso-position-horizontal-relative:page;mso-position-horizontal:absolute;margin-left:682.278pt;mso-position-vertical-relative:page;margin-top:531.9pt;" coordsize="1613,35562">
                <v:rect id="Rectangle 676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6762"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192 </w:t>
                        </w:r>
                      </w:p>
                    </w:txbxContent>
                  </v:textbox>
                </v:rect>
                <w10:wrap type="square"/>
              </v:group>
            </w:pict>
          </mc:Fallback>
        </mc:AlternateContent>
      </w:r>
      <w:r>
        <w:rPr>
          <w:b/>
        </w:rPr>
        <w:t xml:space="preserve">Acondicionamiento zonas de aparcamientos, </w:t>
      </w:r>
      <w:r>
        <w:t>por un total de</w:t>
      </w:r>
      <w:r>
        <w:rPr>
          <w:b/>
        </w:rPr>
        <w:t xml:space="preserve"> 110.551,49€ </w:t>
      </w:r>
      <w:r>
        <w:t>Vista la necesidad de crear nuevas áreas de aparcamiento en diferentes zonas del Municipio, y debido a la demanda creciente, se h</w:t>
      </w:r>
      <w:r>
        <w:t>a visto la necesidad de dedicar una partida de acondicionamiento de dichos espacios.</w:t>
      </w:r>
      <w:r>
        <w:rPr>
          <w:rFonts w:ascii="Times New Roman" w:eastAsia="Times New Roman" w:hAnsi="Times New Roman" w:cs="Times New Roman"/>
          <w:sz w:val="24"/>
        </w:rPr>
        <w:t xml:space="preserve"> </w:t>
      </w:r>
    </w:p>
    <w:p w:rsidR="007617AD" w:rsidRDefault="00EE75C8">
      <w:pPr>
        <w:numPr>
          <w:ilvl w:val="0"/>
          <w:numId w:val="15"/>
        </w:numPr>
        <w:spacing w:after="0"/>
        <w:ind w:right="62" w:hanging="360"/>
      </w:pPr>
      <w:r>
        <w:rPr>
          <w:b/>
        </w:rPr>
        <w:t>Renovación de Parques Infantiles</w:t>
      </w:r>
      <w:r>
        <w:t xml:space="preserve"> por importe de 186.187,85 €. Los diferentes juegos e instalaciones que conforman los Parques Infantiles son elementos fundamentales en lo</w:t>
      </w:r>
      <w:r>
        <w:t>s servicios que presta el Ayuntamiento de Candelaria a la ciudadanía, principalmente a los/as más pequeños/as. Garantizar un espacio público inclusivo de juego e socialización entre los más pequeños ha sido siempre un objetivo prioritario para esta Corpora</w:t>
      </w:r>
      <w:r>
        <w:t>ción. Prueba de ello, es la creación de cinco parques inclusivos con elementos accesibles en estos dos últimos años. Se hace necesario la renovación tanto de los elementos de juego como de sus espacios, ya que estos parques instalados en la vía pública est</w:t>
      </w:r>
      <w:r>
        <w:t>án sometidos a un uso diario continuado, a los efectos del clima por la alta insolación y su cercanía al mar, a la contaminación, etc, que en la mayoría de los parques provoca un avanzado estado de deterioro que se traduce principalmente en problemas de se</w:t>
      </w:r>
      <w:r>
        <w:t>guridad para sus principales usuarios/as, los/as niños/as.</w:t>
      </w:r>
      <w:r>
        <w:rPr>
          <w:rFonts w:ascii="Times New Roman" w:eastAsia="Times New Roman" w:hAnsi="Times New Roman" w:cs="Times New Roman"/>
          <w:sz w:val="24"/>
        </w:rPr>
        <w:t xml:space="preserve"> </w:t>
      </w:r>
    </w:p>
    <w:p w:rsidR="007617AD" w:rsidRDefault="00EE75C8">
      <w:pPr>
        <w:numPr>
          <w:ilvl w:val="0"/>
          <w:numId w:val="15"/>
        </w:numPr>
        <w:spacing w:after="0"/>
        <w:ind w:right="62" w:hanging="360"/>
      </w:pPr>
      <w:r>
        <w:rPr>
          <w:b/>
        </w:rPr>
        <w:t xml:space="preserve">Cubierta y ampliación parque Ebar Punta Larga </w:t>
      </w:r>
      <w:r>
        <w:t>Este parque, localizado junto al EBAR e Punta Larga, fue objeto renovación hace tres años, instalan o nuevos elementos e juego inclusivos, así como un</w:t>
      </w:r>
      <w:r>
        <w:t xml:space="preserve">a gran zona de sombra, su ubicación, cerca e varias zonas residenciales, el paseo marítimo fe Punta Larga y zonas de restauración hace que tenga una gran afluencia de niños/as </w:t>
      </w:r>
      <w:r>
        <w:rPr>
          <w:rFonts w:ascii="Times New Roman" w:eastAsia="Times New Roman" w:hAnsi="Times New Roman" w:cs="Times New Roman"/>
          <w:sz w:val="24"/>
        </w:rPr>
        <w:t xml:space="preserve"> </w:t>
      </w:r>
    </w:p>
    <w:p w:rsidR="007617AD" w:rsidRDefault="00EE75C8">
      <w:pPr>
        <w:tabs>
          <w:tab w:val="center" w:pos="1105"/>
          <w:tab w:val="center" w:pos="1428"/>
        </w:tabs>
        <w:spacing w:after="18"/>
        <w:ind w:left="0" w:firstLine="0"/>
        <w:jc w:val="left"/>
      </w:pPr>
      <w:r>
        <w:rPr>
          <w:rFonts w:ascii="Calibri" w:eastAsia="Calibri" w:hAnsi="Calibri" w:cs="Calibri"/>
        </w:rPr>
        <w:tab/>
      </w:r>
      <w:r>
        <w:rPr>
          <w:b/>
        </w:rPr>
        <w:t xml:space="preserve">- </w:t>
      </w:r>
      <w:r>
        <w:rPr>
          <w:b/>
        </w:rPr>
        <w:tab/>
      </w:r>
      <w:r>
        <w:t xml:space="preserve"> </w:t>
      </w:r>
    </w:p>
    <w:p w:rsidR="007617AD" w:rsidRDefault="00EE75C8">
      <w:pPr>
        <w:numPr>
          <w:ilvl w:val="0"/>
          <w:numId w:val="15"/>
        </w:numPr>
        <w:spacing w:after="0"/>
        <w:ind w:right="62" w:hanging="360"/>
      </w:pPr>
      <w:r>
        <w:rPr>
          <w:b/>
        </w:rPr>
        <w:t>Parque infantil las Cuevecitas</w:t>
      </w:r>
      <w:r>
        <w:t xml:space="preserve"> por importe de 48.977,55 €, se hace neces</w:t>
      </w:r>
      <w:r>
        <w:t>ario la creación de un nuevo parque infantil en el núcleo de medianías de Las Cuevecitas, proponiendo su instalación en un espacio libre sin uso junto al nuevo Pabellón Deportivo. Actualmente, Las Cuevecitas sólo cuenta con un pequeño parque infantil de 12</w:t>
      </w:r>
      <w:r>
        <w:t>,00 m2 para menos de 2 años instalado junto al Centro Cultural de Las Cuevecitas. Consultada tabla estadística de población entre 0 y 9 años en la entidad de Las Cuevecitas, se comprueba que en el año 2020 estaban empadronados 100 niños/as.</w:t>
      </w:r>
      <w:r>
        <w:rPr>
          <w:rFonts w:ascii="Times New Roman" w:eastAsia="Times New Roman" w:hAnsi="Times New Roman" w:cs="Times New Roman"/>
          <w:sz w:val="24"/>
        </w:rPr>
        <w:t xml:space="preserve"> </w:t>
      </w:r>
    </w:p>
    <w:p w:rsidR="007617AD" w:rsidRDefault="00EE75C8">
      <w:pPr>
        <w:numPr>
          <w:ilvl w:val="0"/>
          <w:numId w:val="15"/>
        </w:numPr>
        <w:spacing w:after="0"/>
        <w:ind w:right="62" w:hanging="360"/>
      </w:pPr>
      <w:r>
        <w:rPr>
          <w:b/>
        </w:rPr>
        <w:t xml:space="preserve">Reformas en Colegios Igueste, Principe Felipe y Carmen Alvarez de la Rosa </w:t>
      </w:r>
      <w:r>
        <w:t>por importe de 165.511,77 euros para el buen funcionamiento de los mismos y acondicionamiento por el deterioro de las instalaciones y cumplir con la normativa vigente</w:t>
      </w:r>
      <w:r>
        <w:rPr>
          <w:rFonts w:ascii="Times New Roman" w:eastAsia="Times New Roman" w:hAnsi="Times New Roman" w:cs="Times New Roman"/>
          <w:sz w:val="24"/>
        </w:rPr>
        <w:t xml:space="preserve"> </w:t>
      </w:r>
    </w:p>
    <w:p w:rsidR="007617AD" w:rsidRDefault="00EE75C8">
      <w:pPr>
        <w:numPr>
          <w:ilvl w:val="0"/>
          <w:numId w:val="15"/>
        </w:numPr>
        <w:spacing w:after="1"/>
        <w:ind w:right="62" w:hanging="360"/>
      </w:pPr>
      <w:r>
        <w:rPr>
          <w:b/>
        </w:rPr>
        <w:t xml:space="preserve">La Concejalía </w:t>
      </w:r>
      <w:r>
        <w:rPr>
          <w:b/>
        </w:rPr>
        <w:t>de Cultura del Ayuntamiento de Candelaria</w:t>
      </w:r>
      <w:r>
        <w:t xml:space="preserve"> gestiona y es la responsable del mantenimiento y usos de los distintos espacios y centros culturales, así como de la gestión cultural municipal, con un plan cultural de actuación bien definido que se denomina “Cand</w:t>
      </w:r>
      <w:r>
        <w:t>elaria es cultura”, con una amplia y variada programación.</w:t>
      </w:r>
      <w:r>
        <w:rPr>
          <w:rFonts w:ascii="Times New Roman" w:eastAsia="Times New Roman" w:hAnsi="Times New Roman" w:cs="Times New Roman"/>
          <w:sz w:val="24"/>
        </w:rPr>
        <w:t xml:space="preserve"> </w:t>
      </w:r>
    </w:p>
    <w:p w:rsidR="007617AD" w:rsidRDefault="00EE75C8">
      <w:pPr>
        <w:spacing w:after="92"/>
        <w:ind w:left="1438" w:right="62"/>
      </w:pPr>
      <w:r>
        <w:t>También entendemos la gestión del mantenimiento como uno de los factores clave para cualquier administración pública, permitiendo adoptar decisiones desde la perspectiva de la eficacia y economía,</w:t>
      </w:r>
      <w:r>
        <w:t xml:space="preserve"> así como posibilitando un control de gestión sobre los bienes o activos de la entidad. </w:t>
      </w:r>
    </w:p>
    <w:p w:rsidR="007617AD" w:rsidRDefault="00EE75C8">
      <w:pPr>
        <w:spacing w:after="92"/>
        <w:ind w:left="1438" w:right="62"/>
      </w:pPr>
      <w:r>
        <w:t>Vista la inexcusable necesidad, por motivos de mantener la actividad en los diferentes centros y espacios culturales y su entorno, se hace urgente el proceder a mejora</w:t>
      </w:r>
      <w:r>
        <w:t xml:space="preserve">r dichos espacios con equipamiento renovado y el mantenimiento de las instalaciones y los elementos que la componen. </w:t>
      </w:r>
    </w:p>
    <w:p w:rsidR="007617AD" w:rsidRDefault="00EE75C8">
      <w:pPr>
        <w:spacing w:after="92"/>
        <w:ind w:left="1426" w:right="62"/>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8926" name="Group 25892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6951" name="Rectangle 695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6952" name="Rectangle 6952"/>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39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8926" style="width:12.7031pt;height:280.02pt;position:absolute;mso-position-horizontal-relative:page;mso-position-horizontal:absolute;margin-left:682.278pt;mso-position-vertical-relative:page;margin-top:531.9pt;" coordsize="1613,35562">
                <v:rect id="Rectangle 695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6952"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192 </w:t>
                        </w:r>
                      </w:p>
                    </w:txbxContent>
                  </v:textbox>
                </v:rect>
                <w10:wrap type="square"/>
              </v:group>
            </w:pict>
          </mc:Fallback>
        </mc:AlternateContent>
      </w:r>
      <w:r>
        <w:t>Se justifica el gasto por la creciente demanda de servicios públicos, con el fin de continuar con el mantenimiento de las instalaciones municipales, necesario par</w:t>
      </w:r>
      <w:r>
        <w:t xml:space="preserve">a que las mismas se encuentren en un estado óptimo de conservación para su uso y disfrute por parte de la ciudadanía, y continuar con el desarrollo de la programación cultural anual, se propone la dotación de los siguientes gastos: </w:t>
      </w:r>
    </w:p>
    <w:p w:rsidR="007617AD" w:rsidRDefault="00EE75C8">
      <w:pPr>
        <w:spacing w:after="0" w:line="259" w:lineRule="auto"/>
        <w:ind w:left="1416" w:firstLine="0"/>
        <w:jc w:val="left"/>
      </w:pPr>
      <w:r>
        <w:t xml:space="preserve"> </w:t>
      </w:r>
    </w:p>
    <w:tbl>
      <w:tblPr>
        <w:tblStyle w:val="TableGrid"/>
        <w:tblW w:w="8584" w:type="dxa"/>
        <w:tblInd w:w="1200" w:type="dxa"/>
        <w:tblCellMar>
          <w:top w:w="127" w:type="dxa"/>
          <w:left w:w="108" w:type="dxa"/>
          <w:bottom w:w="0" w:type="dxa"/>
          <w:right w:w="50" w:type="dxa"/>
        </w:tblCellMar>
        <w:tblLook w:val="04A0" w:firstRow="1" w:lastRow="0" w:firstColumn="1" w:lastColumn="0" w:noHBand="0" w:noVBand="1"/>
      </w:tblPr>
      <w:tblGrid>
        <w:gridCol w:w="6954"/>
        <w:gridCol w:w="1630"/>
      </w:tblGrid>
      <w:tr w:rsidR="007617AD">
        <w:trPr>
          <w:trHeight w:val="710"/>
        </w:trPr>
        <w:tc>
          <w:tcPr>
            <w:tcW w:w="695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0" w:firstLine="0"/>
              <w:jc w:val="center"/>
            </w:pPr>
            <w:r>
              <w:rPr>
                <w:b/>
                <w:sz w:val="20"/>
              </w:rPr>
              <w:t>Denominación del gast</w:t>
            </w:r>
            <w:r>
              <w:rPr>
                <w:b/>
                <w:sz w:val="20"/>
              </w:rPr>
              <w:t xml:space="preserve">o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center"/>
            </w:pPr>
            <w:r>
              <w:rPr>
                <w:b/>
                <w:sz w:val="20"/>
              </w:rPr>
              <w:t xml:space="preserve">Importe de la Modificación </w:t>
            </w:r>
          </w:p>
        </w:tc>
      </w:tr>
      <w:tr w:rsidR="007617AD">
        <w:trPr>
          <w:trHeight w:val="480"/>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left"/>
            </w:pPr>
            <w:r>
              <w:rPr>
                <w:sz w:val="20"/>
              </w:rPr>
              <w:t>1. Obras de cerramiento de aluminio de Centros Culturales. Malpaís.</w:t>
            </w:r>
            <w:r>
              <w:rPr>
                <w:rFonts w:ascii="Times New Roman" w:eastAsia="Times New Roman" w:hAnsi="Times New Roman" w:cs="Times New Roman"/>
                <w:sz w:val="24"/>
              </w:rP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3" w:firstLine="0"/>
              <w:jc w:val="right"/>
            </w:pPr>
            <w:r>
              <w:rPr>
                <w:sz w:val="20"/>
              </w:rPr>
              <w:t>22.219,99 €</w:t>
            </w:r>
            <w:r>
              <w:rPr>
                <w:rFonts w:ascii="Times New Roman" w:eastAsia="Times New Roman" w:hAnsi="Times New Roman" w:cs="Times New Roman"/>
                <w:sz w:val="24"/>
              </w:rPr>
              <w:t xml:space="preserve"> </w:t>
            </w:r>
          </w:p>
        </w:tc>
      </w:tr>
      <w:tr w:rsidR="007617AD">
        <w:trPr>
          <w:trHeight w:val="708"/>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pPr>
            <w:r>
              <w:rPr>
                <w:sz w:val="20"/>
              </w:rPr>
              <w:t>2. Obras de cerramiento de aluminio de Centros Culturales. Cine Viejo- Local Plaza del CIT.</w:t>
            </w:r>
            <w:r>
              <w:rPr>
                <w:rFonts w:ascii="Times New Roman" w:eastAsia="Times New Roman" w:hAnsi="Times New Roman" w:cs="Times New Roman"/>
                <w:sz w:val="24"/>
              </w:rP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3" w:firstLine="0"/>
              <w:jc w:val="right"/>
            </w:pPr>
            <w:r>
              <w:rPr>
                <w:sz w:val="20"/>
              </w:rPr>
              <w:t>12.232,00 €</w:t>
            </w:r>
            <w:r>
              <w:rPr>
                <w:rFonts w:ascii="Times New Roman" w:eastAsia="Times New Roman" w:hAnsi="Times New Roman" w:cs="Times New Roman"/>
                <w:sz w:val="24"/>
              </w:rPr>
              <w:t xml:space="preserve"> </w:t>
            </w:r>
          </w:p>
        </w:tc>
      </w:tr>
      <w:tr w:rsidR="007617AD">
        <w:trPr>
          <w:trHeight w:val="481"/>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left"/>
            </w:pPr>
            <w:r>
              <w:rPr>
                <w:sz w:val="20"/>
              </w:rPr>
              <w:t>3. Obras del local de ensayo de la Nueva Banda de Igueste.</w:t>
            </w:r>
            <w:r>
              <w:rPr>
                <w:rFonts w:ascii="Times New Roman" w:eastAsia="Times New Roman" w:hAnsi="Times New Roman" w:cs="Times New Roman"/>
                <w:sz w:val="24"/>
              </w:rP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2" w:firstLine="0"/>
              <w:jc w:val="right"/>
            </w:pPr>
            <w:r>
              <w:rPr>
                <w:sz w:val="20"/>
              </w:rPr>
              <w:t>6.072,25 €</w:t>
            </w:r>
            <w:r>
              <w:rPr>
                <w:rFonts w:ascii="Times New Roman" w:eastAsia="Times New Roman" w:hAnsi="Times New Roman" w:cs="Times New Roman"/>
                <w:sz w:val="24"/>
              </w:rPr>
              <w:t xml:space="preserve"> </w:t>
            </w:r>
          </w:p>
        </w:tc>
      </w:tr>
      <w:tr w:rsidR="007617AD">
        <w:trPr>
          <w:trHeight w:val="710"/>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pPr>
            <w:r>
              <w:rPr>
                <w:sz w:val="20"/>
              </w:rPr>
              <w:t xml:space="preserve">4. Trabajos de creación de contenido cultural divulgativo sobre los grupos escultóricos del casco histórico de Candelaria.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2" w:firstLine="0"/>
              <w:jc w:val="right"/>
            </w:pPr>
            <w:r>
              <w:rPr>
                <w:sz w:val="20"/>
              </w:rPr>
              <w:t xml:space="preserve">3.500,00 € </w:t>
            </w:r>
          </w:p>
        </w:tc>
      </w:tr>
      <w:tr w:rsidR="007617AD">
        <w:trPr>
          <w:trHeight w:val="480"/>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57" w:firstLine="0"/>
              <w:jc w:val="right"/>
            </w:pPr>
            <w:r>
              <w:rPr>
                <w:b/>
                <w:sz w:val="20"/>
              </w:rPr>
              <w:t xml:space="preserve">Total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3" w:firstLine="0"/>
              <w:jc w:val="right"/>
            </w:pPr>
            <w:r>
              <w:rPr>
                <w:b/>
                <w:sz w:val="20"/>
              </w:rPr>
              <w:t>44.024,24 €</w:t>
            </w:r>
            <w:r>
              <w:rPr>
                <w:rFonts w:ascii="Times New Roman" w:eastAsia="Times New Roman" w:hAnsi="Times New Roman" w:cs="Times New Roman"/>
                <w:sz w:val="24"/>
              </w:rPr>
              <w:t xml:space="preserve"> </w:t>
            </w:r>
          </w:p>
        </w:tc>
      </w:tr>
    </w:tbl>
    <w:p w:rsidR="007617AD" w:rsidRDefault="00EE75C8">
      <w:pPr>
        <w:spacing w:after="76" w:line="259" w:lineRule="auto"/>
        <w:ind w:left="708" w:firstLine="0"/>
        <w:jc w:val="left"/>
      </w:pPr>
      <w:r>
        <w:t xml:space="preserve"> </w:t>
      </w:r>
    </w:p>
    <w:p w:rsidR="007617AD" w:rsidRDefault="00EE75C8">
      <w:pPr>
        <w:numPr>
          <w:ilvl w:val="0"/>
          <w:numId w:val="15"/>
        </w:numPr>
        <w:spacing w:after="0"/>
        <w:ind w:right="62" w:hanging="360"/>
      </w:pPr>
      <w:r>
        <w:rPr>
          <w:b/>
        </w:rPr>
        <w:t>La concejalía de deportes gestiona y es responsable del mantenimiento y uso de 45 instalaciones, infraestructuras y espacios</w:t>
      </w:r>
      <w:r>
        <w:t xml:space="preserve"> para la práctica del deporte y ocio.</w:t>
      </w:r>
      <w:r>
        <w:rPr>
          <w:rFonts w:ascii="Times New Roman" w:eastAsia="Times New Roman" w:hAnsi="Times New Roman" w:cs="Times New Roman"/>
          <w:sz w:val="24"/>
        </w:rPr>
        <w:t xml:space="preserve"> </w:t>
      </w:r>
      <w:r>
        <w:t>La cantidad de servicios, programas y actividades que en estas instalaciones deportivas se rea</w:t>
      </w:r>
      <w:r>
        <w:t>lizan, demandan un constante mantenimiento e inversión de su equipamiento.  Fruto de las labores de mantenimiento anual, y al constante uso que en estas instalaciones se realizan, en ocasiones no se prevé el gasto que determinadas incidencias de mantenimie</w:t>
      </w:r>
      <w:r>
        <w:t>nto correctivo pueden tener sobre la previsión de presupuesto anual. De igual manera, debido a la contente adaptación de los servicios y necesidades de la ciudadanía, se hace necesario ejecutar los proyectos y estudios previos que nos permitan contar con m</w:t>
      </w:r>
      <w:r>
        <w:t>ás instalaciones y de mejor equipamiento.</w:t>
      </w:r>
      <w:r>
        <w:rPr>
          <w:color w:val="FF0000"/>
        </w:rPr>
        <w:t xml:space="preserve"> </w:t>
      </w:r>
      <w:r>
        <w:rPr>
          <w:rFonts w:ascii="Times New Roman" w:eastAsia="Times New Roman" w:hAnsi="Times New Roman" w:cs="Times New Roman"/>
          <w:sz w:val="24"/>
        </w:rPr>
        <w:t xml:space="preserve"> </w:t>
      </w:r>
    </w:p>
    <w:p w:rsidR="007617AD" w:rsidRDefault="00EE75C8">
      <w:pPr>
        <w:spacing w:after="0" w:line="259" w:lineRule="auto"/>
        <w:ind w:left="1416" w:firstLine="0"/>
        <w:jc w:val="left"/>
      </w:pPr>
      <w:r>
        <w:rPr>
          <w:color w:val="FF0000"/>
        </w:rPr>
        <w:t xml:space="preserve"> </w:t>
      </w:r>
    </w:p>
    <w:p w:rsidR="007617AD" w:rsidRDefault="00EE75C8">
      <w:pPr>
        <w:spacing w:after="0"/>
        <w:ind w:left="1249" w:right="62"/>
      </w:pPr>
      <w:r>
        <w:t>La Ley 1/2019, de 30 de enero, de la actividad física y el deporte de Canarias, señala: en sus artículos 2,9 y 12 las funciones, reconocimiento y principios rectores del Deporte y las competencias de las admini</w:t>
      </w:r>
      <w:r>
        <w:t xml:space="preserve">straciones públicas Canarias. </w:t>
      </w:r>
      <w:r>
        <w:rPr>
          <w:rFonts w:ascii="Times New Roman" w:eastAsia="Times New Roman" w:hAnsi="Times New Roman" w:cs="Times New Roman"/>
          <w:sz w:val="24"/>
        </w:rPr>
        <w:t xml:space="preserve"> </w:t>
      </w:r>
    </w:p>
    <w:p w:rsidR="007617AD" w:rsidRDefault="00EE75C8">
      <w:pPr>
        <w:spacing w:after="0"/>
        <w:ind w:left="1249" w:right="62"/>
      </w:pPr>
      <w:r>
        <w:t>Es por ello, todo lo expuesto anteriormente queda suficientemente justificada la necesidad y urgencia de la modificación presupuestaria, siendo un gasto específico y determinado, y ante la imposibilidad de demorarlo a ejerci</w:t>
      </w:r>
      <w:r>
        <w:t xml:space="preserve">cios posteriores, se propone la dotación, por importe de </w:t>
      </w:r>
      <w:r>
        <w:rPr>
          <w:b/>
        </w:rPr>
        <w:t>399.637,94 euros</w:t>
      </w:r>
      <w:r>
        <w:t xml:space="preserve"> para la ejecución de cada uno de los siguientes gastos:</w:t>
      </w:r>
      <w:r>
        <w:rPr>
          <w:rFonts w:ascii="Times New Roman" w:eastAsia="Times New Roman" w:hAnsi="Times New Roman" w:cs="Times New Roman"/>
          <w:sz w:val="24"/>
        </w:rPr>
        <w:t xml:space="preserve"> </w:t>
      </w:r>
    </w:p>
    <w:p w:rsidR="007617AD" w:rsidRDefault="00EE75C8">
      <w:pPr>
        <w:spacing w:after="0" w:line="259" w:lineRule="auto"/>
        <w:ind w:left="1239"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7591" name="Group 257591"/>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7188" name="Rectangle 718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7189" name="Rectangle 7189"/>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40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7591" style="width:12.7031pt;height:280.02pt;position:absolute;mso-position-horizontal-relative:page;mso-position-horizontal:absolute;margin-left:682.278pt;mso-position-vertical-relative:page;margin-top:531.9pt;" coordsize="1613,35562">
                <v:rect id="Rectangle 718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7189"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192 </w:t>
                        </w:r>
                      </w:p>
                    </w:txbxContent>
                  </v:textbox>
                </v:rect>
                <w10:wrap type="square"/>
              </v:group>
            </w:pict>
          </mc:Fallback>
        </mc:AlternateContent>
      </w:r>
      <w:r>
        <w:rPr>
          <w:rFonts w:ascii="Times New Roman" w:eastAsia="Times New Roman" w:hAnsi="Times New Roman" w:cs="Times New Roman"/>
          <w:sz w:val="24"/>
        </w:rPr>
        <w:t xml:space="preserve"> </w:t>
      </w:r>
    </w:p>
    <w:tbl>
      <w:tblPr>
        <w:tblStyle w:val="TableGrid"/>
        <w:tblW w:w="7898" w:type="dxa"/>
        <w:tblInd w:w="1248" w:type="dxa"/>
        <w:tblCellMar>
          <w:top w:w="6" w:type="dxa"/>
          <w:left w:w="106" w:type="dxa"/>
          <w:bottom w:w="0" w:type="dxa"/>
          <w:right w:w="53" w:type="dxa"/>
        </w:tblCellMar>
        <w:tblLook w:val="04A0" w:firstRow="1" w:lastRow="0" w:firstColumn="1" w:lastColumn="0" w:noHBand="0" w:noVBand="1"/>
      </w:tblPr>
      <w:tblGrid>
        <w:gridCol w:w="6426"/>
        <w:gridCol w:w="1472"/>
      </w:tblGrid>
      <w:tr w:rsidR="007617AD">
        <w:trPr>
          <w:trHeight w:val="590"/>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0" w:firstLine="0"/>
              <w:jc w:val="center"/>
            </w:pPr>
            <w:r>
              <w:rPr>
                <w:b/>
                <w:sz w:val="20"/>
              </w:rPr>
              <w:t>Denominación del gasto</w:t>
            </w:r>
            <w:r>
              <w:t xml:space="preserve">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center"/>
            </w:pPr>
            <w:r>
              <w:rPr>
                <w:b/>
                <w:sz w:val="20"/>
              </w:rPr>
              <w:t xml:space="preserve">Importe de la Modificación </w:t>
            </w:r>
          </w:p>
        </w:tc>
      </w:tr>
      <w:tr w:rsidR="007617AD">
        <w:trPr>
          <w:trHeight w:val="588"/>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1. Proyecto de instalación de baja tensión del campo de fútbol de Bruno Alberto Sabina.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7" w:firstLine="0"/>
              <w:jc w:val="left"/>
            </w:pPr>
            <w:r>
              <w:rPr>
                <w:sz w:val="20"/>
              </w:rPr>
              <w:t xml:space="preserve">264.591,76 €. </w:t>
            </w:r>
          </w:p>
        </w:tc>
      </w:tr>
      <w:tr w:rsidR="007617AD">
        <w:trPr>
          <w:trHeight w:val="590"/>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2. Anteproyecto de marquesina para las gradas del campo de fútbol Bruno Alberto Sabina.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4" w:firstLine="0"/>
              <w:jc w:val="left"/>
            </w:pPr>
            <w:r>
              <w:rPr>
                <w:sz w:val="20"/>
              </w:rPr>
              <w:t xml:space="preserve">115.545,43 €. </w:t>
            </w:r>
          </w:p>
        </w:tc>
      </w:tr>
      <w:tr w:rsidR="007617AD">
        <w:trPr>
          <w:trHeight w:val="591"/>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3. Presupuesto de preparación y realización de un gran mural en pared del skatepark.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6" w:firstLine="0"/>
              <w:jc w:val="center"/>
            </w:pPr>
            <w:r>
              <w:rPr>
                <w:sz w:val="20"/>
              </w:rPr>
              <w:t xml:space="preserve">14.915,80 €. </w:t>
            </w:r>
          </w:p>
        </w:tc>
      </w:tr>
      <w:tr w:rsidR="007617AD">
        <w:trPr>
          <w:trHeight w:val="590"/>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4. Presupuesto de realización de un módulo de lanzamiento de atletismo en la parcela del campo de fútbol de Igueste.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center"/>
            </w:pPr>
            <w:r>
              <w:rPr>
                <w:sz w:val="20"/>
              </w:rPr>
              <w:t xml:space="preserve">4.584,95 </w:t>
            </w:r>
          </w:p>
        </w:tc>
      </w:tr>
      <w:tr w:rsidR="007617AD">
        <w:trPr>
          <w:trHeight w:val="710"/>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103" w:line="259" w:lineRule="auto"/>
              <w:ind w:left="0" w:firstLine="0"/>
              <w:jc w:val="right"/>
            </w:pPr>
            <w:r>
              <w:rPr>
                <w:b/>
                <w:sz w:val="20"/>
              </w:rPr>
              <w:t xml:space="preserve"> </w:t>
            </w:r>
          </w:p>
          <w:p w:rsidR="007617AD" w:rsidRDefault="00EE75C8">
            <w:pPr>
              <w:spacing w:after="0" w:line="259" w:lineRule="auto"/>
              <w:ind w:left="0" w:right="55" w:firstLine="0"/>
              <w:jc w:val="right"/>
            </w:pPr>
            <w:r>
              <w:rPr>
                <w:b/>
                <w:sz w:val="20"/>
              </w:rPr>
              <w:t xml:space="preserve">Total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155" w:line="259" w:lineRule="auto"/>
              <w:ind w:left="0" w:right="1" w:firstLine="0"/>
              <w:jc w:val="center"/>
            </w:pPr>
            <w:r>
              <w:rPr>
                <w:b/>
                <w:sz w:val="20"/>
              </w:rPr>
              <w:t xml:space="preserve"> </w:t>
            </w:r>
          </w:p>
          <w:p w:rsidR="007617AD" w:rsidRDefault="00EE75C8">
            <w:pPr>
              <w:spacing w:after="0" w:line="259" w:lineRule="auto"/>
              <w:ind w:left="17" w:firstLine="0"/>
              <w:jc w:val="left"/>
            </w:pPr>
            <w:r>
              <w:rPr>
                <w:b/>
                <w:sz w:val="20"/>
              </w:rPr>
              <w:t>399.637,94 €.</w:t>
            </w:r>
            <w:r>
              <w:t xml:space="preserve"> </w:t>
            </w:r>
          </w:p>
        </w:tc>
      </w:tr>
    </w:tbl>
    <w:p w:rsidR="007617AD" w:rsidRDefault="00EE75C8">
      <w:pPr>
        <w:spacing w:after="0" w:line="259" w:lineRule="auto"/>
        <w:ind w:left="1239" w:firstLine="0"/>
        <w:jc w:val="left"/>
      </w:pPr>
      <w:r>
        <w:rPr>
          <w:rFonts w:ascii="Times New Roman" w:eastAsia="Times New Roman" w:hAnsi="Times New Roman" w:cs="Times New Roman"/>
          <w:sz w:val="24"/>
        </w:rPr>
        <w:t xml:space="preserve">         </w:t>
      </w:r>
    </w:p>
    <w:p w:rsidR="007617AD" w:rsidRDefault="00EE75C8">
      <w:pPr>
        <w:spacing w:after="112" w:line="259" w:lineRule="auto"/>
        <w:ind w:left="1416" w:firstLine="0"/>
        <w:jc w:val="left"/>
      </w:pPr>
      <w:r>
        <w:t xml:space="preserve">                   </w:t>
      </w:r>
    </w:p>
    <w:p w:rsidR="007617AD" w:rsidRDefault="00EE75C8">
      <w:pPr>
        <w:numPr>
          <w:ilvl w:val="0"/>
          <w:numId w:val="15"/>
        </w:numPr>
        <w:spacing w:after="8"/>
        <w:ind w:right="62" w:hanging="360"/>
      </w:pPr>
      <w:r>
        <w:rPr>
          <w:b/>
        </w:rPr>
        <w:t xml:space="preserve">Rehabilitación Avenida Constitución </w:t>
      </w:r>
      <w:r>
        <w:t>por un importe de</w:t>
      </w:r>
      <w:r>
        <w:rPr>
          <w:b/>
        </w:rPr>
        <w:t xml:space="preserve"> 88.306,43 euros </w:t>
      </w:r>
      <w:r>
        <w:t>Debido a la necesidad de homogeneización del pavimento de diferentes itinerarios peatonales, y además de la reposición de losetas, y ante el aumento del coste de las materias primas, se propone el acopio del mismo para ir colocándolo cuando así lo requiera</w:t>
      </w:r>
      <w:r>
        <w:t xml:space="preserve"> la programación.</w:t>
      </w:r>
      <w:r>
        <w:rPr>
          <w:rFonts w:ascii="Times New Roman" w:eastAsia="Times New Roman" w:hAnsi="Times New Roman" w:cs="Times New Roman"/>
          <w:sz w:val="24"/>
        </w:rPr>
        <w:t xml:space="preserve"> </w:t>
      </w:r>
    </w:p>
    <w:p w:rsidR="007617AD" w:rsidRDefault="00EE75C8">
      <w:pPr>
        <w:numPr>
          <w:ilvl w:val="0"/>
          <w:numId w:val="15"/>
        </w:numPr>
        <w:spacing w:after="14"/>
        <w:ind w:right="62" w:hanging="360"/>
      </w:pPr>
      <w:r>
        <w:rPr>
          <w:b/>
        </w:rPr>
        <w:t xml:space="preserve">Obra Muro Chac Concha </w:t>
      </w:r>
      <w:r>
        <w:t>por importe de</w:t>
      </w:r>
      <w:r>
        <w:rPr>
          <w:b/>
        </w:rPr>
        <w:t xml:space="preserve"> 14.107,12 euros </w:t>
      </w:r>
      <w:r>
        <w:t>Visto el deterioro existente en el muro de contención de la entrada a la calle Mora Cha Concha, se notifica el carácter de urgencia de dicha obra para consolidar la misma y evitar el p</w:t>
      </w:r>
      <w:r>
        <w:t>eligro que ello supone.</w:t>
      </w:r>
      <w:r>
        <w:rPr>
          <w:rFonts w:ascii="Times New Roman" w:eastAsia="Times New Roman" w:hAnsi="Times New Roman" w:cs="Times New Roman"/>
          <w:sz w:val="24"/>
        </w:rPr>
        <w:t xml:space="preserve"> </w:t>
      </w:r>
    </w:p>
    <w:p w:rsidR="007617AD" w:rsidRDefault="00EE75C8">
      <w:pPr>
        <w:numPr>
          <w:ilvl w:val="0"/>
          <w:numId w:val="15"/>
        </w:numPr>
        <w:spacing w:after="9"/>
        <w:ind w:right="62" w:hanging="360"/>
      </w:pPr>
      <w:r>
        <w:rPr>
          <w:b/>
        </w:rPr>
        <w:t xml:space="preserve">Mejoras en Polideportivo de Cuevecitas </w:t>
      </w:r>
      <w:r>
        <w:t>por un total</w:t>
      </w:r>
      <w:r>
        <w:rPr>
          <w:b/>
        </w:rPr>
        <w:t xml:space="preserve"> de 20.203,06 € </w:t>
      </w:r>
      <w:r>
        <w:t xml:space="preserve">Vista la necesidad de adecuar y mejorar la zona de entrada del Polideportivo de Cuevecitas, debido al mal estado del firme. PARA SUBSANARLO se propone el asfaltado </w:t>
      </w:r>
      <w:r>
        <w:t xml:space="preserve">de la parte delantera del centro y convertirlo en un parquin público para los usuarios del mismo. </w:t>
      </w:r>
      <w:r>
        <w:rPr>
          <w:rFonts w:ascii="Times New Roman" w:eastAsia="Times New Roman" w:hAnsi="Times New Roman" w:cs="Times New Roman"/>
          <w:sz w:val="24"/>
        </w:rPr>
        <w:t xml:space="preserve"> </w:t>
      </w:r>
    </w:p>
    <w:p w:rsidR="007617AD" w:rsidRDefault="00EE75C8">
      <w:pPr>
        <w:numPr>
          <w:ilvl w:val="0"/>
          <w:numId w:val="15"/>
        </w:numPr>
        <w:spacing w:after="10"/>
        <w:ind w:right="62" w:hanging="360"/>
      </w:pPr>
      <w:r>
        <w:rPr>
          <w:b/>
        </w:rPr>
        <w:t xml:space="preserve">Acondicionamiento Plaza Cruz del Camino </w:t>
      </w:r>
      <w:r>
        <w:t>por importe de</w:t>
      </w:r>
      <w:r>
        <w:rPr>
          <w:b/>
        </w:rPr>
        <w:t xml:space="preserve"> 35.406,30 euros </w:t>
      </w:r>
      <w:r>
        <w:t>Vista la necesidad de adecuar y mejorar la zona de plaza de la Cruz del Camino, ya que se ha detectado que por el paso del tiempo se han producido deterioros en varias zonas.</w:t>
      </w:r>
      <w:r>
        <w:rPr>
          <w:rFonts w:ascii="Times New Roman" w:eastAsia="Times New Roman" w:hAnsi="Times New Roman" w:cs="Times New Roman"/>
          <w:sz w:val="24"/>
        </w:rPr>
        <w:t xml:space="preserve"> </w:t>
      </w:r>
    </w:p>
    <w:p w:rsidR="007617AD" w:rsidRDefault="00EE75C8">
      <w:pPr>
        <w:numPr>
          <w:ilvl w:val="0"/>
          <w:numId w:val="15"/>
        </w:numPr>
        <w:spacing w:after="7"/>
        <w:ind w:right="62" w:hanging="360"/>
      </w:pPr>
      <w:r>
        <w:rPr>
          <w:b/>
        </w:rPr>
        <w:t xml:space="preserve">Acondicionamiento tramo hundido calle la Vera Araya, </w:t>
      </w:r>
      <w:r>
        <w:t>por importe de</w:t>
      </w:r>
      <w:r>
        <w:rPr>
          <w:b/>
        </w:rPr>
        <w:t xml:space="preserve"> </w:t>
      </w:r>
      <w:r>
        <w:rPr>
          <w:b/>
        </w:rPr>
        <w:t xml:space="preserve">6.634,00 euros </w:t>
      </w:r>
      <w:r>
        <w:t>Visto el hundimiento producido en la calzada de la calle La Vera en Araya. y el riesgo inminente de derrumbe de la misma, se propone la realización de una obra de condicionamiento de dicho firme, con carácter de urgencia, y que se evite ésta</w:t>
      </w:r>
      <w:r>
        <w:t xml:space="preserve"> situación de peligro.</w:t>
      </w:r>
      <w:r>
        <w:rPr>
          <w:rFonts w:ascii="Times New Roman" w:eastAsia="Times New Roman" w:hAnsi="Times New Roman" w:cs="Times New Roman"/>
          <w:sz w:val="24"/>
        </w:rPr>
        <w:t xml:space="preserve"> </w:t>
      </w:r>
    </w:p>
    <w:p w:rsidR="007617AD" w:rsidRDefault="00EE75C8">
      <w:pPr>
        <w:numPr>
          <w:ilvl w:val="0"/>
          <w:numId w:val="15"/>
        </w:numPr>
        <w:spacing w:after="14" w:line="248" w:lineRule="auto"/>
        <w:ind w:right="62" w:hanging="360"/>
      </w:pPr>
      <w:r>
        <w:rPr>
          <w:b/>
        </w:rPr>
        <w:t>Demolición y canalización Avda. Constitución</w:t>
      </w:r>
      <w:r>
        <w:t xml:space="preserve"> por importe de </w:t>
      </w:r>
      <w:r>
        <w:rPr>
          <w:b/>
        </w:rPr>
        <w:t>60.612,50 euros</w:t>
      </w:r>
      <w:r>
        <w:t xml:space="preserve"> Vista la necesidad de rehabilitar la acera de la avenida de la Constitución desde la Playa del alcalde hasta el Pozo ya que el pavimento se encuentra bastan</w:t>
      </w:r>
      <w:r>
        <w:t>te deteriorado y en ocasiones varias personas se han accidentado en la misma, se propone la demolición y canalizaciones de dicho tramo.</w:t>
      </w:r>
      <w:r>
        <w:rPr>
          <w:rFonts w:ascii="Times New Roman" w:eastAsia="Times New Roman" w:hAnsi="Times New Roman" w:cs="Times New Roman"/>
          <w:sz w:val="24"/>
        </w:rPr>
        <w:t xml:space="preserve"> </w:t>
      </w:r>
    </w:p>
    <w:p w:rsidR="007617AD" w:rsidRDefault="00EE75C8">
      <w:pPr>
        <w:numPr>
          <w:ilvl w:val="0"/>
          <w:numId w:val="15"/>
        </w:numPr>
        <w:spacing w:after="10"/>
        <w:ind w:right="62" w:hanging="360"/>
      </w:pPr>
      <w:r>
        <w:rPr>
          <w:b/>
        </w:rPr>
        <w:t>Acondicionamiento Plaza el Tagorillo</w:t>
      </w:r>
      <w:r>
        <w:t xml:space="preserve"> por importe de </w:t>
      </w:r>
      <w:r>
        <w:rPr>
          <w:b/>
        </w:rPr>
        <w:t>42.666,50 €</w:t>
      </w:r>
      <w:r>
        <w:t xml:space="preserve"> Vista la necesidad de adecuar y mejorar la zona de plaz</w:t>
      </w:r>
      <w:r>
        <w:t xml:space="preserve">a del Tagorillo, ya que se ha detectado que por el paso del tiempo se han producido deterioros en varias zonas. </w:t>
      </w:r>
      <w:r>
        <w:rPr>
          <w:rFonts w:ascii="Times New Roman" w:eastAsia="Times New Roman" w:hAnsi="Times New Roman" w:cs="Times New Roman"/>
          <w:sz w:val="24"/>
        </w:rPr>
        <w:t xml:space="preserve"> </w:t>
      </w:r>
    </w:p>
    <w:p w:rsidR="007617AD" w:rsidRDefault="00EE75C8">
      <w:pPr>
        <w:numPr>
          <w:ilvl w:val="0"/>
          <w:numId w:val="15"/>
        </w:numPr>
        <w:spacing w:after="0"/>
        <w:ind w:right="62" w:hanging="360"/>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301275" name="Group 301275"/>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7752" name="Rectangle 775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7753" name="Rectangle 7753"/>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w:t>
                              </w:r>
                              <w:r>
                                <w:rPr>
                                  <w:sz w:val="12"/>
                                </w:rPr>
                                <w:t xml:space="preserve">e la plataforma esPublico Gestiona | Página 41 de 192 </w:t>
                              </w:r>
                            </w:p>
                          </w:txbxContent>
                        </wps:txbx>
                        <wps:bodyPr horzOverflow="overflow" vert="horz" lIns="0" tIns="0" rIns="0" bIns="0" rtlCol="0">
                          <a:noAutofit/>
                        </wps:bodyPr>
                      </wps:wsp>
                    </wpg:wgp>
                  </a:graphicData>
                </a:graphic>
              </wp:anchor>
            </w:drawing>
          </mc:Choice>
          <mc:Fallback xmlns:a="http://schemas.openxmlformats.org/drawingml/2006/main">
            <w:pict>
              <v:group id="Group 301275" style="width:12.7031pt;height:280.02pt;position:absolute;mso-position-horizontal-relative:page;mso-position-horizontal:absolute;margin-left:682.278pt;mso-position-vertical-relative:page;margin-top:531.9pt;" coordsize="1613,35562">
                <v:rect id="Rectangle 775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7753"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192 </w:t>
                        </w:r>
                      </w:p>
                    </w:txbxContent>
                  </v:textbox>
                </v:rect>
                <w10:wrap type="topAndBottom"/>
              </v:group>
            </w:pict>
          </mc:Fallback>
        </mc:AlternateContent>
      </w:r>
      <w:r>
        <w:rPr>
          <w:b/>
        </w:rPr>
        <w:t>Contenedores RSU por importe de 14.994,98 €</w:t>
      </w:r>
      <w:r>
        <w:t xml:space="preserve"> Vista la necesidad de contar con contenedores de R.S.U. para la reposición de los mismos que se encuentren en malas condiciones. Visto que no contamos con co</w:t>
      </w:r>
      <w:r>
        <w:t>ntenedores de reserva en el depósito ya que se han ido sustituyendo los que estaban en muy malas condiciones, se propone la compra de contenedores para sustituir los que se rompan.</w:t>
      </w:r>
      <w:r>
        <w:rPr>
          <w:rFonts w:ascii="Times New Roman" w:eastAsia="Times New Roman" w:hAnsi="Times New Roman" w:cs="Times New Roman"/>
          <w:sz w:val="24"/>
        </w:rPr>
        <w:t xml:space="preserve"> </w:t>
      </w:r>
    </w:p>
    <w:p w:rsidR="007617AD" w:rsidRDefault="00EE75C8">
      <w:pPr>
        <w:spacing w:after="40" w:line="259" w:lineRule="auto"/>
        <w:ind w:left="1428" w:firstLine="0"/>
        <w:jc w:val="left"/>
      </w:pPr>
      <w:r>
        <w:t xml:space="preserve"> </w:t>
      </w:r>
    </w:p>
    <w:p w:rsidR="007617AD" w:rsidRDefault="00EE75C8">
      <w:pPr>
        <w:spacing w:after="153"/>
        <w:ind w:left="693" w:right="62" w:firstLine="353"/>
      </w:pPr>
      <w:r>
        <w:t>Siendo un gasto específico y determinado ante la imposibilidad de demora</w:t>
      </w:r>
      <w:r>
        <w:t xml:space="preserve">rlo a ejercicios posteriores, y no habiendo crédito suficiente en las aplicaciones presupuestarias. </w:t>
      </w:r>
    </w:p>
    <w:p w:rsidR="007617AD" w:rsidRDefault="00EE75C8">
      <w:pPr>
        <w:ind w:left="703" w:right="58"/>
      </w:pPr>
      <w:r>
        <w:rPr>
          <w:b/>
        </w:rPr>
        <w:t>SE PROPONE:</w:t>
      </w:r>
      <w:r>
        <w:rPr>
          <w:rFonts w:ascii="Times New Roman" w:eastAsia="Times New Roman" w:hAnsi="Times New Roman" w:cs="Times New Roman"/>
          <w:sz w:val="24"/>
        </w:rPr>
        <w:t xml:space="preserve"> </w:t>
      </w:r>
    </w:p>
    <w:p w:rsidR="007617AD" w:rsidRDefault="00EE75C8">
      <w:pPr>
        <w:ind w:left="703" w:right="62"/>
      </w:pPr>
      <w:r>
        <w:t xml:space="preserve">Único: Tramitar expediente </w:t>
      </w:r>
      <w:r>
        <w:rPr>
          <w:b/>
        </w:rPr>
        <w:t>5316/2022</w:t>
      </w:r>
      <w:r>
        <w:t xml:space="preserve"> de modificación presupuestaria por </w:t>
      </w:r>
      <w:r>
        <w:rPr>
          <w:b/>
        </w:rPr>
        <w:t xml:space="preserve">Créditos extraordinarios </w:t>
      </w:r>
      <w:r>
        <w:t xml:space="preserve">financiado con Remanente de Tesorería para gastos generales, por una cantidad total de </w:t>
      </w:r>
      <w:r>
        <w:rPr>
          <w:b/>
        </w:rPr>
        <w:t>1.380.537,83 euros</w:t>
      </w:r>
      <w:r>
        <w:t xml:space="preserve">, de acuerdo al siguiente detalle: </w:t>
      </w:r>
    </w:p>
    <w:p w:rsidR="007617AD" w:rsidRDefault="00EE75C8">
      <w:pPr>
        <w:spacing w:after="0" w:line="259" w:lineRule="auto"/>
        <w:ind w:left="708" w:firstLine="0"/>
        <w:jc w:val="left"/>
      </w:pPr>
      <w:r>
        <w:t xml:space="preserve"> </w:t>
      </w:r>
    </w:p>
    <w:tbl>
      <w:tblPr>
        <w:tblStyle w:val="TableGrid"/>
        <w:tblW w:w="8637" w:type="dxa"/>
        <w:tblInd w:w="784" w:type="dxa"/>
        <w:tblCellMar>
          <w:top w:w="2" w:type="dxa"/>
          <w:left w:w="68" w:type="dxa"/>
          <w:bottom w:w="7" w:type="dxa"/>
          <w:right w:w="24" w:type="dxa"/>
        </w:tblCellMar>
        <w:tblLook w:val="04A0" w:firstRow="1" w:lastRow="0" w:firstColumn="1" w:lastColumn="0" w:noHBand="0" w:noVBand="1"/>
      </w:tblPr>
      <w:tblGrid>
        <w:gridCol w:w="902"/>
        <w:gridCol w:w="1029"/>
        <w:gridCol w:w="5632"/>
        <w:gridCol w:w="1074"/>
      </w:tblGrid>
      <w:tr w:rsidR="007617AD">
        <w:trPr>
          <w:trHeight w:val="289"/>
        </w:trPr>
        <w:tc>
          <w:tcPr>
            <w:tcW w:w="7562" w:type="dxa"/>
            <w:gridSpan w:val="3"/>
            <w:tcBorders>
              <w:top w:val="single" w:sz="4" w:space="0" w:color="000000"/>
              <w:left w:val="single" w:sz="4" w:space="0" w:color="000000"/>
              <w:bottom w:val="single" w:sz="4" w:space="0" w:color="000000"/>
              <w:right w:val="nil"/>
            </w:tcBorders>
          </w:tcPr>
          <w:p w:rsidR="007617AD" w:rsidRDefault="00EE75C8">
            <w:pPr>
              <w:spacing w:after="0" w:line="259" w:lineRule="auto"/>
              <w:ind w:left="1032" w:firstLine="0"/>
              <w:jc w:val="center"/>
            </w:pPr>
            <w:r>
              <w:rPr>
                <w:b/>
                <w:sz w:val="16"/>
              </w:rPr>
              <w:t xml:space="preserve">Estado de Gastos </w:t>
            </w:r>
          </w:p>
        </w:tc>
        <w:tc>
          <w:tcPr>
            <w:tcW w:w="1075"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r>
      <w:tr w:rsidR="007617AD">
        <w:trPr>
          <w:trHeight w:val="811"/>
        </w:trPr>
        <w:tc>
          <w:tcPr>
            <w:tcW w:w="8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firstLine="0"/>
              <w:jc w:val="center"/>
            </w:pPr>
            <w:r>
              <w:rPr>
                <w:b/>
                <w:sz w:val="16"/>
              </w:rPr>
              <w:t xml:space="preserve">Proyecto Gasto  </w:t>
            </w:r>
          </w:p>
        </w:tc>
        <w:tc>
          <w:tcPr>
            <w:tcW w:w="10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43" w:firstLine="0"/>
              <w:jc w:val="left"/>
            </w:pPr>
            <w:r>
              <w:rPr>
                <w:b/>
                <w:sz w:val="16"/>
              </w:rPr>
              <w:t xml:space="preserve">Aplicación </w:t>
            </w:r>
          </w:p>
        </w:tc>
        <w:tc>
          <w:tcPr>
            <w:tcW w:w="57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right="44" w:firstLine="0"/>
              <w:jc w:val="center"/>
            </w:pPr>
            <w:r>
              <w:rPr>
                <w:b/>
                <w:sz w:val="16"/>
              </w:rPr>
              <w:t xml:space="preserve">Denominación  </w:t>
            </w:r>
          </w:p>
        </w:tc>
        <w:tc>
          <w:tcPr>
            <w:tcW w:w="107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right="42" w:firstLine="0"/>
              <w:jc w:val="center"/>
            </w:pPr>
            <w:r>
              <w:rPr>
                <w:b/>
                <w:sz w:val="16"/>
              </w:rPr>
              <w:t xml:space="preserve">Estimado </w:t>
            </w:r>
          </w:p>
        </w:tc>
      </w:tr>
      <w:tr w:rsidR="007617AD">
        <w:trPr>
          <w:trHeight w:val="287"/>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1532061903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REASFALTADO PARKING LOS BREZOS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20.551,49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1532061904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ASFALTADO TRASERA POLIDEPORTIVO CUEVECITAS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17.242,35 </w:t>
            </w:r>
          </w:p>
        </w:tc>
      </w:tr>
      <w:tr w:rsidR="007617AD">
        <w:trPr>
          <w:trHeight w:val="288"/>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1532061905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ZONAS DE APARCAMIENTOS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110.551,49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1710062501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RENOVACION PARQUES INFANTILES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186.187,85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1710062502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CUBIERTA Y AMPLIACIÓN PARQUE EBAR PUNTA LARGA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104.922,26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1710062503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PARQUE INFANTIL CUEVECITAS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48.977,55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REFORMA PISO Y TUBERIA COMDOR CEIP PRINCIPE FELIPE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17.136,55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3230061902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SUSTITUCIÓN ALICATADO CEIP PRINCIPE FELIPE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93.346,60 </w:t>
            </w:r>
          </w:p>
        </w:tc>
      </w:tr>
      <w:tr w:rsidR="007617AD">
        <w:trPr>
          <w:trHeight w:val="288"/>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3230061903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AMPLIACION DE COMEDOR CEIP IGUESTE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1.637,10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3230061904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REPARACION DE ESCALERA PRINCIPAL CEIP IGUESTE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3.670,10 </w:t>
            </w:r>
          </w:p>
        </w:tc>
      </w:tr>
      <w:tr w:rsidR="007617AD">
        <w:trPr>
          <w:trHeight w:val="377"/>
        </w:trPr>
        <w:tc>
          <w:tcPr>
            <w:tcW w:w="82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2" w:firstLine="0"/>
            </w:pPr>
            <w:r>
              <w:rPr>
                <w:sz w:val="16"/>
              </w:rPr>
              <w:t xml:space="preserve">3230061905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right="13" w:firstLine="0"/>
              <w:jc w:val="left"/>
            </w:pPr>
            <w:r>
              <w:rPr>
                <w:sz w:val="16"/>
              </w:rPr>
              <w:t xml:space="preserve">ACONDICIONAMIENTO SERVICIOS CEIP CARMEN ALVAREZ DE LA ROSA </w:t>
            </w:r>
          </w:p>
        </w:tc>
        <w:tc>
          <w:tcPr>
            <w:tcW w:w="1075"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5" w:firstLine="0"/>
              <w:jc w:val="right"/>
            </w:pPr>
            <w:r>
              <w:rPr>
                <w:sz w:val="16"/>
              </w:rPr>
              <w:t xml:space="preserve">34.843,54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3230061906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RENOVACION PARQUE INFANTIL CEIP IGUESTE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14.877,88 </w:t>
            </w:r>
          </w:p>
        </w:tc>
      </w:tr>
      <w:tr w:rsidR="007617AD">
        <w:trPr>
          <w:trHeight w:val="379"/>
        </w:trPr>
        <w:tc>
          <w:tcPr>
            <w:tcW w:w="82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2" w:firstLine="0"/>
            </w:pPr>
            <w:r>
              <w:rPr>
                <w:sz w:val="16"/>
              </w:rPr>
              <w:t xml:space="preserve">3340022711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CREACION CONTENIDO DIVULGATIVO GRUPOS ESCULTORICOS CANDELARI </w:t>
            </w:r>
          </w:p>
        </w:tc>
        <w:tc>
          <w:tcPr>
            <w:tcW w:w="1075"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4" w:firstLine="0"/>
              <w:jc w:val="right"/>
            </w:pPr>
            <w:r>
              <w:rPr>
                <w:sz w:val="16"/>
              </w:rPr>
              <w:t xml:space="preserve">3.500,00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3340061903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CERRAMIENTO ALUMINIO CENTRO CULTURAL MALPAIS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22.219,99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3340061904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CERRAMIENTO ALUMINIO CINE VIEJO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12.232,00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3340061905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REFORMA EN LOCAL ENSAYO BANDA NUEVA DE IGUESTE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6.072,25 </w:t>
            </w:r>
          </w:p>
        </w:tc>
      </w:tr>
      <w:tr w:rsidR="007617AD">
        <w:trPr>
          <w:trHeight w:val="288"/>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3410022711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PREPARACION Y REALIZACION MURAL SKATEPARK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14.915,80 </w:t>
            </w:r>
          </w:p>
        </w:tc>
      </w:tr>
      <w:tr w:rsidR="007617AD">
        <w:trPr>
          <w:trHeight w:val="377"/>
        </w:trPr>
        <w:tc>
          <w:tcPr>
            <w:tcW w:w="82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2" w:firstLine="0"/>
            </w:pPr>
            <w:r>
              <w:rPr>
                <w:sz w:val="16"/>
              </w:rPr>
              <w:t xml:space="preserve">3410061911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INSTALACIÓN DE BAJA TENSIÓN Y MARQUESINA CAMPO DE FUTBOL BRU </w:t>
            </w:r>
          </w:p>
        </w:tc>
        <w:tc>
          <w:tcPr>
            <w:tcW w:w="1075"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5" w:firstLine="0"/>
              <w:jc w:val="right"/>
            </w:pPr>
            <w:r>
              <w:rPr>
                <w:sz w:val="16"/>
              </w:rPr>
              <w:t xml:space="preserve">380.137,19 </w:t>
            </w:r>
          </w:p>
        </w:tc>
      </w:tr>
      <w:tr w:rsidR="007617AD">
        <w:trPr>
          <w:trHeight w:val="281"/>
        </w:trPr>
        <w:tc>
          <w:tcPr>
            <w:tcW w:w="823" w:type="dxa"/>
            <w:tcBorders>
              <w:top w:val="nil"/>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nil"/>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3410061912 </w:t>
            </w:r>
          </w:p>
        </w:tc>
        <w:tc>
          <w:tcPr>
            <w:tcW w:w="5709" w:type="dxa"/>
            <w:tcBorders>
              <w:top w:val="nil"/>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MODULO LANZAMIENTO ATLETISMO </w:t>
            </w:r>
          </w:p>
        </w:tc>
        <w:tc>
          <w:tcPr>
            <w:tcW w:w="1075" w:type="dxa"/>
            <w:tcBorders>
              <w:top w:val="nil"/>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4.584,95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4590061904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REHABILITACION AVENIDA CONSTITUCION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88.306,43 </w:t>
            </w:r>
          </w:p>
        </w:tc>
      </w:tr>
      <w:tr w:rsidR="007617AD">
        <w:trPr>
          <w:trHeight w:val="288"/>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4590061905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OBRA MURO CHA CONCHA EN ARAYA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14.107,12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4590061906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MEJORAS EN POLIDPORTIVO CUEVECITAS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20.203,06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4590061907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ACONDICIONAMIENTO PLAZA CRUZ DEL CAMINO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35.406,30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4590061908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ACONDICIONAMIENTO TRAMO HUNDIDO CALLE LA VERA ARAYA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6.634,00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4590061909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DEMOLICION Y CANALIZACION ACERA AVDA CONSTITUCION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60.612,50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4590061911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ACONDICIONAMIENTO PLAZA EL TAGORILLO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42.666,50 </w:t>
            </w:r>
          </w:p>
        </w:tc>
      </w:tr>
      <w:tr w:rsidR="007617AD">
        <w:trPr>
          <w:trHeight w:val="288"/>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4590062500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CONTENEDORES RSU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14.994,98 </w:t>
            </w:r>
          </w:p>
        </w:tc>
      </w:tr>
      <w:tr w:rsidR="007617AD">
        <w:trPr>
          <w:trHeight w:val="286"/>
        </w:trPr>
        <w:tc>
          <w:tcPr>
            <w:tcW w:w="1853"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1" w:firstLine="0"/>
              <w:jc w:val="center"/>
            </w:pPr>
            <w:r>
              <w:rPr>
                <w:b/>
                <w:sz w:val="16"/>
              </w:rPr>
              <w:t xml:space="preserve">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7" w:firstLine="0"/>
              <w:jc w:val="right"/>
            </w:pPr>
            <w:r>
              <w:rPr>
                <w:b/>
                <w:sz w:val="16"/>
              </w:rPr>
              <w:t xml:space="preserve">Total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b/>
                <w:sz w:val="16"/>
              </w:rPr>
              <w:t xml:space="preserve">1.380.537,83 </w:t>
            </w:r>
          </w:p>
        </w:tc>
      </w:tr>
      <w:tr w:rsidR="007617AD">
        <w:trPr>
          <w:trHeight w:val="287"/>
        </w:trPr>
        <w:tc>
          <w:tcPr>
            <w:tcW w:w="8637" w:type="dxa"/>
            <w:gridSpan w:val="4"/>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3" w:firstLine="0"/>
              <w:jc w:val="center"/>
            </w:pPr>
            <w:r>
              <w:rPr>
                <w:b/>
                <w:sz w:val="16"/>
              </w:rPr>
              <w:t xml:space="preserve">Estado de Ingresos </w:t>
            </w:r>
          </w:p>
        </w:tc>
      </w:tr>
      <w:tr w:rsidR="007617AD">
        <w:trPr>
          <w:trHeight w:val="374"/>
        </w:trPr>
        <w:tc>
          <w:tcPr>
            <w:tcW w:w="823" w:type="dxa"/>
            <w:tcBorders>
              <w:top w:val="single" w:sz="4" w:space="0" w:color="000000"/>
              <w:left w:val="single" w:sz="4" w:space="0" w:color="000000"/>
              <w:bottom w:val="single" w:sz="4" w:space="0" w:color="000000"/>
              <w:right w:val="single" w:sz="4" w:space="0" w:color="000000"/>
            </w:tcBorders>
            <w:shd w:val="clear" w:color="auto" w:fill="BFBFBF"/>
          </w:tcPr>
          <w:p w:rsidR="007617AD" w:rsidRDefault="00EE75C8">
            <w:pPr>
              <w:spacing w:after="0" w:line="259" w:lineRule="auto"/>
              <w:ind w:left="0" w:firstLine="0"/>
              <w:jc w:val="center"/>
            </w:pPr>
            <w:r>
              <w:rPr>
                <w:b/>
                <w:sz w:val="16"/>
              </w:rPr>
              <w:t xml:space="preserve">Aplicación  </w:t>
            </w:r>
          </w:p>
        </w:tc>
        <w:tc>
          <w:tcPr>
            <w:tcW w:w="6739"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7617AD" w:rsidRDefault="00EE75C8">
            <w:pPr>
              <w:spacing w:after="0" w:line="259" w:lineRule="auto"/>
              <w:ind w:left="0" w:right="46" w:firstLine="0"/>
              <w:jc w:val="center"/>
            </w:pPr>
            <w:r>
              <w:rPr>
                <w:b/>
                <w:sz w:val="16"/>
              </w:rPr>
              <w:t xml:space="preserve">Denominación  </w:t>
            </w:r>
          </w:p>
        </w:tc>
        <w:tc>
          <w:tcPr>
            <w:tcW w:w="1075"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7617AD" w:rsidRDefault="00EE75C8">
            <w:pPr>
              <w:spacing w:after="0" w:line="259" w:lineRule="auto"/>
              <w:ind w:left="0" w:right="41" w:firstLine="0"/>
              <w:jc w:val="center"/>
            </w:pPr>
            <w:r>
              <w:rPr>
                <w:b/>
                <w:sz w:val="16"/>
              </w:rPr>
              <w:t xml:space="preserve">Importe </w:t>
            </w:r>
          </w:p>
        </w:tc>
      </w:tr>
      <w:tr w:rsidR="007617AD">
        <w:trPr>
          <w:trHeight w:val="289"/>
        </w:trPr>
        <w:tc>
          <w:tcPr>
            <w:tcW w:w="1853"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center"/>
            </w:pPr>
            <w:r>
              <w:rPr>
                <w:sz w:val="16"/>
              </w:rPr>
              <w:t xml:space="preserve">87000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Remanente de Tesoreria para gastos generales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1.380.537,83 </w:t>
            </w:r>
          </w:p>
        </w:tc>
      </w:tr>
      <w:tr w:rsidR="007617AD">
        <w:trPr>
          <w:trHeight w:val="286"/>
        </w:trPr>
        <w:tc>
          <w:tcPr>
            <w:tcW w:w="1853"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1" w:firstLine="0"/>
              <w:jc w:val="center"/>
            </w:pPr>
            <w:r>
              <w:rPr>
                <w:sz w:val="16"/>
              </w:rPr>
              <w:t xml:space="preserve">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7" w:firstLine="0"/>
              <w:jc w:val="right"/>
            </w:pPr>
            <w:r>
              <w:rPr>
                <w:b/>
                <w:sz w:val="16"/>
              </w:rPr>
              <w:t xml:space="preserve">Total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b/>
                <w:sz w:val="16"/>
              </w:rPr>
              <w:t xml:space="preserve">1.380.537,83 </w:t>
            </w:r>
          </w:p>
        </w:tc>
      </w:tr>
    </w:tbl>
    <w:p w:rsidR="007617AD" w:rsidRDefault="00EE75C8">
      <w:pPr>
        <w:ind w:left="703" w:right="62"/>
      </w:pPr>
      <w:r>
        <w:t xml:space="preserve">“ </w:t>
      </w:r>
    </w:p>
    <w:p w:rsidR="007617AD" w:rsidRDefault="00EE75C8">
      <w:pPr>
        <w:spacing w:after="100" w:line="259" w:lineRule="auto"/>
        <w:ind w:left="708" w:firstLine="0"/>
        <w:jc w:val="left"/>
      </w:pPr>
      <w:r>
        <w:rPr>
          <w:b/>
        </w:rPr>
        <w:t xml:space="preserve"> </w:t>
      </w:r>
    </w:p>
    <w:p w:rsidR="007617AD" w:rsidRDefault="00EE75C8">
      <w:pPr>
        <w:ind w:left="703" w:right="58"/>
      </w:pPr>
      <w:r>
        <w:rPr>
          <w:b/>
        </w:rPr>
        <w:t>Consta en el expediente Informe de Intervención emitido por Don Nicolás Rojo Garnica, que desempeña el puesto de trabajo de Interventor Municipal, de 22 de junio de 2022, del siguiente tenor literal:</w:t>
      </w:r>
      <w:r>
        <w:t xml:space="preserve"> </w:t>
      </w:r>
    </w:p>
    <w:p w:rsidR="007617AD" w:rsidRDefault="00EE75C8">
      <w:pPr>
        <w:spacing w:after="229" w:line="259" w:lineRule="auto"/>
        <w:ind w:left="708" w:firstLine="0"/>
        <w:jc w:val="left"/>
      </w:pPr>
      <w:r>
        <w:rPr>
          <w:rFonts w:ascii="Times New Roman" w:eastAsia="Times New Roman" w:hAnsi="Times New Roman" w:cs="Times New Roman"/>
          <w:sz w:val="24"/>
        </w:rPr>
        <w:t xml:space="preserve"> </w:t>
      </w:r>
    </w:p>
    <w:p w:rsidR="007617AD" w:rsidRDefault="00EE75C8">
      <w:pPr>
        <w:pStyle w:val="Ttulo2"/>
        <w:spacing w:after="95" w:line="265" w:lineRule="auto"/>
        <w:ind w:left="905" w:right="254"/>
        <w:jc w:val="center"/>
      </w:pPr>
      <w:r>
        <w:rPr>
          <w:rFonts w:ascii="Arial" w:eastAsia="Arial" w:hAnsi="Arial" w:cs="Arial"/>
          <w:sz w:val="22"/>
          <w:u w:val="none"/>
        </w:rPr>
        <w:t>“INFORME</w:t>
      </w:r>
      <w:r>
        <w:rPr>
          <w:rFonts w:ascii="Arial" w:eastAsia="Arial" w:hAnsi="Arial" w:cs="Arial"/>
          <w:b w:val="0"/>
          <w:sz w:val="22"/>
          <w:u w:val="none"/>
        </w:rPr>
        <w:t xml:space="preserve"> </w:t>
      </w:r>
    </w:p>
    <w:p w:rsidR="007617AD" w:rsidRDefault="00EE75C8">
      <w:pPr>
        <w:spacing w:after="43"/>
        <w:ind w:left="693" w:right="62" w:firstLine="708"/>
      </w:pPr>
      <w:r>
        <w:t>Vista la propuesta de la Alcaldesa, de tram</w:t>
      </w:r>
      <w:r>
        <w:t>itación de modificación presupuestaria por Créditos Extraordinarios financiados con remanentes de Tesorería para Gastos Generales, que dice:</w:t>
      </w:r>
      <w:r>
        <w:rPr>
          <w:rFonts w:ascii="Times New Roman" w:eastAsia="Times New Roman" w:hAnsi="Times New Roman" w:cs="Times New Roman"/>
          <w:sz w:val="24"/>
        </w:rPr>
        <w:t xml:space="preserve"> </w:t>
      </w:r>
    </w:p>
    <w:p w:rsidR="007617AD" w:rsidRDefault="00EE75C8">
      <w:pPr>
        <w:spacing w:after="50" w:line="259" w:lineRule="auto"/>
        <w:ind w:left="1416" w:firstLine="0"/>
        <w:jc w:val="left"/>
      </w:pPr>
      <w:r>
        <w:t xml:space="preserve">  </w:t>
      </w:r>
    </w:p>
    <w:p w:rsidR="007617AD" w:rsidRDefault="00EE75C8">
      <w:pPr>
        <w:spacing w:after="45"/>
        <w:ind w:left="693" w:right="62" w:firstLine="708"/>
      </w:pPr>
      <w:r>
        <w:t xml:space="preserve">“Vista la propuesta de la Alcaldesa, </w:t>
      </w:r>
      <w:r>
        <w:t>de tramitación de modificación presupuestaria por Créditos Extraordinarios financiados con remanentes de Tesorería para Gastos Generales, que dice:</w:t>
      </w:r>
      <w:r>
        <w:rPr>
          <w:rFonts w:ascii="Times New Roman" w:eastAsia="Times New Roman" w:hAnsi="Times New Roman" w:cs="Times New Roman"/>
          <w:sz w:val="24"/>
        </w:rPr>
        <w:t xml:space="preserve"> </w:t>
      </w:r>
    </w:p>
    <w:p w:rsidR="007617AD" w:rsidRDefault="00EE75C8">
      <w:pPr>
        <w:spacing w:after="48" w:line="259" w:lineRule="auto"/>
        <w:ind w:left="1416" w:firstLine="0"/>
        <w:jc w:val="left"/>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94574" name="Group 29457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8147" name="Rectangle 814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8148" name="Rectangle 8148"/>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w:t>
                              </w:r>
                              <w:r>
                                <w:rPr>
                                  <w:sz w:val="12"/>
                                </w:rPr>
                                <w:t xml:space="preserve">mento firmado electrónicamente desde la plataforma esPublico Gestiona | Página 42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94574" style="width:12.7031pt;height:280.02pt;position:absolute;mso-position-horizontal-relative:page;mso-position-horizontal:absolute;margin-left:682.278pt;mso-position-vertical-relative:page;margin-top:531.9pt;" coordsize="1613,35562">
                <v:rect id="Rectangle 814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8148"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192 </w:t>
                        </w:r>
                      </w:p>
                    </w:txbxContent>
                  </v:textbox>
                </v:rect>
                <w10:wrap type="square"/>
              </v:group>
            </w:pict>
          </mc:Fallback>
        </mc:AlternateContent>
      </w:r>
      <w:r>
        <w:t xml:space="preserve">  </w:t>
      </w:r>
    </w:p>
    <w:p w:rsidR="007617AD" w:rsidRDefault="00EE75C8">
      <w:pPr>
        <w:spacing w:after="41"/>
        <w:ind w:left="693" w:right="62" w:firstLine="708"/>
      </w:pPr>
      <w:r>
        <w:t>“El Ayuntamiento de Candelaria necesita créditos extraordinarios a los consignados en el Presupuesto vigente para llevar a cabo actuaciones de mejora de instalacio</w:t>
      </w:r>
      <w:r>
        <w:t>nes e infraestructuras municipales con ocasión de la ejecución de las obras siguientes, según memoria-propuesta:</w:t>
      </w:r>
      <w:r>
        <w:rPr>
          <w:rFonts w:ascii="Times New Roman" w:eastAsia="Times New Roman" w:hAnsi="Times New Roman" w:cs="Times New Roman"/>
          <w:sz w:val="24"/>
        </w:rPr>
        <w:t xml:space="preserve"> </w:t>
      </w:r>
    </w:p>
    <w:p w:rsidR="007617AD" w:rsidRDefault="00EE75C8">
      <w:pPr>
        <w:spacing w:after="50" w:line="259" w:lineRule="auto"/>
        <w:ind w:left="1416" w:firstLine="0"/>
        <w:jc w:val="left"/>
      </w:pPr>
      <w:r>
        <w:t xml:space="preserve"> </w:t>
      </w:r>
    </w:p>
    <w:p w:rsidR="007617AD" w:rsidRDefault="00EE75C8">
      <w:pPr>
        <w:numPr>
          <w:ilvl w:val="0"/>
          <w:numId w:val="16"/>
        </w:numPr>
        <w:spacing w:after="0"/>
        <w:ind w:right="62" w:hanging="360"/>
      </w:pPr>
      <w:r>
        <w:rPr>
          <w:b/>
        </w:rPr>
        <w:t xml:space="preserve">Reasfaltado Parking los Brezos, </w:t>
      </w:r>
      <w:r>
        <w:t xml:space="preserve">por un importe total de </w:t>
      </w:r>
      <w:r>
        <w:rPr>
          <w:b/>
        </w:rPr>
        <w:t xml:space="preserve">20.551,49€: </w:t>
      </w:r>
      <w:r>
        <w:t>Visto el mal estado en que se encuentra el asfalto de la zona de aparcamiento del Parque recreativo Los Brezos, se ha visto la necesidad de dedicar una partida de asfaltado, con el objeto de mejorar el acceso al mismo y facilitar también la accesibilidad d</w:t>
      </w:r>
      <w:r>
        <w:t>e personas con movilidad reducida.</w:t>
      </w:r>
      <w:r>
        <w:rPr>
          <w:rFonts w:ascii="Times New Roman" w:eastAsia="Times New Roman" w:hAnsi="Times New Roman" w:cs="Times New Roman"/>
          <w:sz w:val="24"/>
        </w:rPr>
        <w:t xml:space="preserve"> </w:t>
      </w:r>
    </w:p>
    <w:p w:rsidR="007617AD" w:rsidRDefault="00EE75C8">
      <w:pPr>
        <w:numPr>
          <w:ilvl w:val="0"/>
          <w:numId w:val="16"/>
        </w:numPr>
        <w:spacing w:after="0"/>
        <w:ind w:right="62" w:hanging="360"/>
      </w:pPr>
      <w:r>
        <w:rPr>
          <w:b/>
        </w:rPr>
        <w:t xml:space="preserve">Asfaltado trasera polideportivo Cuevecitas, </w:t>
      </w:r>
      <w:r>
        <w:t>por un importe total de</w:t>
      </w:r>
      <w:r>
        <w:rPr>
          <w:b/>
        </w:rPr>
        <w:t xml:space="preserve"> 17.242,35 euros </w:t>
      </w:r>
      <w:r>
        <w:t>Vista la necesidad de acondicionar los alrededores del pabellón de las cuevecitas, debido al mal estado del firme. para subsanarlo se pr</w:t>
      </w:r>
      <w:r>
        <w:t>opone el asfaltado de la parte trasera del centro y convertirlo en un parquin público para los usuarios del mismo.</w:t>
      </w:r>
      <w:r>
        <w:rPr>
          <w:rFonts w:ascii="Times New Roman" w:eastAsia="Times New Roman" w:hAnsi="Times New Roman" w:cs="Times New Roman"/>
          <w:sz w:val="24"/>
        </w:rPr>
        <w:t xml:space="preserve"> </w:t>
      </w:r>
    </w:p>
    <w:p w:rsidR="007617AD" w:rsidRDefault="00EE75C8">
      <w:pPr>
        <w:numPr>
          <w:ilvl w:val="0"/>
          <w:numId w:val="16"/>
        </w:numPr>
        <w:ind w:right="62" w:hanging="360"/>
      </w:pPr>
      <w:r>
        <w:rPr>
          <w:b/>
        </w:rPr>
        <w:t xml:space="preserve">Acondicionamiento zonas de aparcamientos, </w:t>
      </w:r>
      <w:r>
        <w:t>por un total de</w:t>
      </w:r>
      <w:r>
        <w:rPr>
          <w:b/>
        </w:rPr>
        <w:t xml:space="preserve"> 110.551,49€ </w:t>
      </w:r>
      <w:r>
        <w:t>Vista la necesidad de crear nuevas áreas de aparcamiento en diferentes</w:t>
      </w:r>
      <w:r>
        <w:t xml:space="preserve"> zonas del Municipio, y debido </w:t>
      </w:r>
    </w:p>
    <w:p w:rsidR="007617AD" w:rsidRDefault="00EE75C8">
      <w:pPr>
        <w:spacing w:after="0"/>
        <w:ind w:left="1438" w:right="62"/>
      </w:pPr>
      <w:r>
        <w:t>a la demanda creciente, se ha visto la necesidad de dedicar una partida de acondicionamiento de dichos espacios.</w:t>
      </w:r>
      <w:r>
        <w:rPr>
          <w:rFonts w:ascii="Times New Roman" w:eastAsia="Times New Roman" w:hAnsi="Times New Roman" w:cs="Times New Roman"/>
          <w:sz w:val="24"/>
        </w:rPr>
        <w:t xml:space="preserve"> </w:t>
      </w:r>
    </w:p>
    <w:p w:rsidR="007617AD" w:rsidRDefault="00EE75C8">
      <w:pPr>
        <w:numPr>
          <w:ilvl w:val="0"/>
          <w:numId w:val="17"/>
        </w:numPr>
        <w:spacing w:after="0"/>
        <w:ind w:right="62" w:hanging="360"/>
      </w:pPr>
      <w:r>
        <w:rPr>
          <w:b/>
        </w:rPr>
        <w:t>Renovación de Parques Infantiles</w:t>
      </w:r>
      <w:r>
        <w:t xml:space="preserve"> </w:t>
      </w:r>
      <w:r>
        <w:t>por importe de 186.187,85 €. Los diferentes juegos e instalaciones que conforman los Parques Infantiles son elementos fundamentales en los servicios que presta el Ayuntamiento de Candelaria a la ciudadanía, principalmente a los/as más pequeños/as. Garantiz</w:t>
      </w:r>
      <w:r>
        <w:t>ar un espacio público inclusivo de juego e socialización entre los más pequeños ha sido siempre un objetivo prioritario para esta Corporación. Prueba de ello, es la creación de cinco parques inclusivos con elementos accesibles en estos dos últimos años. Se</w:t>
      </w:r>
      <w:r>
        <w:t xml:space="preserve"> hace necesario la renovación tanto de los elementos de juego como de sus espacios, ya que estos parques instalados en la vía pública están sometidos a un uso diario continuado, a los efectos del clima por la alta insolación y su cercanía al mar, a la cont</w:t>
      </w:r>
      <w:r>
        <w:t>aminación, etc, que en la mayoría de los parques provoca un avanzado estado de deterioro que se traduce principalmente en problemas de seguridad para sus principales usuarios/as, los/as niños/as.</w:t>
      </w:r>
      <w:r>
        <w:rPr>
          <w:rFonts w:ascii="Times New Roman" w:eastAsia="Times New Roman" w:hAnsi="Times New Roman" w:cs="Times New Roman"/>
          <w:sz w:val="24"/>
        </w:rPr>
        <w:t xml:space="preserve"> </w:t>
      </w:r>
    </w:p>
    <w:p w:rsidR="007617AD" w:rsidRDefault="00EE75C8">
      <w:pPr>
        <w:numPr>
          <w:ilvl w:val="0"/>
          <w:numId w:val="17"/>
        </w:numPr>
        <w:spacing w:after="0"/>
        <w:ind w:right="62" w:hanging="360"/>
      </w:pPr>
      <w:r>
        <w:rPr>
          <w:b/>
        </w:rPr>
        <w:t xml:space="preserve">Cubierta y ampliación parque Ebar Punta Larga </w:t>
      </w:r>
      <w:r>
        <w:t xml:space="preserve">Este parque, </w:t>
      </w:r>
      <w:r>
        <w:t>localizado junto al EBAR e Punta Larga, fue objeto renovación hace tres años, instalan o nuevos elementos e juego inclusivos, así como una gran zona de sombra, su ubicación, cerca e varias zonas residenciales, el paseo marítimo fe Punta Larga y zonas de re</w:t>
      </w:r>
      <w:r>
        <w:t xml:space="preserve">stauración hace que tenga una gran afluencia de niños/as </w:t>
      </w:r>
      <w:r>
        <w:rPr>
          <w:rFonts w:ascii="Times New Roman" w:eastAsia="Times New Roman" w:hAnsi="Times New Roman" w:cs="Times New Roman"/>
          <w:sz w:val="24"/>
        </w:rPr>
        <w:t xml:space="preserve"> </w:t>
      </w:r>
    </w:p>
    <w:p w:rsidR="007617AD" w:rsidRDefault="00EE75C8">
      <w:pPr>
        <w:tabs>
          <w:tab w:val="center" w:pos="1105"/>
          <w:tab w:val="center" w:pos="1428"/>
        </w:tabs>
        <w:spacing w:after="19"/>
        <w:ind w:left="0" w:firstLine="0"/>
        <w:jc w:val="left"/>
      </w:pPr>
      <w:r>
        <w:rPr>
          <w:rFonts w:ascii="Calibri" w:eastAsia="Calibri" w:hAnsi="Calibri" w:cs="Calibri"/>
        </w:rPr>
        <w:tab/>
      </w:r>
      <w:r>
        <w:rPr>
          <w:b/>
        </w:rPr>
        <w:t xml:space="preserve">- </w:t>
      </w:r>
      <w:r>
        <w:rPr>
          <w:b/>
        </w:rPr>
        <w:tab/>
      </w:r>
      <w:r>
        <w:t xml:space="preserve"> </w:t>
      </w:r>
    </w:p>
    <w:p w:rsidR="007617AD" w:rsidRDefault="00EE75C8">
      <w:pPr>
        <w:numPr>
          <w:ilvl w:val="0"/>
          <w:numId w:val="17"/>
        </w:numPr>
        <w:spacing w:after="0"/>
        <w:ind w:right="62" w:hanging="360"/>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47478" name="Group 24747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8278" name="Rectangle 827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8279" name="Rectangle 8279"/>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plataforma esPublico Gestiona | Página 43 de</w:t>
                              </w:r>
                              <w:r>
                                <w:rPr>
                                  <w:sz w:val="12"/>
                                </w:rPr>
                                <w:t xml:space="preserve"> 192 </w:t>
                              </w:r>
                            </w:p>
                          </w:txbxContent>
                        </wps:txbx>
                        <wps:bodyPr horzOverflow="overflow" vert="horz" lIns="0" tIns="0" rIns="0" bIns="0" rtlCol="0">
                          <a:noAutofit/>
                        </wps:bodyPr>
                      </wps:wsp>
                    </wpg:wgp>
                  </a:graphicData>
                </a:graphic>
              </wp:anchor>
            </w:drawing>
          </mc:Choice>
          <mc:Fallback xmlns:a="http://schemas.openxmlformats.org/drawingml/2006/main">
            <w:pict>
              <v:group id="Group 247478" style="width:12.7031pt;height:280.02pt;position:absolute;mso-position-horizontal-relative:page;mso-position-horizontal:absolute;margin-left:682.278pt;mso-position-vertical-relative:page;margin-top:531.9pt;" coordsize="1613,35562">
                <v:rect id="Rectangle 827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8279"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192 </w:t>
                        </w:r>
                      </w:p>
                    </w:txbxContent>
                  </v:textbox>
                </v:rect>
                <w10:wrap type="square"/>
              </v:group>
            </w:pict>
          </mc:Fallback>
        </mc:AlternateContent>
      </w:r>
      <w:r>
        <w:rPr>
          <w:b/>
        </w:rPr>
        <w:t>Parque infantil las Cuevecitas</w:t>
      </w:r>
      <w:r>
        <w:t xml:space="preserve"> por importe de 48.977,55 €, se hace necesario la creación de un nuevo parque infantil en el núcleo de medianías de Las Cuevecitas, proponiendo su instalación en un espacio libre sin uso junto al nuevo Pabellón Deportivo</w:t>
      </w:r>
      <w:r>
        <w:t>. Actualmente, Las Cuevecitas sólo cuenta con un pequeño parque infantil de 12,00 m2 para menos de 2 años instalado junto al Centro Cultural de Las Cuevecitas. Consultada tabla estadística de población entre 0 y 9 años en la entidad de Las Cuevecitas, se c</w:t>
      </w:r>
      <w:r>
        <w:t>omprueba que en el año 2020 estaban empadronados 100 niños/as.</w:t>
      </w:r>
      <w:r>
        <w:rPr>
          <w:rFonts w:ascii="Times New Roman" w:eastAsia="Times New Roman" w:hAnsi="Times New Roman" w:cs="Times New Roman"/>
          <w:sz w:val="24"/>
        </w:rPr>
        <w:t xml:space="preserve"> </w:t>
      </w:r>
    </w:p>
    <w:p w:rsidR="007617AD" w:rsidRDefault="00EE75C8">
      <w:pPr>
        <w:numPr>
          <w:ilvl w:val="0"/>
          <w:numId w:val="17"/>
        </w:numPr>
        <w:spacing w:after="0"/>
        <w:ind w:right="62" w:hanging="360"/>
      </w:pPr>
      <w:r>
        <w:rPr>
          <w:b/>
        </w:rPr>
        <w:t xml:space="preserve">Reformas en Colegios Igueste, Principe Felipe y Camen Alvarez de la Rosa </w:t>
      </w:r>
      <w:r>
        <w:t>por importe de 165.511,77 euros para el buen funcionamiento de los mismos y acondicionamiento por el deterioro de las i</w:t>
      </w:r>
      <w:r>
        <w:t>nstalaciones y cumplir con la normativa vigente</w:t>
      </w:r>
      <w:r>
        <w:rPr>
          <w:rFonts w:ascii="Times New Roman" w:eastAsia="Times New Roman" w:hAnsi="Times New Roman" w:cs="Times New Roman"/>
          <w:sz w:val="24"/>
        </w:rPr>
        <w:t xml:space="preserve"> </w:t>
      </w:r>
    </w:p>
    <w:p w:rsidR="007617AD" w:rsidRDefault="00EE75C8">
      <w:pPr>
        <w:numPr>
          <w:ilvl w:val="0"/>
          <w:numId w:val="17"/>
        </w:numPr>
        <w:spacing w:after="1"/>
        <w:ind w:right="62" w:hanging="360"/>
      </w:pPr>
      <w:r>
        <w:rPr>
          <w:b/>
        </w:rPr>
        <w:t>La Concejalía de Cultura del Ayuntamiento de Candelaria</w:t>
      </w:r>
      <w:r>
        <w:t xml:space="preserve"> gestiona y es la responsable del mantenimiento y usos de los distintos espacios y centros culturales, así como de la gestión cultural municipal, con un</w:t>
      </w:r>
      <w:r>
        <w:t xml:space="preserve"> plan cultural de actuación bien definido que se denomina “Candelaria es cultura”, con una amplia y variada programación.</w:t>
      </w:r>
      <w:r>
        <w:rPr>
          <w:rFonts w:ascii="Times New Roman" w:eastAsia="Times New Roman" w:hAnsi="Times New Roman" w:cs="Times New Roman"/>
          <w:sz w:val="24"/>
        </w:rPr>
        <w:t xml:space="preserve"> </w:t>
      </w:r>
    </w:p>
    <w:p w:rsidR="007617AD" w:rsidRDefault="00EE75C8">
      <w:pPr>
        <w:spacing w:after="92"/>
        <w:ind w:left="1438" w:right="62"/>
      </w:pPr>
      <w:r>
        <w:t>También entendemos la gestión del mantenimiento como uno de los factores clave para cualquier administración pública, permitiendo ado</w:t>
      </w:r>
      <w:r>
        <w:t xml:space="preserve">ptar decisiones desde la perspectiva de la eficacia y economía, así como posibilitando un control de gestión sobre los bienes o activos de la entidad. </w:t>
      </w:r>
    </w:p>
    <w:p w:rsidR="007617AD" w:rsidRDefault="00EE75C8">
      <w:pPr>
        <w:spacing w:after="92"/>
        <w:ind w:left="1438" w:right="62"/>
      </w:pPr>
      <w:r>
        <w:t>Vista la inexcusable necesidad, por motivos de mantener la actividad en los diferentes centros y espacio</w:t>
      </w:r>
      <w:r>
        <w:t xml:space="preserve">s culturales y su entorno, se hace urgente el proceder a mejorar dichos espacios con equipamiento renovado y el mantenimiento de las instalaciones y los elementos que la componen. </w:t>
      </w:r>
    </w:p>
    <w:p w:rsidR="007617AD" w:rsidRDefault="00EE75C8">
      <w:pPr>
        <w:ind w:left="1426" w:right="62"/>
      </w:pPr>
      <w:r>
        <w:t>Se justifica el gasto por la creciente demanda de servicios públicos, con e</w:t>
      </w:r>
      <w:r>
        <w:t>l fin de continuar con el mantenimiento de las instalaciones municipales, necesario para que las mismas se encuentren en un estado óptimo de conservación para su uso y disfrute por parte de la ciudadanía, y continuar con el desarrollo de la programación cu</w:t>
      </w:r>
      <w:r>
        <w:t xml:space="preserve">ltural anual, se propone la dotación de los siguientes gastos: </w:t>
      </w:r>
    </w:p>
    <w:p w:rsidR="007617AD" w:rsidRDefault="00EE75C8">
      <w:pPr>
        <w:spacing w:after="0" w:line="259" w:lineRule="auto"/>
        <w:ind w:left="1416" w:firstLine="0"/>
        <w:jc w:val="left"/>
      </w:pPr>
      <w:r>
        <w:t xml:space="preserve"> </w:t>
      </w:r>
    </w:p>
    <w:tbl>
      <w:tblPr>
        <w:tblStyle w:val="TableGrid"/>
        <w:tblW w:w="8584" w:type="dxa"/>
        <w:tblInd w:w="1200" w:type="dxa"/>
        <w:tblCellMar>
          <w:top w:w="127" w:type="dxa"/>
          <w:left w:w="108" w:type="dxa"/>
          <w:bottom w:w="0" w:type="dxa"/>
          <w:right w:w="50" w:type="dxa"/>
        </w:tblCellMar>
        <w:tblLook w:val="04A0" w:firstRow="1" w:lastRow="0" w:firstColumn="1" w:lastColumn="0" w:noHBand="0" w:noVBand="1"/>
      </w:tblPr>
      <w:tblGrid>
        <w:gridCol w:w="6954"/>
        <w:gridCol w:w="1630"/>
      </w:tblGrid>
      <w:tr w:rsidR="007617AD">
        <w:trPr>
          <w:trHeight w:val="710"/>
        </w:trPr>
        <w:tc>
          <w:tcPr>
            <w:tcW w:w="695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0" w:firstLine="0"/>
              <w:jc w:val="center"/>
            </w:pPr>
            <w:r>
              <w:rPr>
                <w:b/>
                <w:sz w:val="20"/>
              </w:rPr>
              <w:t xml:space="preserve">Denominación del gasto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center"/>
            </w:pPr>
            <w:r>
              <w:rPr>
                <w:b/>
                <w:sz w:val="20"/>
              </w:rPr>
              <w:t xml:space="preserve">Importe de la Modificación </w:t>
            </w:r>
          </w:p>
        </w:tc>
      </w:tr>
      <w:tr w:rsidR="007617AD">
        <w:trPr>
          <w:trHeight w:val="480"/>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left"/>
            </w:pPr>
            <w:r>
              <w:rPr>
                <w:sz w:val="20"/>
              </w:rPr>
              <w:t>1. Obras de cerramiento de aluminio de Centros Culturales. Malpaís.</w:t>
            </w:r>
            <w:r>
              <w:rPr>
                <w:rFonts w:ascii="Times New Roman" w:eastAsia="Times New Roman" w:hAnsi="Times New Roman" w:cs="Times New Roman"/>
                <w:sz w:val="24"/>
              </w:rP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3" w:firstLine="0"/>
              <w:jc w:val="right"/>
            </w:pPr>
            <w:r>
              <w:rPr>
                <w:sz w:val="20"/>
              </w:rPr>
              <w:t>22.219,99 €</w:t>
            </w:r>
            <w:r>
              <w:rPr>
                <w:rFonts w:ascii="Times New Roman" w:eastAsia="Times New Roman" w:hAnsi="Times New Roman" w:cs="Times New Roman"/>
                <w:sz w:val="24"/>
              </w:rPr>
              <w:t xml:space="preserve"> </w:t>
            </w:r>
          </w:p>
        </w:tc>
      </w:tr>
      <w:tr w:rsidR="007617AD">
        <w:trPr>
          <w:trHeight w:val="711"/>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pPr>
            <w:r>
              <w:rPr>
                <w:sz w:val="20"/>
              </w:rPr>
              <w:t>2. Obras de cerramiento de aluminio de Centros Culturales. Cine Viejo- Local Plaza del CIT.</w:t>
            </w:r>
            <w:r>
              <w:rPr>
                <w:rFonts w:ascii="Times New Roman" w:eastAsia="Times New Roman" w:hAnsi="Times New Roman" w:cs="Times New Roman"/>
                <w:sz w:val="24"/>
              </w:rP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3" w:firstLine="0"/>
              <w:jc w:val="right"/>
            </w:pPr>
            <w:r>
              <w:rPr>
                <w:sz w:val="20"/>
              </w:rPr>
              <w:t>12.232,00 €</w:t>
            </w:r>
            <w:r>
              <w:rPr>
                <w:rFonts w:ascii="Times New Roman" w:eastAsia="Times New Roman" w:hAnsi="Times New Roman" w:cs="Times New Roman"/>
                <w:sz w:val="24"/>
              </w:rPr>
              <w:t xml:space="preserve"> </w:t>
            </w:r>
          </w:p>
        </w:tc>
      </w:tr>
      <w:tr w:rsidR="007617AD">
        <w:trPr>
          <w:trHeight w:val="480"/>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left"/>
            </w:pPr>
            <w:r>
              <w:rPr>
                <w:sz w:val="20"/>
              </w:rPr>
              <w:t>3. Obras del local de ensayo de la Nueva Banda de Igueste.</w:t>
            </w:r>
            <w:r>
              <w:rPr>
                <w:rFonts w:ascii="Times New Roman" w:eastAsia="Times New Roman" w:hAnsi="Times New Roman" w:cs="Times New Roman"/>
                <w:sz w:val="24"/>
              </w:rP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2" w:firstLine="0"/>
              <w:jc w:val="right"/>
            </w:pPr>
            <w:r>
              <w:rPr>
                <w:sz w:val="20"/>
              </w:rPr>
              <w:t>6.072,25 €</w:t>
            </w:r>
            <w:r>
              <w:rPr>
                <w:rFonts w:ascii="Times New Roman" w:eastAsia="Times New Roman" w:hAnsi="Times New Roman" w:cs="Times New Roman"/>
                <w:sz w:val="24"/>
              </w:rPr>
              <w:t xml:space="preserve"> </w:t>
            </w:r>
          </w:p>
        </w:tc>
      </w:tr>
      <w:tr w:rsidR="007617AD">
        <w:trPr>
          <w:trHeight w:val="710"/>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pPr>
            <w:r>
              <w:rPr>
                <w:sz w:val="20"/>
              </w:rPr>
              <w:t xml:space="preserve">4. Trabajos de creación de contenido cultural divulgativo sobre los </w:t>
            </w:r>
            <w:r>
              <w:rPr>
                <w:sz w:val="20"/>
              </w:rPr>
              <w:t xml:space="preserve">grupos escultóricos del casco histórico de Candelaria.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2" w:firstLine="0"/>
              <w:jc w:val="right"/>
            </w:pPr>
            <w:r>
              <w:rPr>
                <w:sz w:val="20"/>
              </w:rPr>
              <w:t xml:space="preserve">3.500,00 € </w:t>
            </w:r>
          </w:p>
        </w:tc>
      </w:tr>
      <w:tr w:rsidR="007617AD">
        <w:trPr>
          <w:trHeight w:val="480"/>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57" w:firstLine="0"/>
              <w:jc w:val="right"/>
            </w:pPr>
            <w:r>
              <w:rPr>
                <w:b/>
                <w:sz w:val="20"/>
              </w:rPr>
              <w:t xml:space="preserve">Total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3" w:firstLine="0"/>
              <w:jc w:val="right"/>
            </w:pPr>
            <w:r>
              <w:rPr>
                <w:b/>
                <w:sz w:val="20"/>
              </w:rPr>
              <w:t>44.024,24 €</w:t>
            </w:r>
            <w:r>
              <w:rPr>
                <w:rFonts w:ascii="Times New Roman" w:eastAsia="Times New Roman" w:hAnsi="Times New Roman" w:cs="Times New Roman"/>
                <w:sz w:val="24"/>
              </w:rPr>
              <w:t xml:space="preserve"> </w:t>
            </w:r>
          </w:p>
        </w:tc>
      </w:tr>
    </w:tbl>
    <w:p w:rsidR="007617AD" w:rsidRDefault="00EE75C8">
      <w:pPr>
        <w:spacing w:after="76" w:line="259" w:lineRule="auto"/>
        <w:ind w:left="1428" w:firstLine="0"/>
        <w:jc w:val="left"/>
      </w:pPr>
      <w:r>
        <w:t xml:space="preserve"> </w:t>
      </w:r>
    </w:p>
    <w:p w:rsidR="007617AD" w:rsidRDefault="00EE75C8">
      <w:pPr>
        <w:numPr>
          <w:ilvl w:val="0"/>
          <w:numId w:val="17"/>
        </w:numPr>
        <w:spacing w:after="0"/>
        <w:ind w:right="62" w:hanging="360"/>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90574" name="Group 29057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8506" name="Rectangle 850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8507" name="Rectangle 8507"/>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44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90574" style="width:12.7031pt;height:280.02pt;position:absolute;mso-position-horizontal-relative:page;mso-position-horizontal:absolute;margin-left:682.278pt;mso-position-vertical-relative:page;margin-top:531.9pt;" coordsize="1613,35562">
                <v:rect id="Rectangle 850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8507"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192 </w:t>
                        </w:r>
                      </w:p>
                    </w:txbxContent>
                  </v:textbox>
                </v:rect>
                <w10:wrap type="square"/>
              </v:group>
            </w:pict>
          </mc:Fallback>
        </mc:AlternateContent>
      </w:r>
      <w:r>
        <w:rPr>
          <w:b/>
        </w:rPr>
        <w:t>La concejalía de deportes gestiona y es responsable del mantenimiento y uso de 45 instalaciones, infraestructuras y espacios</w:t>
      </w:r>
      <w:r>
        <w:t xml:space="preserve"> para la práctica del deporte y ocio.</w:t>
      </w:r>
      <w:r>
        <w:rPr>
          <w:rFonts w:ascii="Times New Roman" w:eastAsia="Times New Roman" w:hAnsi="Times New Roman" w:cs="Times New Roman"/>
          <w:sz w:val="24"/>
        </w:rPr>
        <w:t xml:space="preserve"> </w:t>
      </w:r>
      <w:r>
        <w:t>La cantidad de servicios, programas y actividades que en estas instalaciones deportivas se realizan, demandan un constante mantenimiento e inversión de su equipamiento.  Fruto de las labores de mantenimiento anual, y al constante uso que en estas instalaci</w:t>
      </w:r>
      <w:r>
        <w:t>ones se realizan, en ocasiones no se prevé el gasto que determinadas incidencias de mantenimiento correctivo pueden tener sobre la previsión de presupuesto anual. De igual manera, debido a la contente adaptación de los servicios y necesidades de la ciudada</w:t>
      </w:r>
      <w:r>
        <w:t>nía, se hace necesario ejecutar los proyectos y estudios previos que nos permitan contar con más instalaciones y de mejor equipamiento.</w:t>
      </w:r>
      <w:r>
        <w:rPr>
          <w:color w:val="FF0000"/>
        </w:rPr>
        <w:t xml:space="preserve"> </w:t>
      </w:r>
      <w:r>
        <w:rPr>
          <w:rFonts w:ascii="Times New Roman" w:eastAsia="Times New Roman" w:hAnsi="Times New Roman" w:cs="Times New Roman"/>
          <w:sz w:val="24"/>
        </w:rPr>
        <w:t xml:space="preserve"> </w:t>
      </w:r>
    </w:p>
    <w:p w:rsidR="007617AD" w:rsidRDefault="00EE75C8">
      <w:pPr>
        <w:spacing w:after="0" w:line="259" w:lineRule="auto"/>
        <w:ind w:left="1416" w:firstLine="0"/>
        <w:jc w:val="left"/>
      </w:pPr>
      <w:r>
        <w:rPr>
          <w:color w:val="FF0000"/>
        </w:rPr>
        <w:t xml:space="preserve"> </w:t>
      </w:r>
    </w:p>
    <w:p w:rsidR="007617AD" w:rsidRDefault="00EE75C8">
      <w:pPr>
        <w:spacing w:after="0"/>
        <w:ind w:left="1249" w:right="62"/>
      </w:pPr>
      <w:r>
        <w:t>La Ley 1/2019, de 30 de enero, de la actividad física y el deporte de Canarias, señala: en sus artículos 2,9 y 12 la</w:t>
      </w:r>
      <w:r>
        <w:t xml:space="preserve">s funciones, reconocimiento y principios rectores del Deporte y las competencias de las administraciones públicas Canarias. </w:t>
      </w:r>
      <w:r>
        <w:rPr>
          <w:rFonts w:ascii="Times New Roman" w:eastAsia="Times New Roman" w:hAnsi="Times New Roman" w:cs="Times New Roman"/>
          <w:sz w:val="24"/>
        </w:rPr>
        <w:t xml:space="preserve"> </w:t>
      </w:r>
    </w:p>
    <w:p w:rsidR="007617AD" w:rsidRDefault="00EE75C8">
      <w:pPr>
        <w:spacing w:after="0"/>
        <w:ind w:left="1249" w:right="62"/>
      </w:pPr>
      <w:r>
        <w:t>Es por ello, todo lo expuesto anteriormente queda suficientemente justificada la necesidad y urgencia de la modificación presupues</w:t>
      </w:r>
      <w:r>
        <w:t xml:space="preserve">taria, siendo un gasto específico y determinado, y ante la imposibilidad de demorarlo a ejercicios posteriores, se propone la dotación, por importe de </w:t>
      </w:r>
      <w:r>
        <w:rPr>
          <w:b/>
        </w:rPr>
        <w:t>399.637,94 euros</w:t>
      </w:r>
      <w:r>
        <w:t xml:space="preserve"> para la ejecución de cada uno de los siguientes gastos:</w:t>
      </w:r>
      <w:r>
        <w:rPr>
          <w:rFonts w:ascii="Times New Roman" w:eastAsia="Times New Roman" w:hAnsi="Times New Roman" w:cs="Times New Roman"/>
          <w:sz w:val="24"/>
        </w:rPr>
        <w:t xml:space="preserve"> </w:t>
      </w:r>
    </w:p>
    <w:p w:rsidR="007617AD" w:rsidRDefault="00EE75C8">
      <w:pPr>
        <w:spacing w:after="0" w:line="259" w:lineRule="auto"/>
        <w:ind w:left="1239" w:firstLine="0"/>
        <w:jc w:val="left"/>
      </w:pPr>
      <w:r>
        <w:rPr>
          <w:sz w:val="24"/>
        </w:rPr>
        <w:t xml:space="preserve"> </w:t>
      </w:r>
    </w:p>
    <w:tbl>
      <w:tblPr>
        <w:tblStyle w:val="TableGrid"/>
        <w:tblW w:w="7898" w:type="dxa"/>
        <w:tblInd w:w="1248" w:type="dxa"/>
        <w:tblCellMar>
          <w:top w:w="6" w:type="dxa"/>
          <w:left w:w="106" w:type="dxa"/>
          <w:bottom w:w="0" w:type="dxa"/>
          <w:right w:w="53" w:type="dxa"/>
        </w:tblCellMar>
        <w:tblLook w:val="04A0" w:firstRow="1" w:lastRow="0" w:firstColumn="1" w:lastColumn="0" w:noHBand="0" w:noVBand="1"/>
      </w:tblPr>
      <w:tblGrid>
        <w:gridCol w:w="6426"/>
        <w:gridCol w:w="1472"/>
      </w:tblGrid>
      <w:tr w:rsidR="007617AD">
        <w:trPr>
          <w:trHeight w:val="590"/>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2" w:firstLine="0"/>
              <w:jc w:val="center"/>
            </w:pPr>
            <w:r>
              <w:rPr>
                <w:b/>
                <w:sz w:val="20"/>
              </w:rPr>
              <w:t>Denominación del gasto</w:t>
            </w:r>
            <w:r>
              <w:t xml:space="preserve">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center"/>
            </w:pPr>
            <w:r>
              <w:rPr>
                <w:b/>
                <w:sz w:val="20"/>
              </w:rPr>
              <w:t xml:space="preserve">Importe de la Modificación </w:t>
            </w:r>
          </w:p>
        </w:tc>
      </w:tr>
      <w:tr w:rsidR="007617AD">
        <w:trPr>
          <w:trHeight w:val="590"/>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1. Proyecto de instalación de baja tensión del campo de fútbol de Bruno Alberto Sabina.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7" w:firstLine="0"/>
              <w:jc w:val="left"/>
            </w:pPr>
            <w:r>
              <w:rPr>
                <w:sz w:val="20"/>
              </w:rPr>
              <w:t xml:space="preserve">264.591,76 €. </w:t>
            </w:r>
          </w:p>
        </w:tc>
      </w:tr>
      <w:tr w:rsidR="007617AD">
        <w:trPr>
          <w:trHeight w:val="590"/>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2. Anteproyecto de marquesina para las gradas del campo de fútbol Bruno Alberto Sabina.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4" w:firstLine="0"/>
              <w:jc w:val="left"/>
            </w:pPr>
            <w:r>
              <w:rPr>
                <w:sz w:val="20"/>
              </w:rPr>
              <w:t xml:space="preserve">115.545,43 €. </w:t>
            </w:r>
          </w:p>
        </w:tc>
      </w:tr>
      <w:tr w:rsidR="007617AD">
        <w:trPr>
          <w:trHeight w:val="590"/>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3. Presupuesto de preparación y realización de un gran mural en pared del skatepark.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8" w:firstLine="0"/>
              <w:jc w:val="center"/>
            </w:pPr>
            <w:r>
              <w:rPr>
                <w:sz w:val="20"/>
              </w:rPr>
              <w:t xml:space="preserve">14.915,80 €. </w:t>
            </w:r>
          </w:p>
        </w:tc>
      </w:tr>
      <w:tr w:rsidR="007617AD">
        <w:trPr>
          <w:trHeight w:val="591"/>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4. Presupuesto de realización de un módulo de lanzamiento de atletismo en la parcela del campo de fútbol de Igueste.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0" w:firstLine="0"/>
              <w:jc w:val="center"/>
            </w:pPr>
            <w:r>
              <w:rPr>
                <w:sz w:val="20"/>
              </w:rPr>
              <w:t xml:space="preserve">4.584,95 </w:t>
            </w:r>
          </w:p>
        </w:tc>
      </w:tr>
      <w:tr w:rsidR="007617AD">
        <w:trPr>
          <w:trHeight w:val="710"/>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103" w:line="259" w:lineRule="auto"/>
              <w:ind w:left="0" w:firstLine="0"/>
              <w:jc w:val="right"/>
            </w:pPr>
            <w:r>
              <w:rPr>
                <w:b/>
                <w:sz w:val="20"/>
              </w:rPr>
              <w:t xml:space="preserve"> </w:t>
            </w:r>
          </w:p>
          <w:p w:rsidR="007617AD" w:rsidRDefault="00EE75C8">
            <w:pPr>
              <w:spacing w:after="0" w:line="259" w:lineRule="auto"/>
              <w:ind w:left="0" w:right="55" w:firstLine="0"/>
              <w:jc w:val="right"/>
            </w:pPr>
            <w:r>
              <w:rPr>
                <w:b/>
                <w:sz w:val="20"/>
              </w:rPr>
              <w:t xml:space="preserve">Total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155" w:line="259" w:lineRule="auto"/>
              <w:ind w:left="0" w:right="17" w:firstLine="0"/>
              <w:jc w:val="center"/>
            </w:pPr>
            <w:r>
              <w:rPr>
                <w:b/>
                <w:sz w:val="20"/>
              </w:rPr>
              <w:t xml:space="preserve"> </w:t>
            </w:r>
          </w:p>
          <w:p w:rsidR="007617AD" w:rsidRDefault="00EE75C8">
            <w:pPr>
              <w:spacing w:after="0" w:line="259" w:lineRule="auto"/>
              <w:ind w:left="0" w:firstLine="0"/>
              <w:jc w:val="left"/>
            </w:pPr>
            <w:r>
              <w:rPr>
                <w:b/>
                <w:sz w:val="20"/>
              </w:rPr>
              <w:t>399.637,94 €.</w:t>
            </w:r>
            <w:r>
              <w:t xml:space="preserve"> </w:t>
            </w:r>
          </w:p>
        </w:tc>
      </w:tr>
    </w:tbl>
    <w:p w:rsidR="007617AD" w:rsidRDefault="00EE75C8">
      <w:pPr>
        <w:spacing w:after="0" w:line="259" w:lineRule="auto"/>
        <w:ind w:left="1239" w:firstLine="0"/>
        <w:jc w:val="left"/>
      </w:pPr>
      <w:r>
        <w:rPr>
          <w:sz w:val="24"/>
        </w:rPr>
        <w:t xml:space="preserve">         </w:t>
      </w:r>
    </w:p>
    <w:p w:rsidR="007617AD" w:rsidRDefault="00EE75C8">
      <w:pPr>
        <w:numPr>
          <w:ilvl w:val="0"/>
          <w:numId w:val="17"/>
        </w:numPr>
        <w:spacing w:after="10"/>
        <w:ind w:right="62" w:hanging="360"/>
      </w:pPr>
      <w:r>
        <w:rPr>
          <w:b/>
        </w:rPr>
        <w:t xml:space="preserve">Rehabilitación Avenida Constitución </w:t>
      </w:r>
      <w:r>
        <w:t>por un importe de</w:t>
      </w:r>
      <w:r>
        <w:rPr>
          <w:b/>
        </w:rPr>
        <w:t xml:space="preserve"> 88.306,43 euros </w:t>
      </w:r>
      <w:r>
        <w:t xml:space="preserve">Debido a la necesidad de homogeneización del pavimento de diferentes itinerarios peatonales, y además de la reposición de losetas, y ante el aumento del coste de las materias </w:t>
      </w:r>
      <w:r>
        <w:t>primas, se propone el acopio del mismo para ir colocándolo cuando así lo requiera la programación.</w:t>
      </w:r>
      <w:r>
        <w:rPr>
          <w:rFonts w:ascii="Times New Roman" w:eastAsia="Times New Roman" w:hAnsi="Times New Roman" w:cs="Times New Roman"/>
          <w:sz w:val="24"/>
        </w:rPr>
        <w:t xml:space="preserve"> </w:t>
      </w:r>
    </w:p>
    <w:p w:rsidR="007617AD" w:rsidRDefault="00EE75C8">
      <w:pPr>
        <w:numPr>
          <w:ilvl w:val="0"/>
          <w:numId w:val="17"/>
        </w:numPr>
        <w:spacing w:after="16"/>
        <w:ind w:right="62" w:hanging="360"/>
      </w:pPr>
      <w:r>
        <w:rPr>
          <w:b/>
        </w:rPr>
        <w:t xml:space="preserve">Obra Muro Chac Concha </w:t>
      </w:r>
      <w:r>
        <w:t>por importe de</w:t>
      </w:r>
      <w:r>
        <w:rPr>
          <w:b/>
        </w:rPr>
        <w:t xml:space="preserve"> 14.107,12 euros </w:t>
      </w:r>
      <w:r>
        <w:t>Visto el deterioro existente en el muro de contención de la entrada a la calle Mora Cha Concha, se noti</w:t>
      </w:r>
      <w:r>
        <w:t>fica el carácter de urgencia de dicha obra para consolidar la misma y evitar el peligro que ello supone</w:t>
      </w:r>
      <w:r>
        <w:rPr>
          <w:rFonts w:ascii="Times New Roman" w:eastAsia="Times New Roman" w:hAnsi="Times New Roman" w:cs="Times New Roman"/>
          <w:sz w:val="24"/>
        </w:rPr>
        <w:t xml:space="preserve"> </w:t>
      </w:r>
    </w:p>
    <w:p w:rsidR="007617AD" w:rsidRDefault="00EE75C8">
      <w:pPr>
        <w:numPr>
          <w:ilvl w:val="0"/>
          <w:numId w:val="17"/>
        </w:numPr>
        <w:spacing w:after="7"/>
        <w:ind w:right="62" w:hanging="360"/>
      </w:pPr>
      <w:r>
        <w:rPr>
          <w:b/>
        </w:rPr>
        <w:t xml:space="preserve">Mejoras en Polideportivo de Cuevecitas </w:t>
      </w:r>
      <w:r>
        <w:t>por un total</w:t>
      </w:r>
      <w:r>
        <w:rPr>
          <w:b/>
        </w:rPr>
        <w:t xml:space="preserve"> de 20.203,06 € </w:t>
      </w:r>
      <w:r>
        <w:t>Vista la necesidad de adecuar y mejorar la zona de entrada del Polideportivo de Cuev</w:t>
      </w:r>
      <w:r>
        <w:t xml:space="preserve">ecitas, debido al mal estado del firme. PARA SUBSANARLO se propone el asfaltado de la parte delantera del centro y convertirlo en un parquin público para los usuarios del mismo. </w:t>
      </w:r>
      <w:r>
        <w:rPr>
          <w:rFonts w:ascii="Times New Roman" w:eastAsia="Times New Roman" w:hAnsi="Times New Roman" w:cs="Times New Roman"/>
          <w:sz w:val="24"/>
        </w:rPr>
        <w:t xml:space="preserve"> </w:t>
      </w:r>
    </w:p>
    <w:p w:rsidR="007617AD" w:rsidRDefault="00EE75C8">
      <w:pPr>
        <w:numPr>
          <w:ilvl w:val="0"/>
          <w:numId w:val="17"/>
        </w:numPr>
        <w:spacing w:after="7"/>
        <w:ind w:right="62" w:hanging="360"/>
      </w:pPr>
      <w:r>
        <w:rPr>
          <w:b/>
        </w:rPr>
        <w:t xml:space="preserve">Acondicionamiento Plaza Cruz del Camino </w:t>
      </w:r>
      <w:r>
        <w:t>por importe de</w:t>
      </w:r>
      <w:r>
        <w:rPr>
          <w:b/>
        </w:rPr>
        <w:t xml:space="preserve"> 35.406,30 euros </w:t>
      </w:r>
      <w:r>
        <w:t>Vista</w:t>
      </w:r>
      <w:r>
        <w:t xml:space="preserve"> la necesidad de adecuar y mejorar la zona de plaza de la Cruz del Camino, ya que se ha detectado que por el paso del tiempo se han producido deterioros en varias zonas.</w:t>
      </w:r>
      <w:r>
        <w:rPr>
          <w:rFonts w:ascii="Times New Roman" w:eastAsia="Times New Roman" w:hAnsi="Times New Roman" w:cs="Times New Roman"/>
          <w:sz w:val="24"/>
        </w:rPr>
        <w:t xml:space="preserve"> </w:t>
      </w:r>
    </w:p>
    <w:p w:rsidR="007617AD" w:rsidRDefault="00EE75C8">
      <w:pPr>
        <w:numPr>
          <w:ilvl w:val="0"/>
          <w:numId w:val="17"/>
        </w:numPr>
        <w:spacing w:after="9"/>
        <w:ind w:right="62" w:hanging="360"/>
      </w:pPr>
      <w:r>
        <w:rPr>
          <w:b/>
        </w:rPr>
        <w:t xml:space="preserve">Acondicionamiento tramo hundido calle la Vera Araya, </w:t>
      </w:r>
      <w:r>
        <w:t>por importe de</w:t>
      </w:r>
      <w:r>
        <w:rPr>
          <w:b/>
        </w:rPr>
        <w:t xml:space="preserve"> 6.634,00 euros </w:t>
      </w:r>
      <w:r>
        <w:t>Vi</w:t>
      </w:r>
      <w:r>
        <w:t>sto el hundimiento producido en la calzada de la calle La Vera en Araya. y el riesgo inminente de derrumbe de la misma, se propone la realización de una obra de condicionamiento de dicho firme, con carácter de urgencia, y que se evite ésta situación de pel</w:t>
      </w:r>
      <w:r>
        <w:t>igro.</w:t>
      </w:r>
      <w:r>
        <w:rPr>
          <w:rFonts w:ascii="Times New Roman" w:eastAsia="Times New Roman" w:hAnsi="Times New Roman" w:cs="Times New Roman"/>
          <w:sz w:val="24"/>
        </w:rPr>
        <w:t xml:space="preserve"> </w:t>
      </w:r>
    </w:p>
    <w:p w:rsidR="007617AD" w:rsidRDefault="00EE75C8">
      <w:pPr>
        <w:numPr>
          <w:ilvl w:val="0"/>
          <w:numId w:val="17"/>
        </w:numPr>
        <w:spacing w:after="14"/>
        <w:ind w:right="62" w:hanging="360"/>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0150" name="Group 26015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8703" name="Rectangle 8703"/>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8704" name="Rectangle 8704"/>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45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0150" style="width:12.7031pt;height:280.02pt;position:absolute;mso-position-horizontal-relative:page;mso-position-horizontal:absolute;margin-left:682.278pt;mso-position-vertical-relative:page;margin-top:531.9pt;" coordsize="1613,35562">
                <v:rect id="Rectangle 8703"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8704"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192 </w:t>
                        </w:r>
                      </w:p>
                    </w:txbxContent>
                  </v:textbox>
                </v:rect>
                <w10:wrap type="square"/>
              </v:group>
            </w:pict>
          </mc:Fallback>
        </mc:AlternateContent>
      </w:r>
      <w:r>
        <w:rPr>
          <w:b/>
        </w:rPr>
        <w:t>Demolición y canalización Avda. Constitución</w:t>
      </w:r>
      <w:r>
        <w:t xml:space="preserve"> </w:t>
      </w:r>
      <w:r>
        <w:t xml:space="preserve">por importe de </w:t>
      </w:r>
      <w:r>
        <w:rPr>
          <w:b/>
        </w:rPr>
        <w:t>60.612,50 euros</w:t>
      </w:r>
      <w:r>
        <w:t xml:space="preserve"> Vista la necesidad de rehabilitar la acera de la avenida de la Constitución desde la Playa del alcalde hasta el Pozo ya que el pavimento se encuentra bastante deteriorado y en ocasiónes varias personas se han accidentado en l</w:t>
      </w:r>
      <w:r>
        <w:t>a misma, se propone la demolición y canalizaciones de dicho tramo.</w:t>
      </w:r>
      <w:r>
        <w:rPr>
          <w:rFonts w:ascii="Times New Roman" w:eastAsia="Times New Roman" w:hAnsi="Times New Roman" w:cs="Times New Roman"/>
          <w:sz w:val="24"/>
        </w:rPr>
        <w:t xml:space="preserve"> </w:t>
      </w:r>
    </w:p>
    <w:p w:rsidR="007617AD" w:rsidRDefault="00EE75C8">
      <w:pPr>
        <w:numPr>
          <w:ilvl w:val="0"/>
          <w:numId w:val="17"/>
        </w:numPr>
        <w:spacing w:after="32"/>
        <w:ind w:right="62" w:hanging="360"/>
      </w:pPr>
      <w:r>
        <w:rPr>
          <w:b/>
        </w:rPr>
        <w:t>Acondicionamiento Plaza el Tagorillo</w:t>
      </w:r>
      <w:r>
        <w:t xml:space="preserve"> por importe de </w:t>
      </w:r>
      <w:r>
        <w:rPr>
          <w:b/>
        </w:rPr>
        <w:t>42.666,50 €</w:t>
      </w:r>
      <w:r>
        <w:t xml:space="preserve"> Vista la necesidad de adecuar y mejorar la zona de plaza del tagorillo, ya que se ha detectado que por el paso del tiempo se</w:t>
      </w:r>
      <w:r>
        <w:t xml:space="preserve"> han producido deterioros en varias zonas. </w:t>
      </w:r>
      <w:r>
        <w:rPr>
          <w:rFonts w:ascii="Times New Roman" w:eastAsia="Times New Roman" w:hAnsi="Times New Roman" w:cs="Times New Roman"/>
          <w:sz w:val="24"/>
        </w:rPr>
        <w:t xml:space="preserve"> </w:t>
      </w:r>
    </w:p>
    <w:p w:rsidR="007617AD" w:rsidRDefault="00EE75C8">
      <w:pPr>
        <w:numPr>
          <w:ilvl w:val="0"/>
          <w:numId w:val="17"/>
        </w:numPr>
        <w:spacing w:after="0"/>
        <w:ind w:right="62" w:hanging="360"/>
      </w:pPr>
      <w:r>
        <w:rPr>
          <w:b/>
        </w:rPr>
        <w:t>Contenedores RSU por importe de 14.994,98 €</w:t>
      </w:r>
      <w:r>
        <w:t xml:space="preserve"> Vista la necesidad de contar con contenedores de R.S.U. para la reposición de los mismos que se encuentren en malas condiciones. Visto que no contamos con contenedores</w:t>
      </w:r>
      <w:r>
        <w:t xml:space="preserve"> de reserva en el depósito ya que se han ido sustituyendo los que estaban en muy malas condiciones, se propone la compra de contenedores para sustituir los que se rompan.</w:t>
      </w:r>
      <w:r>
        <w:rPr>
          <w:rFonts w:ascii="Times New Roman" w:eastAsia="Times New Roman" w:hAnsi="Times New Roman" w:cs="Times New Roman"/>
          <w:sz w:val="24"/>
        </w:rPr>
        <w:t xml:space="preserve"> </w:t>
      </w:r>
    </w:p>
    <w:p w:rsidR="007617AD" w:rsidRDefault="00EE75C8">
      <w:pPr>
        <w:spacing w:after="43" w:line="259" w:lineRule="auto"/>
        <w:ind w:left="1428" w:firstLine="0"/>
        <w:jc w:val="left"/>
      </w:pPr>
      <w:r>
        <w:t xml:space="preserve"> </w:t>
      </w:r>
    </w:p>
    <w:p w:rsidR="007617AD" w:rsidRDefault="00EE75C8">
      <w:pPr>
        <w:spacing w:after="140"/>
        <w:ind w:left="693" w:right="62" w:firstLine="353"/>
      </w:pPr>
      <w:r>
        <w:t>Siendo un gasto específico y determinado ante la imposibilidad de demorarlo a ejer</w:t>
      </w:r>
      <w:r>
        <w:t xml:space="preserve">cicios posteriores, y no habiendo crédito suficiente en las aplicaciónes presupuestarias. </w:t>
      </w:r>
    </w:p>
    <w:p w:rsidR="007617AD" w:rsidRDefault="00EE75C8">
      <w:pPr>
        <w:spacing w:after="119" w:line="259" w:lineRule="auto"/>
        <w:ind w:left="708" w:firstLine="0"/>
        <w:jc w:val="left"/>
      </w:pPr>
      <w:r>
        <w:rPr>
          <w:b/>
        </w:rPr>
        <w:t xml:space="preserve"> </w:t>
      </w:r>
    </w:p>
    <w:p w:rsidR="007617AD" w:rsidRDefault="00EE75C8">
      <w:pPr>
        <w:spacing w:after="122" w:line="259" w:lineRule="auto"/>
        <w:ind w:left="708" w:firstLine="0"/>
        <w:jc w:val="left"/>
      </w:pPr>
      <w:r>
        <w:rPr>
          <w:b/>
        </w:rPr>
        <w:t xml:space="preserve"> </w:t>
      </w:r>
    </w:p>
    <w:p w:rsidR="007617AD" w:rsidRDefault="00EE75C8">
      <w:pPr>
        <w:spacing w:after="119" w:line="259" w:lineRule="auto"/>
        <w:ind w:left="708" w:firstLine="0"/>
        <w:jc w:val="left"/>
      </w:pPr>
      <w:r>
        <w:rPr>
          <w:b/>
        </w:rPr>
        <w:t xml:space="preserve"> </w:t>
      </w:r>
    </w:p>
    <w:p w:rsidR="007617AD" w:rsidRDefault="00EE75C8">
      <w:pPr>
        <w:spacing w:after="122" w:line="259" w:lineRule="auto"/>
        <w:ind w:left="708" w:firstLine="0"/>
        <w:jc w:val="left"/>
      </w:pPr>
      <w:r>
        <w:rPr>
          <w:b/>
        </w:rPr>
        <w:t xml:space="preserve"> </w:t>
      </w:r>
    </w:p>
    <w:p w:rsidR="007617AD" w:rsidRDefault="00EE75C8">
      <w:pPr>
        <w:spacing w:after="122"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135" w:line="259" w:lineRule="auto"/>
        <w:ind w:left="708" w:firstLine="0"/>
        <w:jc w:val="left"/>
      </w:pPr>
      <w:r>
        <w:rPr>
          <w:b/>
        </w:rPr>
        <w:t xml:space="preserve"> </w:t>
      </w:r>
    </w:p>
    <w:p w:rsidR="007617AD" w:rsidRDefault="00EE75C8">
      <w:pPr>
        <w:ind w:left="703" w:right="58"/>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309821" name="Group 309821"/>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9501" name="Rectangle 950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9502" name="Rectangle 9502"/>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46 de 192 </w:t>
                              </w:r>
                            </w:p>
                          </w:txbxContent>
                        </wps:txbx>
                        <wps:bodyPr horzOverflow="overflow" vert="horz" lIns="0" tIns="0" rIns="0" bIns="0" rtlCol="0">
                          <a:noAutofit/>
                        </wps:bodyPr>
                      </wps:wsp>
                    </wpg:wgp>
                  </a:graphicData>
                </a:graphic>
              </wp:anchor>
            </w:drawing>
          </mc:Choice>
          <mc:Fallback xmlns:a="http://schemas.openxmlformats.org/drawingml/2006/main">
            <w:pict>
              <v:group id="Group 309821" style="width:12.7031pt;height:280.02pt;position:absolute;mso-position-horizontal-relative:page;mso-position-horizontal:absolute;margin-left:682.278pt;mso-position-vertical-relative:page;margin-top:531.9pt;" coordsize="1613,35562">
                <v:rect id="Rectangle 950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9502"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192 </w:t>
                        </w:r>
                      </w:p>
                    </w:txbxContent>
                  </v:textbox>
                </v:rect>
                <w10:wrap type="topAndBottom"/>
              </v:group>
            </w:pict>
          </mc:Fallback>
        </mc:AlternateContent>
      </w:r>
      <w:r>
        <w:rPr>
          <w:b/>
        </w:rPr>
        <w:t>SE PROPONE:</w:t>
      </w:r>
      <w:r>
        <w:rPr>
          <w:rFonts w:ascii="Times New Roman" w:eastAsia="Times New Roman" w:hAnsi="Times New Roman" w:cs="Times New Roman"/>
          <w:sz w:val="24"/>
        </w:rPr>
        <w:t xml:space="preserve"> </w:t>
      </w:r>
    </w:p>
    <w:p w:rsidR="007617AD" w:rsidRDefault="00EE75C8">
      <w:pPr>
        <w:spacing w:after="11"/>
        <w:ind w:left="703" w:right="62"/>
      </w:pPr>
      <w:r>
        <w:t xml:space="preserve">Único: Tramitar expediente </w:t>
      </w:r>
      <w:r>
        <w:rPr>
          <w:b/>
        </w:rPr>
        <w:t>5316/2022</w:t>
      </w:r>
      <w:r>
        <w:t xml:space="preserve"> de modificación presupuestaria por </w:t>
      </w:r>
      <w:r>
        <w:rPr>
          <w:b/>
        </w:rPr>
        <w:t xml:space="preserve">Créditos extraordinarios </w:t>
      </w:r>
      <w:r>
        <w:t>financiado con Remanente de Tesorería para gastos ge</w:t>
      </w:r>
      <w:r>
        <w:t xml:space="preserve">nerales, por una cantidad total de </w:t>
      </w:r>
      <w:r>
        <w:rPr>
          <w:b/>
        </w:rPr>
        <w:t>1.380.537,83 euros</w:t>
      </w:r>
      <w:r>
        <w:t xml:space="preserve">, de acuerdo al siguiente detalle: </w:t>
      </w:r>
    </w:p>
    <w:tbl>
      <w:tblPr>
        <w:tblStyle w:val="TableGrid"/>
        <w:tblW w:w="8637" w:type="dxa"/>
        <w:tblInd w:w="784" w:type="dxa"/>
        <w:tblCellMar>
          <w:top w:w="2" w:type="dxa"/>
          <w:left w:w="68" w:type="dxa"/>
          <w:bottom w:w="7" w:type="dxa"/>
          <w:right w:w="24" w:type="dxa"/>
        </w:tblCellMar>
        <w:tblLook w:val="04A0" w:firstRow="1" w:lastRow="0" w:firstColumn="1" w:lastColumn="0" w:noHBand="0" w:noVBand="1"/>
      </w:tblPr>
      <w:tblGrid>
        <w:gridCol w:w="902"/>
        <w:gridCol w:w="1029"/>
        <w:gridCol w:w="5632"/>
        <w:gridCol w:w="1074"/>
      </w:tblGrid>
      <w:tr w:rsidR="007617AD">
        <w:trPr>
          <w:trHeight w:val="287"/>
        </w:trPr>
        <w:tc>
          <w:tcPr>
            <w:tcW w:w="8637" w:type="dxa"/>
            <w:gridSpan w:val="4"/>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3" w:firstLine="0"/>
              <w:jc w:val="center"/>
            </w:pPr>
            <w:r>
              <w:rPr>
                <w:b/>
                <w:sz w:val="16"/>
              </w:rPr>
              <w:t xml:space="preserve">Estado de Gastos </w:t>
            </w:r>
          </w:p>
        </w:tc>
      </w:tr>
      <w:tr w:rsidR="007617AD">
        <w:trPr>
          <w:trHeight w:val="812"/>
        </w:trPr>
        <w:tc>
          <w:tcPr>
            <w:tcW w:w="8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firstLine="0"/>
              <w:jc w:val="center"/>
            </w:pPr>
            <w:r>
              <w:rPr>
                <w:b/>
                <w:sz w:val="16"/>
              </w:rPr>
              <w:t xml:space="preserve">Proyecto Gasto  </w:t>
            </w:r>
          </w:p>
        </w:tc>
        <w:tc>
          <w:tcPr>
            <w:tcW w:w="10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43" w:firstLine="0"/>
              <w:jc w:val="left"/>
            </w:pPr>
            <w:r>
              <w:rPr>
                <w:b/>
                <w:sz w:val="16"/>
              </w:rPr>
              <w:t xml:space="preserve">Aplicación </w:t>
            </w:r>
          </w:p>
        </w:tc>
        <w:tc>
          <w:tcPr>
            <w:tcW w:w="57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right="44" w:firstLine="0"/>
              <w:jc w:val="center"/>
            </w:pPr>
            <w:r>
              <w:rPr>
                <w:b/>
                <w:sz w:val="16"/>
              </w:rPr>
              <w:t xml:space="preserve">Denominación  </w:t>
            </w:r>
          </w:p>
        </w:tc>
        <w:tc>
          <w:tcPr>
            <w:tcW w:w="107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right="42" w:firstLine="0"/>
              <w:jc w:val="center"/>
            </w:pPr>
            <w:r>
              <w:rPr>
                <w:b/>
                <w:sz w:val="16"/>
              </w:rPr>
              <w:t xml:space="preserve">Estimado </w:t>
            </w:r>
          </w:p>
        </w:tc>
      </w:tr>
      <w:tr w:rsidR="007617AD">
        <w:trPr>
          <w:trHeight w:val="289"/>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1532061903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REASFALTADO PARKING LOS BREZOS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20.551,49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1532061904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ASFALTADO TRASERA POLIDEPORTIVO CUEVECITAS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17.242,35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1532061905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ZONAS DE APARCAMIENTOS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110.551,49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1710062501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RENOVACION PARQUES INFANTILES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186.187,85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1710062502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CUBIERTA Y AMPLIACIÓN PARQUE EBAR PUNTA LARGA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104.922,26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1710062503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PARQUE INFANTIL CUEVECITAS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48.977,55 </w:t>
            </w:r>
          </w:p>
        </w:tc>
      </w:tr>
      <w:tr w:rsidR="007617AD">
        <w:trPr>
          <w:trHeight w:val="288"/>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REFORMA PISO Y TUBERIA COMDOR CEIP PRINCIPE FELIPE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17.136,55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3230061902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SUSTITUCIÓN ALICATADO CEIP PRINCIPE FELIPE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93.346,60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3230061903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AMPLIACION DE COMEDOR CEIP IGUESTE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1.637,10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3230061904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REPARACION DE ESCALERA PRINCIPAL CEIP IGUESTE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3.670,10 </w:t>
            </w:r>
          </w:p>
        </w:tc>
      </w:tr>
      <w:tr w:rsidR="007617AD">
        <w:trPr>
          <w:trHeight w:val="379"/>
        </w:trPr>
        <w:tc>
          <w:tcPr>
            <w:tcW w:w="82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2" w:firstLine="0"/>
            </w:pPr>
            <w:r>
              <w:rPr>
                <w:sz w:val="16"/>
              </w:rPr>
              <w:t xml:space="preserve">3230061905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right="13" w:firstLine="0"/>
              <w:jc w:val="left"/>
            </w:pPr>
            <w:r>
              <w:rPr>
                <w:sz w:val="16"/>
              </w:rPr>
              <w:t xml:space="preserve">ACONDICIONAMIENTO SERVICIOS CEIP CARMEN ALVAREZ DE LA ROSA </w:t>
            </w:r>
          </w:p>
        </w:tc>
        <w:tc>
          <w:tcPr>
            <w:tcW w:w="1075"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5" w:firstLine="0"/>
              <w:jc w:val="right"/>
            </w:pPr>
            <w:r>
              <w:rPr>
                <w:sz w:val="16"/>
              </w:rPr>
              <w:t xml:space="preserve">34.843,54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3230061906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RENOVACION PARQUE INFANTIL CEIP IGUESTE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14.877,88 </w:t>
            </w:r>
          </w:p>
        </w:tc>
      </w:tr>
      <w:tr w:rsidR="007617AD">
        <w:trPr>
          <w:trHeight w:val="377"/>
        </w:trPr>
        <w:tc>
          <w:tcPr>
            <w:tcW w:w="82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2" w:firstLine="0"/>
            </w:pPr>
            <w:r>
              <w:rPr>
                <w:sz w:val="16"/>
              </w:rPr>
              <w:t xml:space="preserve">3340022711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CREACION CONTENIDO DIVULGATIVO GRUPOS ESCULTORICOS CANDELARI </w:t>
            </w:r>
          </w:p>
        </w:tc>
        <w:tc>
          <w:tcPr>
            <w:tcW w:w="1075"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4" w:firstLine="0"/>
              <w:jc w:val="right"/>
            </w:pPr>
            <w:r>
              <w:rPr>
                <w:sz w:val="16"/>
              </w:rPr>
              <w:t xml:space="preserve">3.500,00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3340061903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CERRAMIENTO ALUMINIO CENTRO CULTURAL MALPAIS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22.219,99 </w:t>
            </w:r>
          </w:p>
        </w:tc>
      </w:tr>
      <w:tr w:rsidR="007617AD">
        <w:trPr>
          <w:trHeight w:val="288"/>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3340061904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CERRAMIENTO ALUMINIO CINE VIEJO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12.232,00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3340061905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REFORMA EN LOCAL ENSAYO BANDA NUEVA DE IGUESTE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6.072,25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3410022711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PREPARACION Y REALIZACION MURAL SKATEPARK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14.915,80 </w:t>
            </w:r>
          </w:p>
        </w:tc>
      </w:tr>
      <w:tr w:rsidR="007617AD">
        <w:trPr>
          <w:trHeight w:val="377"/>
        </w:trPr>
        <w:tc>
          <w:tcPr>
            <w:tcW w:w="82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2" w:firstLine="0"/>
            </w:pPr>
            <w:r>
              <w:rPr>
                <w:sz w:val="16"/>
              </w:rPr>
              <w:t xml:space="preserve">3410061911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INSTALACIÓN DE BAJA TENSIÓN Y MARQUESINA CAMPO DE FUTBOL BRU </w:t>
            </w:r>
          </w:p>
        </w:tc>
        <w:tc>
          <w:tcPr>
            <w:tcW w:w="1075"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5" w:firstLine="0"/>
              <w:jc w:val="right"/>
            </w:pPr>
            <w:r>
              <w:rPr>
                <w:sz w:val="16"/>
              </w:rPr>
              <w:t xml:space="preserve">380.137,19 </w:t>
            </w:r>
          </w:p>
        </w:tc>
      </w:tr>
      <w:tr w:rsidR="007617AD">
        <w:trPr>
          <w:trHeight w:val="289"/>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3410061912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MODULO LANZAMIENTO ATLETISMO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4.584,95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4590061904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REHABILITACION AVENIDA CONSTITUCION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88.306,43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4590061905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OBRA MURO CHA CONCHA EN ARAYA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14.107,12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4590061906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MEJORAS EN POLIDPORTIVO CUEVECITAS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20.203,06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4590061907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PLAZA CRUZ DEL CAMINO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35.406,30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4590061908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TRAMO HUNDIDO CALLE LA VERA ARAYA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6.634,00 </w:t>
            </w:r>
          </w:p>
        </w:tc>
      </w:tr>
      <w:tr w:rsidR="007617AD">
        <w:trPr>
          <w:trHeight w:val="288"/>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4590061909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DEMOLICION Y CANALIZACION ACERA AVDA CONSTITUCION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60.612,50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4590061911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PLAZA EL TAGORILLO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42.666,50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4590062500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CONTENEDORES RSU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14.994,98 </w:t>
            </w:r>
          </w:p>
        </w:tc>
      </w:tr>
      <w:tr w:rsidR="007617AD">
        <w:trPr>
          <w:trHeight w:val="286"/>
        </w:trPr>
        <w:tc>
          <w:tcPr>
            <w:tcW w:w="1853"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center"/>
            </w:pPr>
            <w:r>
              <w:rPr>
                <w:b/>
                <w:sz w:val="16"/>
              </w:rPr>
              <w:t xml:space="preserve">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7" w:firstLine="0"/>
              <w:jc w:val="right"/>
            </w:pPr>
            <w:r>
              <w:rPr>
                <w:b/>
                <w:sz w:val="16"/>
              </w:rPr>
              <w:t xml:space="preserve">Total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b/>
                <w:sz w:val="16"/>
              </w:rPr>
              <w:t xml:space="preserve">1.380.537,83 </w:t>
            </w:r>
          </w:p>
        </w:tc>
      </w:tr>
      <w:tr w:rsidR="007617AD">
        <w:trPr>
          <w:trHeight w:val="287"/>
        </w:trPr>
        <w:tc>
          <w:tcPr>
            <w:tcW w:w="8637" w:type="dxa"/>
            <w:gridSpan w:val="4"/>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2" w:firstLine="0"/>
              <w:jc w:val="center"/>
            </w:pPr>
            <w:r>
              <w:rPr>
                <w:b/>
                <w:sz w:val="16"/>
              </w:rPr>
              <w:t xml:space="preserve">Estado de Ingresos </w:t>
            </w:r>
          </w:p>
        </w:tc>
      </w:tr>
      <w:tr w:rsidR="007617AD">
        <w:trPr>
          <w:trHeight w:val="377"/>
        </w:trPr>
        <w:tc>
          <w:tcPr>
            <w:tcW w:w="823" w:type="dxa"/>
            <w:tcBorders>
              <w:top w:val="single" w:sz="4" w:space="0" w:color="000000"/>
              <w:left w:val="single" w:sz="4" w:space="0" w:color="000000"/>
              <w:bottom w:val="single" w:sz="4" w:space="0" w:color="000000"/>
              <w:right w:val="single" w:sz="4" w:space="0" w:color="000000"/>
            </w:tcBorders>
            <w:shd w:val="clear" w:color="auto" w:fill="BFBFBF"/>
          </w:tcPr>
          <w:p w:rsidR="007617AD" w:rsidRDefault="00EE75C8">
            <w:pPr>
              <w:spacing w:after="0" w:line="259" w:lineRule="auto"/>
              <w:ind w:left="0" w:firstLine="0"/>
              <w:jc w:val="center"/>
            </w:pPr>
            <w:r>
              <w:rPr>
                <w:b/>
                <w:sz w:val="16"/>
              </w:rPr>
              <w:t xml:space="preserve">Aplicación  </w:t>
            </w:r>
          </w:p>
        </w:tc>
        <w:tc>
          <w:tcPr>
            <w:tcW w:w="6739"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7617AD" w:rsidRDefault="00EE75C8">
            <w:pPr>
              <w:spacing w:after="0" w:line="259" w:lineRule="auto"/>
              <w:ind w:left="0" w:right="46" w:firstLine="0"/>
              <w:jc w:val="center"/>
            </w:pPr>
            <w:r>
              <w:rPr>
                <w:b/>
                <w:sz w:val="16"/>
              </w:rPr>
              <w:t xml:space="preserve">Denominación  </w:t>
            </w:r>
          </w:p>
        </w:tc>
        <w:tc>
          <w:tcPr>
            <w:tcW w:w="1075"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7617AD" w:rsidRDefault="00EE75C8">
            <w:pPr>
              <w:spacing w:after="0" w:line="259" w:lineRule="auto"/>
              <w:ind w:left="0" w:right="41" w:firstLine="0"/>
              <w:jc w:val="center"/>
            </w:pPr>
            <w:r>
              <w:rPr>
                <w:b/>
                <w:sz w:val="16"/>
              </w:rPr>
              <w:t xml:space="preserve">Importe </w:t>
            </w:r>
          </w:p>
        </w:tc>
      </w:tr>
      <w:tr w:rsidR="007617AD">
        <w:trPr>
          <w:trHeight w:val="287"/>
        </w:trPr>
        <w:tc>
          <w:tcPr>
            <w:tcW w:w="1853"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center"/>
            </w:pPr>
            <w:r>
              <w:rPr>
                <w:sz w:val="16"/>
              </w:rPr>
              <w:t xml:space="preserve">87000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Remanente de Tesoreria para gastos generales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1.380.537,83 </w:t>
            </w:r>
          </w:p>
        </w:tc>
      </w:tr>
      <w:tr w:rsidR="007617AD">
        <w:trPr>
          <w:trHeight w:val="286"/>
        </w:trPr>
        <w:tc>
          <w:tcPr>
            <w:tcW w:w="1853"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center"/>
            </w:pPr>
            <w:r>
              <w:rPr>
                <w:sz w:val="16"/>
              </w:rPr>
              <w:t xml:space="preserve">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7" w:firstLine="0"/>
              <w:jc w:val="right"/>
            </w:pPr>
            <w:r>
              <w:rPr>
                <w:b/>
                <w:sz w:val="16"/>
              </w:rPr>
              <w:t xml:space="preserve">Total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b/>
                <w:sz w:val="16"/>
              </w:rPr>
              <w:t xml:space="preserve">1.380.537,83 </w:t>
            </w:r>
          </w:p>
        </w:tc>
      </w:tr>
    </w:tbl>
    <w:p w:rsidR="007617AD" w:rsidRDefault="00EE75C8">
      <w:pPr>
        <w:pStyle w:val="Ttulo1"/>
        <w:spacing w:after="33" w:line="259" w:lineRule="auto"/>
        <w:ind w:left="1411"/>
        <w:jc w:val="left"/>
      </w:pPr>
      <w:r>
        <w:rPr>
          <w:rFonts w:ascii="Times New Roman" w:eastAsia="Times New Roman" w:hAnsi="Times New Roman" w:cs="Times New Roman"/>
          <w:b w:val="0"/>
          <w:sz w:val="24"/>
        </w:rPr>
        <w:t xml:space="preserve">.” </w:t>
      </w:r>
    </w:p>
    <w:p w:rsidR="007617AD" w:rsidRDefault="00EE75C8">
      <w:pPr>
        <w:spacing w:after="148" w:line="259" w:lineRule="auto"/>
        <w:ind w:left="1416" w:firstLine="0"/>
        <w:jc w:val="left"/>
      </w:pPr>
      <w:r>
        <w:t xml:space="preserve"> </w:t>
      </w:r>
    </w:p>
    <w:p w:rsidR="007617AD" w:rsidRDefault="00EE75C8">
      <w:pPr>
        <w:spacing w:after="158"/>
        <w:ind w:left="693" w:right="62" w:firstLine="708"/>
      </w:pPr>
      <w:r>
        <w:t>Vista las Memorias, informes técnicos, proyectos de obra y presupuestos, de las actuaciones que se quieren llevar a cabo, en la que se justifican la necesidad y urgencia de la modificación presupuestaria, requisito que se establece en la base 9ª del Presup</w:t>
      </w:r>
      <w:r>
        <w:t xml:space="preserve">uesto General, y siendo un gasto específico y determinado, ante la imposibilidad de demorarlo a ejercicios posteriores, y no habiendo crédito suficiente en las aplicaciones presupuestarias. </w:t>
      </w:r>
    </w:p>
    <w:p w:rsidR="007617AD" w:rsidRDefault="00EE75C8">
      <w:pPr>
        <w:spacing w:after="36"/>
        <w:ind w:left="703" w:right="62"/>
      </w:pPr>
      <w:r>
        <w:rPr>
          <w:b/>
        </w:rPr>
        <w:t xml:space="preserve">PRIMERO. </w:t>
      </w:r>
      <w:r>
        <w:t>Visto Acuerdo del Congreso de los Diputados del 22 de se</w:t>
      </w:r>
      <w:r>
        <w:t>ptiembre de 2021, aprobado por mayoría absoluta, ha apreciado, por mayoría absoluta de sus miembros, que se da una situación de emergencia extraordinaria que motiva la suspensión de las reglas fiscales, requisito que establece el artículo 11.3 de la LOEPSF</w:t>
      </w:r>
      <w:r>
        <w:t>.</w:t>
      </w:r>
      <w:r>
        <w:rPr>
          <w:rFonts w:ascii="Times New Roman" w:eastAsia="Times New Roman" w:hAnsi="Times New Roman" w:cs="Times New Roman"/>
          <w:sz w:val="24"/>
        </w:rPr>
        <w:t xml:space="preserve"> </w:t>
      </w:r>
    </w:p>
    <w:p w:rsidR="007617AD" w:rsidRDefault="00EE75C8">
      <w:pPr>
        <w:spacing w:after="74"/>
        <w:ind w:left="703" w:right="62"/>
      </w:pPr>
      <w:r>
        <w:t xml:space="preserve"> </w:t>
      </w:r>
      <w:r>
        <w:tab/>
        <w:t xml:space="preserve">Atendiendo al acuerdo del Consejo de Ministros de 27 de julio de 2021, mediante el que se acuerda: </w:t>
      </w:r>
    </w:p>
    <w:p w:rsidR="007617AD" w:rsidRDefault="00EE75C8">
      <w:pPr>
        <w:spacing w:after="51"/>
        <w:ind w:left="1428" w:right="62" w:hanging="360"/>
      </w:pPr>
      <w:r>
        <w:rPr>
          <w:rFonts w:ascii="Segoe UI Symbol" w:eastAsia="Segoe UI Symbol" w:hAnsi="Segoe UI Symbol" w:cs="Segoe UI Symbol"/>
        </w:rPr>
        <w:t></w:t>
      </w:r>
      <w:r>
        <w:t xml:space="preserve"> “Como ya ocurrió el año pasado, el Acuerdo de Consejo de Ministros también contempla el mantenimiento de la suspensión de las reglas fiscales. Esta m</w:t>
      </w:r>
      <w:r>
        <w:t xml:space="preserve">edida se enmarca en la decisión de la Comisión Europea de mantener la cláusula de salvaguarda también para 2022. Ello permite dotar a los Estados de mayor flexibilidad para afrontar la recuperación. </w:t>
      </w:r>
    </w:p>
    <w:p w:rsidR="007617AD" w:rsidRDefault="00EE75C8">
      <w:pPr>
        <w:spacing w:after="50"/>
        <w:ind w:left="1438" w:right="62"/>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9063" name="Group 259063"/>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9622" name="Rectangle 962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9623" name="Rectangle 9623"/>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47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9063" style="width:12.7031pt;height:280.02pt;position:absolute;mso-position-horizontal-relative:page;mso-position-horizontal:absolute;margin-left:682.278pt;mso-position-vertical-relative:page;margin-top:531.9pt;" coordsize="1613,35562">
                <v:rect id="Rectangle 962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9623"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192 </w:t>
                        </w:r>
                      </w:p>
                    </w:txbxContent>
                  </v:textbox>
                </v:rect>
                <w10:wrap type="square"/>
              </v:group>
            </w:pict>
          </mc:Fallback>
        </mc:AlternateContent>
      </w:r>
      <w:r>
        <w:t>El Gobierno solicitará de nuevo al Congreso de los Diputados q</w:t>
      </w:r>
      <w:r>
        <w:t>ue aprecie si en España concurren las circunstancias extraordinarias previstas en el artículo 135.4 de la Constitución Española y 11.3 de la Ley Orgánica de Estabilidad Presupuestaria y Sostenibilidad Financiera. Es el mismo trámite que se siguió el año an</w:t>
      </w:r>
      <w:r>
        <w:t xml:space="preserve">terior para suspender las reglas fiscales nacionales.”.  </w:t>
      </w:r>
    </w:p>
    <w:p w:rsidR="007617AD" w:rsidRDefault="00EE75C8">
      <w:pPr>
        <w:spacing w:after="52"/>
        <w:ind w:left="703" w:right="62"/>
      </w:pPr>
      <w:r>
        <w:t xml:space="preserve"> La suspensión de las reglas fiscales ha supuesto que el superávit no tenga que dedicarse a amortizar deuda, aun siendo posible realizar esta amortización si la EELL lo considera. La regla del artíc</w:t>
      </w:r>
      <w:r>
        <w:t xml:space="preserve">ulo 32 de la LOEPSF puede no aplicarse a partir del momento en que se han suspendido las reglas fiscales, ya que estas son el fundamento de aquella regla. Regla que conecta con el objetivo de estabilidad presupuestaria y con el de deuda pública.  </w:t>
      </w:r>
    </w:p>
    <w:p w:rsidR="007617AD" w:rsidRDefault="00EE75C8">
      <w:pPr>
        <w:spacing w:after="0"/>
        <w:ind w:left="703" w:right="62"/>
      </w:pPr>
      <w:r>
        <w:t xml:space="preserve"> Al no s</w:t>
      </w:r>
      <w:r>
        <w:t>er aplicable la regla general, tampoco es necesaria la regla especial de destinar el superávit a inversiones financieramente sostenibles, salvo las excepciones siguientes, o mediante norma posterior que prorrogue íntegramente la DA 6ª de la LOEPSF.</w:t>
      </w:r>
      <w:r>
        <w:rPr>
          <w:rFonts w:ascii="Times New Roman" w:eastAsia="Times New Roman" w:hAnsi="Times New Roman" w:cs="Times New Roman"/>
          <w:sz w:val="24"/>
        </w:rPr>
        <w:t xml:space="preserve"> </w:t>
      </w:r>
    </w:p>
    <w:p w:rsidR="007617AD" w:rsidRDefault="00EE75C8">
      <w:pPr>
        <w:spacing w:after="40" w:line="259" w:lineRule="auto"/>
        <w:ind w:left="708" w:firstLine="0"/>
        <w:jc w:val="left"/>
      </w:pPr>
      <w:r>
        <w:t xml:space="preserve"> </w:t>
      </w:r>
      <w:r>
        <w:tab/>
      </w:r>
      <w:r>
        <w:rPr>
          <w:rFonts w:ascii="Times New Roman" w:eastAsia="Times New Roman" w:hAnsi="Times New Roman" w:cs="Times New Roman"/>
          <w:sz w:val="24"/>
        </w:rPr>
        <w:t xml:space="preserve"> </w:t>
      </w:r>
    </w:p>
    <w:p w:rsidR="007617AD" w:rsidRDefault="00EE75C8">
      <w:pPr>
        <w:spacing w:after="30"/>
        <w:ind w:left="703" w:right="62"/>
      </w:pPr>
      <w:r>
        <w:rPr>
          <w:b/>
        </w:rPr>
        <w:t>SE</w:t>
      </w:r>
      <w:r>
        <w:rPr>
          <w:b/>
        </w:rPr>
        <w:t>GUNDO</w:t>
      </w:r>
      <w:r>
        <w:t>. La legislación aplicable es la siguiente:</w:t>
      </w:r>
      <w:r>
        <w:rPr>
          <w:rFonts w:ascii="Times New Roman" w:eastAsia="Times New Roman" w:hAnsi="Times New Roman" w:cs="Times New Roman"/>
          <w:sz w:val="24"/>
        </w:rPr>
        <w:t xml:space="preserve"> </w:t>
      </w:r>
    </w:p>
    <w:p w:rsidR="007617AD" w:rsidRDefault="00EE75C8">
      <w:pPr>
        <w:numPr>
          <w:ilvl w:val="0"/>
          <w:numId w:val="18"/>
        </w:numPr>
        <w:spacing w:after="47" w:line="252" w:lineRule="auto"/>
        <w:ind w:right="62" w:hanging="360"/>
      </w:pPr>
      <w:r>
        <w:t xml:space="preserve">Los artículos 169, 170 y 172 a 177 del Real Decreto Legislativo 2/2004, de 5 de marzo, por el que se aprueba el Texto Refundido de la Ley Reguladora de las Haciendas Locales.  </w:t>
      </w:r>
    </w:p>
    <w:p w:rsidR="007617AD" w:rsidRDefault="00EE75C8">
      <w:pPr>
        <w:numPr>
          <w:ilvl w:val="0"/>
          <w:numId w:val="18"/>
        </w:numPr>
        <w:spacing w:after="52" w:line="248" w:lineRule="auto"/>
        <w:ind w:right="62" w:hanging="360"/>
      </w:pPr>
      <w:r>
        <w:t>Los artículos 34 a 38 del Rea</w:t>
      </w:r>
      <w:r>
        <w:t xml:space="preserve">l Decreto 500/1990, de 20 de abril, por el que se desarrolla el Capítulo I, del Título VI, de la Ley 39/1988, de 28 de diciembre, Reguladora de las Haciendas Locales, en materia de presupuestos. </w:t>
      </w:r>
    </w:p>
    <w:p w:rsidR="007617AD" w:rsidRDefault="00EE75C8">
      <w:pPr>
        <w:numPr>
          <w:ilvl w:val="0"/>
          <w:numId w:val="18"/>
        </w:numPr>
        <w:spacing w:after="54"/>
        <w:ind w:right="62" w:hanging="360"/>
      </w:pPr>
      <w:r>
        <w:t>Los artículos 3, 4, 11, 12, 13, 21, 23 y 32 de la Ley Orgáni</w:t>
      </w:r>
      <w:r>
        <w:t xml:space="preserve">ca 2/2012, de 27 de abril, de Estabilidad Presupuestaria y Sostenibilidad Financiera.  </w:t>
      </w:r>
    </w:p>
    <w:p w:rsidR="007617AD" w:rsidRDefault="00EE75C8">
      <w:pPr>
        <w:numPr>
          <w:ilvl w:val="0"/>
          <w:numId w:val="18"/>
        </w:numPr>
        <w:spacing w:after="51"/>
        <w:ind w:right="62" w:hanging="360"/>
      </w:pPr>
      <w:r>
        <w:t xml:space="preserve">El artículo 16.2 del Real Decreto 1463/2007, de 2 de noviembre, por el que se aprueba el Reglamento de Desarrollo de la Ley 18/2001, de 12 de noviembre, de Estabilidad </w:t>
      </w:r>
      <w:r>
        <w:t xml:space="preserve">Presupuestaria, en su Aplicación a las Entidades Locales. </w:t>
      </w:r>
    </w:p>
    <w:p w:rsidR="007617AD" w:rsidRDefault="00EE75C8">
      <w:pPr>
        <w:numPr>
          <w:ilvl w:val="0"/>
          <w:numId w:val="18"/>
        </w:numPr>
        <w:ind w:right="62" w:hanging="360"/>
      </w:pPr>
      <w:r>
        <w:t xml:space="preserve">El artículo 22.2.e) de la Ley 7/1985, de 2 de abril, Reguladora de las Bases del Régimen Local. </w:t>
      </w:r>
    </w:p>
    <w:p w:rsidR="007617AD" w:rsidRDefault="00EE75C8">
      <w:pPr>
        <w:numPr>
          <w:ilvl w:val="0"/>
          <w:numId w:val="18"/>
        </w:numPr>
        <w:spacing w:after="88"/>
        <w:ind w:right="62" w:hanging="360"/>
      </w:pPr>
      <w:r>
        <w:t xml:space="preserve">La Disposición Adicional 6.ª de la Ley Orgánica 2/2012, de 27 de abril, de Estabilidad Presupuestaria y Sostenibilidad Financiera. </w:t>
      </w:r>
    </w:p>
    <w:p w:rsidR="007617AD" w:rsidRDefault="00EE75C8">
      <w:pPr>
        <w:numPr>
          <w:ilvl w:val="0"/>
          <w:numId w:val="18"/>
        </w:numPr>
        <w:spacing w:after="36"/>
        <w:ind w:right="62" w:hanging="360"/>
      </w:pPr>
      <w:r>
        <w:t>La Orden EHA/3565/2008, de 3 de diciembre, por la que se aprueba la estructura de presupuestos de las entidades locales. - R</w:t>
      </w:r>
      <w:r>
        <w:t>esolución de 14 de septiembre de 2009, de la Dirección General de Coordinación Financiera con las Comunidades Autónomas y con las Entidades Locales, por la que se Dictan Medidas para el Desarrollo de la Orden EHA/3565/2008, de 3 de diciembre, por la que se</w:t>
      </w:r>
      <w:r>
        <w:t xml:space="preserve"> Aprueba la Estructura de los Presupuestos de las Entidades Locales</w:t>
      </w:r>
      <w:r>
        <w:rPr>
          <w:b/>
        </w:rPr>
        <w:t>.</w:t>
      </w:r>
      <w:r>
        <w:rPr>
          <w:rFonts w:ascii="Times New Roman" w:eastAsia="Times New Roman" w:hAnsi="Times New Roman" w:cs="Times New Roman"/>
          <w:sz w:val="24"/>
        </w:rPr>
        <w:t xml:space="preserve"> </w:t>
      </w:r>
    </w:p>
    <w:p w:rsidR="007617AD" w:rsidRDefault="00EE75C8">
      <w:pPr>
        <w:numPr>
          <w:ilvl w:val="0"/>
          <w:numId w:val="18"/>
        </w:numPr>
        <w:spacing w:after="51"/>
        <w:ind w:right="62" w:hanging="360"/>
      </w:pPr>
      <w:r>
        <w:t xml:space="preserve">La Disposición Adicional 16.ª del Texto Refundido de la Ley Reguladora de las Haciendas Locales.  </w:t>
      </w:r>
    </w:p>
    <w:p w:rsidR="007617AD" w:rsidRDefault="00EE75C8">
      <w:pPr>
        <w:numPr>
          <w:ilvl w:val="0"/>
          <w:numId w:val="18"/>
        </w:numPr>
        <w:spacing w:after="53"/>
        <w:ind w:right="62" w:hanging="360"/>
      </w:pPr>
      <w:r>
        <w:t>Acuerdo del Congreso de los Diputados del 22 de septiembre de 2021, relativo al Objetivo de Estabilidad Presupuestaria, según acuerdo del Consejo de Ministros de 6 de octubre de 2020 de “Someter a la deliberación del Pleno, a los efectos previstos en los a</w:t>
      </w:r>
      <w:r>
        <w:t xml:space="preserve">rtículos 135.4 de la Constitución y 11.3 de la Ley Orgánica 2/2012, de 27 de abril, de Estabilidad Presupuestaria y Sostenibilidad Financiera y publicar en el Boletín Oficial de las Cortes Generales.” </w:t>
      </w:r>
    </w:p>
    <w:p w:rsidR="007617AD" w:rsidRDefault="00EE75C8">
      <w:pPr>
        <w:spacing w:after="0" w:line="259" w:lineRule="auto"/>
        <w:ind w:left="708" w:firstLine="0"/>
        <w:jc w:val="left"/>
      </w:pPr>
      <w:r>
        <w:t xml:space="preserve"> </w:t>
      </w:r>
    </w:p>
    <w:p w:rsidR="007617AD" w:rsidRDefault="00EE75C8">
      <w:pPr>
        <w:spacing w:after="0"/>
        <w:ind w:left="703" w:right="62"/>
      </w:pPr>
      <w:r>
        <w:rPr>
          <w:b/>
        </w:rPr>
        <w:t>TERCERO</w:t>
      </w:r>
      <w:r>
        <w:t>: Considerando que el artículo 177 del Real D</w:t>
      </w:r>
      <w:r>
        <w:t>ecreto Legislativo 2/2004, de 5 de marzo, por el que se aprueba el texto refundido de la Ley Reguladora de las Haciendas Locales, regula los expedientes de modificación presupuestaria mediante créditos extraordinarios y suplementos de crédito, al señalar q</w:t>
      </w:r>
      <w:r>
        <w:t>ue:</w:t>
      </w:r>
      <w:r>
        <w:rPr>
          <w:rFonts w:ascii="Times New Roman" w:eastAsia="Times New Roman" w:hAnsi="Times New Roman" w:cs="Times New Roman"/>
          <w:sz w:val="24"/>
        </w:rPr>
        <w:t xml:space="preserve"> </w:t>
      </w:r>
    </w:p>
    <w:p w:rsidR="007617AD" w:rsidRDefault="00EE75C8">
      <w:pPr>
        <w:numPr>
          <w:ilvl w:val="0"/>
          <w:numId w:val="19"/>
        </w:numPr>
        <w:spacing w:after="6"/>
        <w:ind w:right="62" w:hanging="360"/>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9316" name="Group 25931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9746" name="Rectangle 974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9747" name="Rectangle 9747"/>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48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9316" style="width:12.7031pt;height:280.02pt;position:absolute;mso-position-horizontal-relative:page;mso-position-horizontal:absolute;margin-left:682.278pt;mso-position-vertical-relative:page;margin-top:531.9pt;" coordsize="1613,35562">
                <v:rect id="Rectangle 974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9747"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192 </w:t>
                        </w:r>
                      </w:p>
                    </w:txbxContent>
                  </v:textbox>
                </v:rect>
                <w10:wrap type="square"/>
              </v:group>
            </w:pict>
          </mc:Fallback>
        </mc:AlternateContent>
      </w:r>
      <w:r>
        <w:t>Cuando haya de realizarse algún gasto que no pueda demorarse hasta el ejercicio siguiente, y sea insuficiente en el presupuesto de la corporación el crédito consignado, el presidente de la corporación ordenará la incoación del expediente de suplemento de c</w:t>
      </w:r>
      <w:r>
        <w:t xml:space="preserve">rédito.  </w:t>
      </w:r>
    </w:p>
    <w:p w:rsidR="007617AD" w:rsidRDefault="00EE75C8">
      <w:pPr>
        <w:numPr>
          <w:ilvl w:val="0"/>
          <w:numId w:val="19"/>
        </w:numPr>
        <w:spacing w:after="6"/>
        <w:ind w:right="62" w:hanging="360"/>
      </w:pPr>
      <w:r>
        <w:t>El expediente, que habrá de ser previamente informado por la Intervención, se someterá a la aprobación del Pleno de la corporación, con sujeción a los mismos trámites y requisitos que los presupuestos. Serán, asimismo, de aplicación, las normas s</w:t>
      </w:r>
      <w:r>
        <w:t xml:space="preserve">obre información, reclamación y publicidad de los presupuestos a que se refiere el artículo 169 de esta ley.  </w:t>
      </w:r>
    </w:p>
    <w:p w:rsidR="007617AD" w:rsidRDefault="00EE75C8">
      <w:pPr>
        <w:numPr>
          <w:ilvl w:val="0"/>
          <w:numId w:val="19"/>
        </w:numPr>
        <w:spacing w:after="42"/>
        <w:ind w:right="62" w:hanging="360"/>
      </w:pPr>
      <w:r>
        <w:t>El expediente deberá especificar la concreta partida presupuestaria a incrementar y el medio o recurso que ha de financiar el aumento que se prop</w:t>
      </w:r>
      <w:r>
        <w:t xml:space="preserve">one. </w:t>
      </w:r>
    </w:p>
    <w:p w:rsidR="007617AD" w:rsidRDefault="00EE75C8">
      <w:pPr>
        <w:numPr>
          <w:ilvl w:val="0"/>
          <w:numId w:val="19"/>
        </w:numPr>
        <w:spacing w:after="0"/>
        <w:ind w:right="62" w:hanging="360"/>
      </w:pPr>
      <w:r>
        <w:t>Dicho aumento se financiará con cargo al remanente líquido de tesorería, con nuevos o mayores ingresos recaudados sobre los totales previstos en el presupuesto corriente, y mediante anulaciones o bajas de créditos de gastos de otras partidas del pres</w:t>
      </w:r>
      <w:r>
        <w:t>upuesto vigente no comprometidos, cuyas dotaciones se estimen reducibles sin perturbación del respectivo servicio. En el expediente se acreditará que los ingresos previstos en el presupuesto vengan efectuándose con normalidad, salvo que aquéllos tengan car</w:t>
      </w:r>
      <w:r>
        <w:t xml:space="preserve">ácter finalista. </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4"/>
        <w:ind w:left="703" w:right="62"/>
      </w:pPr>
      <w:r>
        <w:rPr>
          <w:b/>
        </w:rPr>
        <w:t>CUARTO:</w:t>
      </w:r>
      <w:r>
        <w:t xml:space="preserve"> Vista la Liquidación del Presupuesto general 2021, aprobada por decreto 597/2022 de 16/03/2021, donde se aprueba un Remanente de Tesorería para gastos Generales (RTGG) por un importe de 18.482.024,15€.</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r>
        <w:tab/>
        <w:t xml:space="preserve"> </w:t>
      </w:r>
    </w:p>
    <w:p w:rsidR="007617AD" w:rsidRDefault="00EE75C8">
      <w:pPr>
        <w:spacing w:after="9"/>
        <w:ind w:left="703" w:right="62"/>
      </w:pPr>
      <w:r>
        <w:t xml:space="preserve"> Y visto los expedie</w:t>
      </w:r>
      <w:r>
        <w:t xml:space="preserve">ntes de modificación presupuestaria financiados con cargo al Remanente de Tesorería para Gastos generales que se detallan a continuación, queda un disponible de RTGG de 8.917.841,37€.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right="9572" w:firstLine="0"/>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309801" name="Group 309801"/>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0527" name="Rectangle 1052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Verificación: https</w:t>
                              </w:r>
                              <w:r>
                                <w:rPr>
                                  <w:sz w:val="12"/>
                                </w:rPr>
                                <w:t xml:space="preserve">://candelaria.sedelectronica.es/ </w:t>
                              </w:r>
                            </w:p>
                          </w:txbxContent>
                        </wps:txbx>
                        <wps:bodyPr horzOverflow="overflow" vert="horz" lIns="0" tIns="0" rIns="0" bIns="0" rtlCol="0">
                          <a:noAutofit/>
                        </wps:bodyPr>
                      </wps:wsp>
                      <wps:wsp>
                        <wps:cNvPr id="10528" name="Rectangle 10528"/>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49 de 192 </w:t>
                              </w:r>
                            </w:p>
                          </w:txbxContent>
                        </wps:txbx>
                        <wps:bodyPr horzOverflow="overflow" vert="horz" lIns="0" tIns="0" rIns="0" bIns="0" rtlCol="0">
                          <a:noAutofit/>
                        </wps:bodyPr>
                      </wps:wsp>
                    </wpg:wgp>
                  </a:graphicData>
                </a:graphic>
              </wp:anchor>
            </w:drawing>
          </mc:Choice>
          <mc:Fallback xmlns:a="http://schemas.openxmlformats.org/drawingml/2006/main">
            <w:pict>
              <v:group id="Group 309801" style="width:12.7031pt;height:280.02pt;position:absolute;mso-position-horizontal-relative:page;mso-position-horizontal:absolute;margin-left:682.278pt;mso-position-vertical-relative:page;margin-top:531.9pt;" coordsize="1613,35562">
                <v:rect id="Rectangle 1052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0528"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192 </w:t>
                        </w:r>
                      </w:p>
                    </w:txbxContent>
                  </v:textbox>
                </v:rect>
                <w10:wrap type="topAndBottom"/>
              </v:group>
            </w:pict>
          </mc:Fallback>
        </mc:AlternateContent>
      </w:r>
      <w:r>
        <w:t xml:space="preserve"> </w:t>
      </w:r>
      <w:r>
        <w:rPr>
          <w:rFonts w:ascii="Times New Roman" w:eastAsia="Times New Roman" w:hAnsi="Times New Roman" w:cs="Times New Roman"/>
          <w:sz w:val="24"/>
        </w:rPr>
        <w:t xml:space="preserve"> </w:t>
      </w:r>
    </w:p>
    <w:tbl>
      <w:tblPr>
        <w:tblStyle w:val="TableGrid"/>
        <w:tblW w:w="8543" w:type="dxa"/>
        <w:tblInd w:w="708" w:type="dxa"/>
        <w:tblCellMar>
          <w:top w:w="5" w:type="dxa"/>
          <w:left w:w="70" w:type="dxa"/>
          <w:bottom w:w="0" w:type="dxa"/>
          <w:right w:w="14" w:type="dxa"/>
        </w:tblCellMar>
        <w:tblLook w:val="04A0" w:firstRow="1" w:lastRow="0" w:firstColumn="1" w:lastColumn="0" w:noHBand="0" w:noVBand="1"/>
      </w:tblPr>
      <w:tblGrid>
        <w:gridCol w:w="1262"/>
        <w:gridCol w:w="3466"/>
        <w:gridCol w:w="2384"/>
        <w:gridCol w:w="1431"/>
      </w:tblGrid>
      <w:tr w:rsidR="007617AD">
        <w:trPr>
          <w:trHeight w:val="240"/>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6" w:firstLine="0"/>
            </w:pPr>
            <w:r>
              <w:rPr>
                <w:b/>
                <w:sz w:val="20"/>
              </w:rPr>
              <w:t>Expediente</w:t>
            </w:r>
            <w:r>
              <w:rPr>
                <w:rFonts w:ascii="Times New Roman" w:eastAsia="Times New Roman" w:hAnsi="Times New Roman" w:cs="Times New Roman"/>
                <w:sz w:val="24"/>
              </w:rPr>
              <w:t xml:space="preserve">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4" w:firstLine="0"/>
              <w:jc w:val="center"/>
            </w:pPr>
            <w:r>
              <w:rPr>
                <w:b/>
                <w:sz w:val="20"/>
              </w:rPr>
              <w:t xml:space="preserve">Tipo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9" w:firstLine="0"/>
              <w:jc w:val="center"/>
            </w:pPr>
            <w:r>
              <w:rPr>
                <w:b/>
                <w:sz w:val="20"/>
              </w:rPr>
              <w:t xml:space="preserve">Aprobación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9" w:firstLine="0"/>
              <w:jc w:val="center"/>
            </w:pPr>
            <w:r>
              <w:rPr>
                <w:b/>
                <w:sz w:val="20"/>
              </w:rPr>
              <w:t xml:space="preserve">Importe </w:t>
            </w:r>
          </w:p>
        </w:tc>
      </w:tr>
      <w:tr w:rsidR="007617AD">
        <w:trPr>
          <w:trHeight w:val="468"/>
        </w:trPr>
        <w:tc>
          <w:tcPr>
            <w:tcW w:w="1262"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89" w:firstLine="0"/>
              <w:jc w:val="left"/>
            </w:pPr>
            <w:r>
              <w:rPr>
                <w:sz w:val="20"/>
              </w:rPr>
              <w:t xml:space="preserve">2916/2022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Incorporación de remanentes de créditos </w:t>
            </w:r>
          </w:p>
        </w:tc>
        <w:tc>
          <w:tcPr>
            <w:tcW w:w="238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left"/>
            </w:pPr>
            <w:r>
              <w:rPr>
                <w:sz w:val="20"/>
              </w:rPr>
              <w:t xml:space="preserve">Decreto 701/2022 </w:t>
            </w:r>
          </w:p>
        </w:tc>
        <w:tc>
          <w:tcPr>
            <w:tcW w:w="1431"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58" w:firstLine="0"/>
              <w:jc w:val="right"/>
            </w:pPr>
            <w:r>
              <w:rPr>
                <w:sz w:val="20"/>
              </w:rPr>
              <w:t>5.236.870,63</w:t>
            </w:r>
            <w:r>
              <w:rPr>
                <w:sz w:val="20"/>
              </w:rPr>
              <w:t xml:space="preserve"> </w:t>
            </w:r>
          </w:p>
        </w:tc>
      </w:tr>
      <w:tr w:rsidR="007617AD">
        <w:trPr>
          <w:trHeight w:val="240"/>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89" w:firstLine="0"/>
              <w:jc w:val="left"/>
            </w:pPr>
            <w:r>
              <w:rPr>
                <w:sz w:val="20"/>
              </w:rPr>
              <w:t xml:space="preserve">2655/2022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Créditos extraordinarios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Marzo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1.348.216,10 </w:t>
            </w:r>
          </w:p>
        </w:tc>
      </w:tr>
      <w:tr w:rsidR="007617AD">
        <w:trPr>
          <w:trHeight w:val="240"/>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89" w:firstLine="0"/>
              <w:jc w:val="left"/>
            </w:pPr>
            <w:r>
              <w:rPr>
                <w:sz w:val="20"/>
              </w:rPr>
              <w:t xml:space="preserve">3574/2022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Créditos extraordinarios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Abril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721.010,97 </w:t>
            </w:r>
          </w:p>
        </w:tc>
      </w:tr>
      <w:tr w:rsidR="007617AD">
        <w:trPr>
          <w:trHeight w:val="240"/>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89" w:firstLine="0"/>
              <w:jc w:val="left"/>
            </w:pPr>
            <w:r>
              <w:rPr>
                <w:sz w:val="20"/>
              </w:rPr>
              <w:t xml:space="preserve">3899/2022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Suplemento de Créditos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Abril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180.282,67 </w:t>
            </w:r>
          </w:p>
        </w:tc>
      </w:tr>
      <w:tr w:rsidR="007617AD">
        <w:trPr>
          <w:trHeight w:val="471"/>
        </w:trPr>
        <w:tc>
          <w:tcPr>
            <w:tcW w:w="1262"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89" w:firstLine="0"/>
              <w:jc w:val="left"/>
            </w:pPr>
            <w:r>
              <w:rPr>
                <w:sz w:val="20"/>
              </w:rPr>
              <w:t xml:space="preserve">4246/2022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Incorporación de remanentes de créditos </w:t>
            </w:r>
          </w:p>
        </w:tc>
        <w:tc>
          <w:tcPr>
            <w:tcW w:w="238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left"/>
            </w:pPr>
            <w:r>
              <w:rPr>
                <w:sz w:val="20"/>
              </w:rPr>
              <w:t xml:space="preserve">Decreto 1146/2022 </w:t>
            </w:r>
          </w:p>
        </w:tc>
        <w:tc>
          <w:tcPr>
            <w:tcW w:w="1431"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58" w:firstLine="0"/>
              <w:jc w:val="right"/>
            </w:pPr>
            <w:r>
              <w:rPr>
                <w:sz w:val="20"/>
              </w:rPr>
              <w:t xml:space="preserve">9.525,47 </w:t>
            </w:r>
          </w:p>
        </w:tc>
      </w:tr>
      <w:tr w:rsidR="007617AD">
        <w:trPr>
          <w:trHeight w:val="240"/>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4560/2022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Creditos extraordinarios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Mayo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2.000.972,48 </w:t>
            </w:r>
          </w:p>
        </w:tc>
      </w:tr>
      <w:tr w:rsidR="007617AD">
        <w:trPr>
          <w:trHeight w:val="240"/>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4834/2022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Suplementos de Créditos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Mayo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9" w:firstLine="0"/>
              <w:jc w:val="right"/>
            </w:pPr>
            <w:r>
              <w:rPr>
                <w:sz w:val="20"/>
              </w:rPr>
              <w:t xml:space="preserve">67.304,46 </w:t>
            </w:r>
          </w:p>
        </w:tc>
      </w:tr>
      <w:tr w:rsidR="007617AD">
        <w:trPr>
          <w:trHeight w:val="240"/>
        </w:trPr>
        <w:tc>
          <w:tcPr>
            <w:tcW w:w="1262"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3466" w:type="dxa"/>
            <w:tcBorders>
              <w:top w:val="single" w:sz="4" w:space="0" w:color="000000"/>
              <w:left w:val="nil"/>
              <w:bottom w:val="single" w:sz="4" w:space="0" w:color="000000"/>
              <w:right w:val="nil"/>
            </w:tcBorders>
          </w:tcPr>
          <w:p w:rsidR="007617AD" w:rsidRDefault="007617AD">
            <w:pPr>
              <w:spacing w:after="160" w:line="259" w:lineRule="auto"/>
              <w:ind w:left="0" w:firstLine="0"/>
              <w:jc w:val="left"/>
            </w:pPr>
          </w:p>
        </w:tc>
        <w:tc>
          <w:tcPr>
            <w:tcW w:w="2384" w:type="dxa"/>
            <w:tcBorders>
              <w:top w:val="single" w:sz="4" w:space="0" w:color="000000"/>
              <w:left w:val="nil"/>
              <w:bottom w:val="single" w:sz="4" w:space="0" w:color="000000"/>
              <w:right w:val="single" w:sz="4" w:space="0" w:color="000000"/>
            </w:tcBorders>
          </w:tcPr>
          <w:p w:rsidR="007617AD" w:rsidRDefault="00EE75C8">
            <w:pPr>
              <w:spacing w:after="0" w:line="259" w:lineRule="auto"/>
              <w:ind w:left="0" w:right="53" w:firstLine="0"/>
              <w:jc w:val="right"/>
            </w:pPr>
            <w:r>
              <w:rPr>
                <w:b/>
                <w:sz w:val="20"/>
              </w:rPr>
              <w:t xml:space="preserve">Total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b/>
                <w:sz w:val="20"/>
              </w:rPr>
              <w:t xml:space="preserve">9.564.182,78 </w:t>
            </w:r>
          </w:p>
        </w:tc>
      </w:tr>
    </w:tbl>
    <w:p w:rsidR="007617AD" w:rsidRDefault="00EE75C8">
      <w:pPr>
        <w:spacing w:after="19" w:line="259" w:lineRule="auto"/>
        <w:ind w:left="708" w:firstLine="0"/>
        <w:jc w:val="left"/>
      </w:pPr>
      <w:r>
        <w:rPr>
          <w:sz w:val="20"/>
        </w:rPr>
        <w:t xml:space="preserve"> </w:t>
      </w:r>
    </w:p>
    <w:p w:rsidR="007617AD" w:rsidRDefault="00EE75C8">
      <w:pPr>
        <w:spacing w:after="0" w:line="259" w:lineRule="auto"/>
        <w:ind w:left="708" w:firstLine="0"/>
        <w:jc w:val="left"/>
      </w:pPr>
      <w:r>
        <w:rPr>
          <w:rFonts w:ascii="Times New Roman" w:eastAsia="Times New Roman" w:hAnsi="Times New Roman" w:cs="Times New Roman"/>
          <w:b/>
          <w:sz w:val="24"/>
        </w:rPr>
        <w:t xml:space="preserve"> </w:t>
      </w:r>
    </w:p>
    <w:p w:rsidR="007617AD" w:rsidRDefault="00EE75C8">
      <w:pPr>
        <w:spacing w:after="0"/>
        <w:ind w:left="703" w:right="62"/>
      </w:pPr>
      <w:r>
        <w:rPr>
          <w:b/>
        </w:rPr>
        <w:t>QUINTO:</w:t>
      </w:r>
      <w:r>
        <w:t xml:space="preserve"> Que el expediente de modificación presupuestaria </w:t>
      </w:r>
      <w:r>
        <w:rPr>
          <w:b/>
        </w:rPr>
        <w:t>5316/2022</w:t>
      </w:r>
      <w:r>
        <w:t xml:space="preserve"> </w:t>
      </w:r>
      <w:r>
        <w:t xml:space="preserve">de modificación presupuestaria por </w:t>
      </w:r>
      <w:r>
        <w:rPr>
          <w:b/>
        </w:rPr>
        <w:t xml:space="preserve">Créditos extraordinarios </w:t>
      </w:r>
      <w:r>
        <w:t xml:space="preserve">financiado con Remanente de Tesorería para gastos generales, por una cantidad total de </w:t>
      </w:r>
      <w:r>
        <w:rPr>
          <w:b/>
        </w:rPr>
        <w:t>1.380.537,83 euros</w:t>
      </w:r>
      <w:r>
        <w:t>, de acuerdo al siguiente detalle:</w:t>
      </w:r>
      <w:r>
        <w:rPr>
          <w:rFonts w:ascii="Times New Roman" w:eastAsia="Times New Roman" w:hAnsi="Times New Roman" w:cs="Times New Roman"/>
          <w:sz w:val="24"/>
        </w:rPr>
        <w:t xml:space="preserve"> </w:t>
      </w:r>
    </w:p>
    <w:p w:rsidR="007617AD" w:rsidRDefault="00EE75C8">
      <w:pPr>
        <w:spacing w:after="0" w:line="259" w:lineRule="auto"/>
        <w:ind w:left="708" w:right="9572" w:firstLine="0"/>
        <w:jc w:val="left"/>
      </w:pPr>
      <w:r>
        <w:t xml:space="preserve"> </w:t>
      </w:r>
      <w:r>
        <w:rPr>
          <w:rFonts w:ascii="Times New Roman" w:eastAsia="Times New Roman" w:hAnsi="Times New Roman" w:cs="Times New Roman"/>
          <w:sz w:val="24"/>
        </w:rPr>
        <w:t xml:space="preserve"> </w:t>
      </w:r>
    </w:p>
    <w:tbl>
      <w:tblPr>
        <w:tblStyle w:val="TableGrid"/>
        <w:tblW w:w="8637" w:type="dxa"/>
        <w:tblInd w:w="784" w:type="dxa"/>
        <w:tblCellMar>
          <w:top w:w="3" w:type="dxa"/>
          <w:left w:w="68" w:type="dxa"/>
          <w:bottom w:w="6" w:type="dxa"/>
          <w:right w:w="24" w:type="dxa"/>
        </w:tblCellMar>
        <w:tblLook w:val="04A0" w:firstRow="1" w:lastRow="0" w:firstColumn="1" w:lastColumn="0" w:noHBand="0" w:noVBand="1"/>
      </w:tblPr>
      <w:tblGrid>
        <w:gridCol w:w="902"/>
        <w:gridCol w:w="1029"/>
        <w:gridCol w:w="5632"/>
        <w:gridCol w:w="1074"/>
      </w:tblGrid>
      <w:tr w:rsidR="007617AD">
        <w:trPr>
          <w:trHeight w:val="287"/>
        </w:trPr>
        <w:tc>
          <w:tcPr>
            <w:tcW w:w="7562" w:type="dxa"/>
            <w:gridSpan w:val="3"/>
            <w:tcBorders>
              <w:top w:val="single" w:sz="4" w:space="0" w:color="000000"/>
              <w:left w:val="single" w:sz="4" w:space="0" w:color="000000"/>
              <w:bottom w:val="single" w:sz="4" w:space="0" w:color="000000"/>
              <w:right w:val="nil"/>
            </w:tcBorders>
            <w:vAlign w:val="bottom"/>
          </w:tcPr>
          <w:p w:rsidR="007617AD" w:rsidRDefault="00EE75C8">
            <w:pPr>
              <w:spacing w:after="0" w:line="259" w:lineRule="auto"/>
              <w:ind w:left="1023" w:firstLine="0"/>
              <w:jc w:val="center"/>
            </w:pPr>
            <w:r>
              <w:rPr>
                <w:rFonts w:ascii="Times New Roman" w:eastAsia="Times New Roman" w:hAnsi="Times New Roman" w:cs="Times New Roman"/>
                <w:b/>
                <w:sz w:val="14"/>
              </w:rPr>
              <w:t>Estado de Gastos</w:t>
            </w:r>
            <w:r>
              <w:rPr>
                <w:rFonts w:ascii="Times New Roman" w:eastAsia="Times New Roman" w:hAnsi="Times New Roman" w:cs="Times New Roman"/>
                <w:sz w:val="24"/>
              </w:rPr>
              <w:t xml:space="preserve"> </w:t>
            </w:r>
          </w:p>
        </w:tc>
        <w:tc>
          <w:tcPr>
            <w:tcW w:w="1075"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r>
      <w:tr w:rsidR="007617AD">
        <w:trPr>
          <w:trHeight w:val="814"/>
        </w:trPr>
        <w:tc>
          <w:tcPr>
            <w:tcW w:w="8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firstLine="0"/>
              <w:jc w:val="center"/>
            </w:pPr>
            <w:r>
              <w:rPr>
                <w:b/>
                <w:sz w:val="16"/>
              </w:rPr>
              <w:t xml:space="preserve">Proyecto Gasto  </w:t>
            </w:r>
          </w:p>
        </w:tc>
        <w:tc>
          <w:tcPr>
            <w:tcW w:w="10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43" w:firstLine="0"/>
              <w:jc w:val="left"/>
            </w:pPr>
            <w:r>
              <w:rPr>
                <w:b/>
                <w:sz w:val="16"/>
              </w:rPr>
              <w:t xml:space="preserve">Aplicación </w:t>
            </w:r>
          </w:p>
        </w:tc>
        <w:tc>
          <w:tcPr>
            <w:tcW w:w="57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right="44" w:firstLine="0"/>
              <w:jc w:val="center"/>
            </w:pPr>
            <w:r>
              <w:rPr>
                <w:b/>
                <w:sz w:val="16"/>
              </w:rPr>
              <w:t xml:space="preserve">Denominación  </w:t>
            </w:r>
          </w:p>
        </w:tc>
        <w:tc>
          <w:tcPr>
            <w:tcW w:w="107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right="42" w:firstLine="0"/>
              <w:jc w:val="center"/>
            </w:pPr>
            <w:r>
              <w:rPr>
                <w:b/>
                <w:sz w:val="16"/>
              </w:rPr>
              <w:t xml:space="preserve">Estimado </w:t>
            </w:r>
          </w:p>
        </w:tc>
      </w:tr>
      <w:tr w:rsidR="007617AD">
        <w:trPr>
          <w:trHeight w:val="287"/>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1532061903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REASFALTADO PARKING LOS BREZOS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20.551,49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1532061904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ASFALTADO TRASERA POLIDEPORTIVO CUEVECITAS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17.242,35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1532061905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ZONAS DE APARCAMIENTOS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110.551,49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1710062501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RENOVACION PARQUES INFANTILES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186.187,85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1710062502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CUBIERTA Y AMPLIACIÓN PARQUE EBAR PUNTA LARGA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104.922,26 </w:t>
            </w:r>
          </w:p>
        </w:tc>
      </w:tr>
      <w:tr w:rsidR="007617AD">
        <w:trPr>
          <w:trHeight w:val="288"/>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1710062503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PARQUE INFANTIL CUEVECITAS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48.977,55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REFORMA PISO Y TUBERIA COMDOR CEIP PRINCIPE FELIPE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17.136,55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3230061902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SUSTITUCIÓN ALICATADO CEIP PRINCIPE FELIPE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93.346,60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3230061903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AMPLIACION DE COMEDOR CEIP IGUESTE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1.637,10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3230061904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REPARACION DE ESCALERA PRINCIPAL CEIP IGUESTE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3.670,10 </w:t>
            </w:r>
          </w:p>
        </w:tc>
      </w:tr>
      <w:tr w:rsidR="007617AD">
        <w:trPr>
          <w:trHeight w:val="379"/>
        </w:trPr>
        <w:tc>
          <w:tcPr>
            <w:tcW w:w="82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2" w:firstLine="0"/>
            </w:pPr>
            <w:r>
              <w:rPr>
                <w:sz w:val="16"/>
              </w:rPr>
              <w:t xml:space="preserve">3230061905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right="13" w:firstLine="0"/>
              <w:jc w:val="left"/>
            </w:pPr>
            <w:r>
              <w:rPr>
                <w:sz w:val="16"/>
              </w:rPr>
              <w:t xml:space="preserve">ACONDICIONAMIENTO SERVICIOS CEIP CARMEN ALVAREZ DE LA ROSA </w:t>
            </w:r>
          </w:p>
        </w:tc>
        <w:tc>
          <w:tcPr>
            <w:tcW w:w="1075"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5" w:firstLine="0"/>
              <w:jc w:val="right"/>
            </w:pPr>
            <w:r>
              <w:rPr>
                <w:sz w:val="16"/>
              </w:rPr>
              <w:t xml:space="preserve">34.843,54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3230061906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RENOVACION PARQUE INFANTIL CEIP IGUESTE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14.877,88 </w:t>
            </w:r>
          </w:p>
        </w:tc>
      </w:tr>
      <w:tr w:rsidR="007617AD">
        <w:trPr>
          <w:trHeight w:val="377"/>
        </w:trPr>
        <w:tc>
          <w:tcPr>
            <w:tcW w:w="82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2" w:firstLine="0"/>
            </w:pPr>
            <w:r>
              <w:rPr>
                <w:sz w:val="16"/>
              </w:rPr>
              <w:t xml:space="preserve">3340022711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CREACION CONTENIDO DIVULGATIVO GRUPOS ESCULTORICOS CANDELARI </w:t>
            </w:r>
          </w:p>
        </w:tc>
        <w:tc>
          <w:tcPr>
            <w:tcW w:w="1075"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4" w:firstLine="0"/>
              <w:jc w:val="right"/>
            </w:pPr>
            <w:r>
              <w:rPr>
                <w:sz w:val="16"/>
              </w:rPr>
              <w:t xml:space="preserve">3.500,00 </w:t>
            </w:r>
          </w:p>
        </w:tc>
      </w:tr>
      <w:tr w:rsidR="007617AD">
        <w:trPr>
          <w:trHeight w:val="288"/>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3340061903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CERRAMIENTO ALUMINIO CENTRO CULTURAL MALPAIS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22.219,99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3340061904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CERRAMIENTO ALUMINIO CINE VIEJO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12.232,00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3340061905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REFORMA EN LOCAL ENSAYO BANDA NUEVA DE IGUESTE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6.072,25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3410022711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PREPARACION Y REALIZACION MURAL SKATEPARK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14.915,80 </w:t>
            </w:r>
          </w:p>
        </w:tc>
      </w:tr>
      <w:tr w:rsidR="007617AD">
        <w:trPr>
          <w:trHeight w:val="379"/>
        </w:trPr>
        <w:tc>
          <w:tcPr>
            <w:tcW w:w="82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2" w:firstLine="0"/>
            </w:pPr>
            <w:r>
              <w:rPr>
                <w:sz w:val="16"/>
              </w:rPr>
              <w:t xml:space="preserve">3410061911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INSTALACIÓN DE BAJA TENSIÓN Y MARQUESINA CAMPO DE FUTBOL BRU </w:t>
            </w:r>
          </w:p>
        </w:tc>
        <w:tc>
          <w:tcPr>
            <w:tcW w:w="1075"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5" w:firstLine="0"/>
              <w:jc w:val="right"/>
            </w:pPr>
            <w:r>
              <w:rPr>
                <w:sz w:val="16"/>
              </w:rPr>
              <w:t xml:space="preserve">380.137,19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3410061912</w:t>
            </w:r>
            <w:r>
              <w:rPr>
                <w:sz w:val="16"/>
              </w:rPr>
              <w:t xml:space="preserve">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MODULO LANZAMIENTO ATLETISMO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4.584,95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4590061904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REHABILITACION AVENIDA CONSTITUCION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88.306,43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4590061905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OBRA MURO CHA CONCHA EN ARAYA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14.107,12 </w:t>
            </w:r>
          </w:p>
        </w:tc>
      </w:tr>
      <w:tr w:rsidR="007617AD">
        <w:trPr>
          <w:trHeight w:val="281"/>
        </w:trPr>
        <w:tc>
          <w:tcPr>
            <w:tcW w:w="823" w:type="dxa"/>
            <w:tcBorders>
              <w:top w:val="nil"/>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nil"/>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4590061906 </w:t>
            </w:r>
          </w:p>
        </w:tc>
        <w:tc>
          <w:tcPr>
            <w:tcW w:w="5709" w:type="dxa"/>
            <w:tcBorders>
              <w:top w:val="nil"/>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MEJORAS EN POLIDPORTIVO CUEVECITAS </w:t>
            </w:r>
          </w:p>
        </w:tc>
        <w:tc>
          <w:tcPr>
            <w:tcW w:w="1075" w:type="dxa"/>
            <w:tcBorders>
              <w:top w:val="nil"/>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20.203,06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4590061907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ACONDICIONAMIENTO PLAZA CRUZ DEL CAMINO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35.406,30 </w:t>
            </w:r>
          </w:p>
        </w:tc>
      </w:tr>
      <w:tr w:rsidR="007617AD">
        <w:trPr>
          <w:trHeight w:val="288"/>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4590061908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ACONDICIONAMIENTO TRAMO HUNDIDO CALLE LA VERA ARAYA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6.634,00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4590061909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DEMOLICION Y CANALIZACION ACERA AVDA CONSTITUCION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60.612,50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4590061911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ACONDICIONAMIENTO PLAZA EL TAGORILLO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42.666,50 </w:t>
            </w:r>
          </w:p>
        </w:tc>
      </w:tr>
      <w:tr w:rsidR="007617AD">
        <w:trPr>
          <w:trHeight w:val="286"/>
        </w:trPr>
        <w:tc>
          <w:tcPr>
            <w:tcW w:w="82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4590062500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CONTENEDORES RSU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14.994,98 </w:t>
            </w:r>
          </w:p>
        </w:tc>
      </w:tr>
      <w:tr w:rsidR="007617AD">
        <w:trPr>
          <w:trHeight w:val="286"/>
        </w:trPr>
        <w:tc>
          <w:tcPr>
            <w:tcW w:w="1853"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1" w:firstLine="0"/>
              <w:jc w:val="center"/>
            </w:pPr>
            <w:r>
              <w:rPr>
                <w:b/>
                <w:sz w:val="16"/>
              </w:rPr>
              <w:t xml:space="preserve">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7" w:firstLine="0"/>
              <w:jc w:val="right"/>
            </w:pPr>
            <w:r>
              <w:rPr>
                <w:b/>
                <w:sz w:val="16"/>
              </w:rPr>
              <w:t xml:space="preserve">Total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b/>
                <w:sz w:val="16"/>
              </w:rPr>
              <w:t xml:space="preserve">1.380.537,83 </w:t>
            </w:r>
          </w:p>
        </w:tc>
      </w:tr>
      <w:tr w:rsidR="007617AD">
        <w:trPr>
          <w:trHeight w:val="288"/>
        </w:trPr>
        <w:tc>
          <w:tcPr>
            <w:tcW w:w="8637" w:type="dxa"/>
            <w:gridSpan w:val="4"/>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3" w:firstLine="0"/>
              <w:jc w:val="center"/>
            </w:pPr>
            <w:r>
              <w:rPr>
                <w:b/>
                <w:sz w:val="16"/>
              </w:rPr>
              <w:t xml:space="preserve">Estado de Ingresos </w:t>
            </w:r>
          </w:p>
        </w:tc>
      </w:tr>
      <w:tr w:rsidR="007617AD">
        <w:trPr>
          <w:trHeight w:val="376"/>
        </w:trPr>
        <w:tc>
          <w:tcPr>
            <w:tcW w:w="823" w:type="dxa"/>
            <w:tcBorders>
              <w:top w:val="single" w:sz="4" w:space="0" w:color="000000"/>
              <w:left w:val="single" w:sz="4" w:space="0" w:color="000000"/>
              <w:bottom w:val="single" w:sz="4" w:space="0" w:color="000000"/>
              <w:right w:val="single" w:sz="4" w:space="0" w:color="000000"/>
            </w:tcBorders>
            <w:shd w:val="clear" w:color="auto" w:fill="BFBFBF"/>
          </w:tcPr>
          <w:p w:rsidR="007617AD" w:rsidRDefault="00EE75C8">
            <w:pPr>
              <w:spacing w:after="0" w:line="259" w:lineRule="auto"/>
              <w:ind w:left="0" w:firstLine="0"/>
              <w:jc w:val="center"/>
            </w:pPr>
            <w:r>
              <w:rPr>
                <w:b/>
                <w:sz w:val="16"/>
              </w:rPr>
              <w:t xml:space="preserve">Aplicación  </w:t>
            </w:r>
          </w:p>
        </w:tc>
        <w:tc>
          <w:tcPr>
            <w:tcW w:w="6739"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7617AD" w:rsidRDefault="00EE75C8">
            <w:pPr>
              <w:spacing w:after="0" w:line="259" w:lineRule="auto"/>
              <w:ind w:left="0" w:right="46" w:firstLine="0"/>
              <w:jc w:val="center"/>
            </w:pPr>
            <w:r>
              <w:rPr>
                <w:b/>
                <w:sz w:val="16"/>
              </w:rPr>
              <w:t xml:space="preserve">Denominación  </w:t>
            </w:r>
          </w:p>
        </w:tc>
        <w:tc>
          <w:tcPr>
            <w:tcW w:w="1075"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7617AD" w:rsidRDefault="00EE75C8">
            <w:pPr>
              <w:spacing w:after="0" w:line="259" w:lineRule="auto"/>
              <w:ind w:left="0" w:right="41" w:firstLine="0"/>
              <w:jc w:val="center"/>
            </w:pPr>
            <w:r>
              <w:rPr>
                <w:b/>
                <w:sz w:val="16"/>
              </w:rPr>
              <w:t xml:space="preserve">Importe </w:t>
            </w:r>
          </w:p>
        </w:tc>
      </w:tr>
      <w:tr w:rsidR="007617AD">
        <w:trPr>
          <w:trHeight w:val="287"/>
        </w:trPr>
        <w:tc>
          <w:tcPr>
            <w:tcW w:w="1853"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center"/>
            </w:pPr>
            <w:r>
              <w:rPr>
                <w:sz w:val="16"/>
              </w:rPr>
              <w:t xml:space="preserve">87000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 w:firstLine="0"/>
              <w:jc w:val="left"/>
            </w:pPr>
            <w:r>
              <w:rPr>
                <w:sz w:val="16"/>
              </w:rPr>
              <w:t xml:space="preserve">Remanente de Tesoreria para gastos generales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1.380.537,83 </w:t>
            </w:r>
          </w:p>
        </w:tc>
      </w:tr>
      <w:tr w:rsidR="007617AD">
        <w:trPr>
          <w:trHeight w:val="286"/>
        </w:trPr>
        <w:tc>
          <w:tcPr>
            <w:tcW w:w="1853"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1" w:firstLine="0"/>
              <w:jc w:val="center"/>
            </w:pPr>
            <w:r>
              <w:rPr>
                <w:sz w:val="16"/>
              </w:rPr>
              <w:t xml:space="preserve">  </w:t>
            </w:r>
          </w:p>
        </w:tc>
        <w:tc>
          <w:tcPr>
            <w:tcW w:w="5709"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7" w:firstLine="0"/>
              <w:jc w:val="right"/>
            </w:pPr>
            <w:r>
              <w:rPr>
                <w:b/>
                <w:sz w:val="16"/>
              </w:rPr>
              <w:t xml:space="preserve">Total </w:t>
            </w:r>
          </w:p>
        </w:tc>
        <w:tc>
          <w:tcPr>
            <w:tcW w:w="107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b/>
                <w:sz w:val="16"/>
              </w:rPr>
              <w:t xml:space="preserve">1.380.537,83 </w:t>
            </w:r>
          </w:p>
        </w:tc>
      </w:tr>
    </w:tbl>
    <w:p w:rsidR="007617AD" w:rsidRDefault="00EE75C8">
      <w:pPr>
        <w:spacing w:after="209" w:line="259" w:lineRule="auto"/>
        <w:jc w:val="left"/>
      </w:pPr>
      <w:r>
        <w:rPr>
          <w:rFonts w:ascii="Times New Roman" w:eastAsia="Times New Roman" w:hAnsi="Times New Roman" w:cs="Times New Roman"/>
          <w:sz w:val="24"/>
        </w:rPr>
        <w:t xml:space="preserve">“ </w:t>
      </w:r>
    </w:p>
    <w:p w:rsidR="007617AD" w:rsidRDefault="00EE75C8">
      <w:pPr>
        <w:spacing w:after="0" w:line="259" w:lineRule="auto"/>
        <w:ind w:left="704" w:firstLine="0"/>
        <w:jc w:val="left"/>
      </w:pPr>
      <w:r>
        <w:rPr>
          <w:rFonts w:ascii="Times New Roman" w:eastAsia="Times New Roman" w:hAnsi="Times New Roman" w:cs="Times New Roman"/>
          <w:sz w:val="24"/>
        </w:rPr>
        <w:t xml:space="preserve"> </w:t>
      </w:r>
    </w:p>
    <w:p w:rsidR="007617AD" w:rsidRDefault="00EE75C8">
      <w:pPr>
        <w:spacing w:after="0"/>
        <w:ind w:left="703" w:right="58"/>
      </w:pPr>
      <w:r>
        <w:rPr>
          <w:b/>
        </w:rPr>
        <w:t xml:space="preserve">Consta en el expediente propuesta del Concejal delegado de Hacienda, D. Airam Pérez Chinea, de fecha 22 de junio de 2022, que transcrito literalmente dice: </w:t>
      </w:r>
    </w:p>
    <w:p w:rsidR="007617AD" w:rsidRDefault="00EE75C8">
      <w:pPr>
        <w:spacing w:after="0" w:line="259" w:lineRule="auto"/>
        <w:ind w:left="708" w:firstLine="0"/>
        <w:jc w:val="left"/>
      </w:pPr>
      <w:r>
        <w:rPr>
          <w:b/>
        </w:rPr>
        <w:t xml:space="preserve"> </w:t>
      </w:r>
    </w:p>
    <w:p w:rsidR="007617AD" w:rsidRDefault="00EE75C8">
      <w:pPr>
        <w:spacing w:after="109" w:line="259" w:lineRule="auto"/>
        <w:ind w:left="708" w:firstLine="0"/>
        <w:jc w:val="left"/>
      </w:pPr>
      <w:r>
        <w:rPr>
          <w:rFonts w:ascii="Times New Roman" w:eastAsia="Times New Roman" w:hAnsi="Times New Roman" w:cs="Times New Roman"/>
          <w:b/>
          <w:sz w:val="24"/>
        </w:rPr>
        <w:t xml:space="preserve"> </w:t>
      </w:r>
    </w:p>
    <w:p w:rsidR="007617AD" w:rsidRDefault="00EE75C8">
      <w:pPr>
        <w:ind w:left="693" w:right="62" w:firstLine="708"/>
      </w:pPr>
      <w:r>
        <w:t xml:space="preserve">“Dado expediente </w:t>
      </w:r>
      <w:r>
        <w:rPr>
          <w:b/>
        </w:rPr>
        <w:t>5316/2022 de Créditos Extraordinarios</w:t>
      </w:r>
      <w:r>
        <w:t>, y visto informe de la Intervención General que se transcribe a continuación:</w:t>
      </w:r>
      <w:r>
        <w:rPr>
          <w:rFonts w:ascii="Times New Roman" w:eastAsia="Times New Roman" w:hAnsi="Times New Roman" w:cs="Times New Roman"/>
          <w:sz w:val="24"/>
        </w:rPr>
        <w:t xml:space="preserve"> </w:t>
      </w:r>
    </w:p>
    <w:p w:rsidR="007617AD" w:rsidRDefault="00EE75C8">
      <w:pPr>
        <w:spacing w:after="43"/>
        <w:ind w:left="693" w:right="62" w:firstLine="708"/>
      </w:pPr>
      <w:r>
        <w:t>Vista la propuesta de la Alcaldesa, de tramitación de modificación presupuestaria por Créditos Extraordinarios financiados</w:t>
      </w:r>
      <w:r>
        <w:t xml:space="preserve"> con remanentes de Tesorería para Gastos Generales, que dice:</w:t>
      </w:r>
      <w:r>
        <w:rPr>
          <w:rFonts w:ascii="Times New Roman" w:eastAsia="Times New Roman" w:hAnsi="Times New Roman" w:cs="Times New Roman"/>
          <w:sz w:val="24"/>
        </w:rPr>
        <w:t xml:space="preserve"> </w:t>
      </w:r>
    </w:p>
    <w:p w:rsidR="007617AD" w:rsidRDefault="00EE75C8">
      <w:pPr>
        <w:spacing w:after="79" w:line="259" w:lineRule="auto"/>
        <w:ind w:left="1416" w:firstLine="0"/>
        <w:jc w:val="left"/>
      </w:pPr>
      <w:r>
        <w:t xml:space="preserve">  </w:t>
      </w:r>
    </w:p>
    <w:p w:rsidR="007617AD" w:rsidRDefault="00EE75C8">
      <w:pPr>
        <w:spacing w:after="41"/>
        <w:ind w:left="693" w:right="62" w:firstLine="708"/>
      </w:pPr>
      <w:r>
        <w:t>“El Ayuntamiento de Candelaria necesita créditos extraordinarios a los consignados en el Presupuesto vigente para llevar a cabo actuaciones de mejora de instalaciones e infraestructuras municipales con ocasión de la ejecución de las obras siguientes, según</w:t>
      </w:r>
      <w:r>
        <w:t xml:space="preserve"> memoria-propuesta:</w:t>
      </w:r>
      <w:r>
        <w:rPr>
          <w:rFonts w:ascii="Times New Roman" w:eastAsia="Times New Roman" w:hAnsi="Times New Roman" w:cs="Times New Roman"/>
          <w:sz w:val="24"/>
        </w:rPr>
        <w:t xml:space="preserve"> </w:t>
      </w:r>
    </w:p>
    <w:p w:rsidR="007617AD" w:rsidRDefault="00EE75C8">
      <w:pPr>
        <w:spacing w:after="50" w:line="259" w:lineRule="auto"/>
        <w:ind w:left="1416" w:firstLine="0"/>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93884" name="Group 29388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0860" name="Rectangle 1086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0861" name="Rectangle 10861"/>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50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93884" style="width:12.7031pt;height:280.02pt;position:absolute;mso-position-horizontal-relative:page;mso-position-horizontal:absolute;margin-left:682.278pt;mso-position-vertical-relative:page;margin-top:531.9pt;" coordsize="1613,35562">
                <v:rect id="Rectangle 1086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0861"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192 </w:t>
                        </w:r>
                      </w:p>
                    </w:txbxContent>
                  </v:textbox>
                </v:rect>
                <w10:wrap type="square"/>
              </v:group>
            </w:pict>
          </mc:Fallback>
        </mc:AlternateContent>
      </w:r>
      <w:r>
        <w:t xml:space="preserve"> </w:t>
      </w:r>
    </w:p>
    <w:p w:rsidR="007617AD" w:rsidRDefault="00EE75C8">
      <w:pPr>
        <w:numPr>
          <w:ilvl w:val="0"/>
          <w:numId w:val="20"/>
        </w:numPr>
        <w:spacing w:after="0"/>
        <w:ind w:right="62" w:hanging="360"/>
      </w:pPr>
      <w:r>
        <w:rPr>
          <w:b/>
        </w:rPr>
        <w:t xml:space="preserve">Reasfaltado Parking los Brezos, </w:t>
      </w:r>
      <w:r>
        <w:t xml:space="preserve">por un importe total de </w:t>
      </w:r>
      <w:r>
        <w:rPr>
          <w:b/>
        </w:rPr>
        <w:t xml:space="preserve">20.551,49€: </w:t>
      </w:r>
      <w:r>
        <w:t xml:space="preserve">Visto el mal estado en que se encuentra el asfalto de la zona de aparcamiento del Parque recreativo Los Brezos, se ha visto la necesidad de dedicar una partida de asfaltado, con el objeto de mejorar el acceso al mismo y </w:t>
      </w:r>
      <w:r>
        <w:t>facilitar también la accesibilidad de personas con movilidad reducida.</w:t>
      </w:r>
      <w:r>
        <w:rPr>
          <w:rFonts w:ascii="Times New Roman" w:eastAsia="Times New Roman" w:hAnsi="Times New Roman" w:cs="Times New Roman"/>
          <w:sz w:val="24"/>
        </w:rPr>
        <w:t xml:space="preserve"> </w:t>
      </w:r>
    </w:p>
    <w:p w:rsidR="007617AD" w:rsidRDefault="00EE75C8">
      <w:pPr>
        <w:numPr>
          <w:ilvl w:val="0"/>
          <w:numId w:val="20"/>
        </w:numPr>
        <w:spacing w:after="0"/>
        <w:ind w:right="62" w:hanging="360"/>
      </w:pPr>
      <w:r>
        <w:rPr>
          <w:b/>
        </w:rPr>
        <w:t xml:space="preserve">Asfaltado trasera polideportivo Cuevecitas, </w:t>
      </w:r>
      <w:r>
        <w:t>por un importe total de</w:t>
      </w:r>
      <w:r>
        <w:rPr>
          <w:b/>
        </w:rPr>
        <w:t xml:space="preserve"> 17.242,35 euros </w:t>
      </w:r>
      <w:r>
        <w:t>Vista la necesidad de acondicionar los alrededores del pabellón de las cuevecitas, debido al mal est</w:t>
      </w:r>
      <w:r>
        <w:t>ado del firme. para subsanarlo se propone el asfaltado de la parte trasera del centro y convertirlo en un parquin público para los usuarios del mismo.</w:t>
      </w:r>
      <w:r>
        <w:rPr>
          <w:rFonts w:ascii="Times New Roman" w:eastAsia="Times New Roman" w:hAnsi="Times New Roman" w:cs="Times New Roman"/>
          <w:sz w:val="24"/>
        </w:rPr>
        <w:t xml:space="preserve"> </w:t>
      </w:r>
    </w:p>
    <w:p w:rsidR="007617AD" w:rsidRDefault="00EE75C8">
      <w:pPr>
        <w:numPr>
          <w:ilvl w:val="0"/>
          <w:numId w:val="20"/>
        </w:numPr>
        <w:spacing w:after="0"/>
        <w:ind w:right="62" w:hanging="360"/>
      </w:pPr>
      <w:r>
        <w:rPr>
          <w:b/>
        </w:rPr>
        <w:t xml:space="preserve">Acondicionamiento zonas de aparcamientos, </w:t>
      </w:r>
      <w:r>
        <w:t>por un total de</w:t>
      </w:r>
      <w:r>
        <w:rPr>
          <w:b/>
        </w:rPr>
        <w:t xml:space="preserve"> 110.551,49€ </w:t>
      </w:r>
      <w:r>
        <w:t>Vista la necesidad de crear nuevas</w:t>
      </w:r>
      <w:r>
        <w:t xml:space="preserve"> áreas de aparcamiento en diferentes zonas del Municipio, y debido a la demanda creciente, se ha visto la necesidad de dedicar una partida de acondicionamiento de dichos espacios.</w:t>
      </w:r>
      <w:r>
        <w:rPr>
          <w:rFonts w:ascii="Times New Roman" w:eastAsia="Times New Roman" w:hAnsi="Times New Roman" w:cs="Times New Roman"/>
          <w:sz w:val="24"/>
        </w:rPr>
        <w:t xml:space="preserve"> </w:t>
      </w:r>
    </w:p>
    <w:p w:rsidR="007617AD" w:rsidRDefault="00EE75C8">
      <w:pPr>
        <w:numPr>
          <w:ilvl w:val="0"/>
          <w:numId w:val="20"/>
        </w:numPr>
        <w:spacing w:after="0"/>
        <w:ind w:right="62" w:hanging="360"/>
      </w:pPr>
      <w:r>
        <w:rPr>
          <w:b/>
        </w:rPr>
        <w:t>Renovación de Parques Infantiles</w:t>
      </w:r>
      <w:r>
        <w:t xml:space="preserve"> por importe de 186.187,85 €. Los diferente</w:t>
      </w:r>
      <w:r>
        <w:t>s juegos e instalaciones que conforman los Parques Infantiles son elementos fundamentales en los servicios que presta el Ayuntamiento de Candelaria a la ciudadanía, principalmente a los/as más pequeños/as. Garantizar un espacio público inclusivo de juego e</w:t>
      </w:r>
      <w:r>
        <w:t xml:space="preserve"> socialización entre los más pequeños ha sido siempre un objetivo prioritario para esta Corporación. Prueba de ello, es la creación de cinco parques inclusivos con elementos accesibles en estos dos últimos años. Se hace necesario la renovación tanto de los</w:t>
      </w:r>
      <w:r>
        <w:t xml:space="preserve"> elementos de juego como de sus espacios, ya que estos parques instalados en la vía pública están sometidos a un uso diario continuado, a los efectos del clima por la alta insolación y su cercanía al mar, a la contaminación, etc, que en la mayoría de los p</w:t>
      </w:r>
      <w:r>
        <w:t>arques provoca un avanzado estado de deterioro que se traduce principalmente en problemas de seguridad para sus principales usuarios/as, los/as niños/as.</w:t>
      </w:r>
      <w:r>
        <w:rPr>
          <w:rFonts w:ascii="Times New Roman" w:eastAsia="Times New Roman" w:hAnsi="Times New Roman" w:cs="Times New Roman"/>
          <w:sz w:val="24"/>
        </w:rPr>
        <w:t xml:space="preserve"> </w:t>
      </w:r>
    </w:p>
    <w:p w:rsidR="007617AD" w:rsidRDefault="00EE75C8">
      <w:pPr>
        <w:numPr>
          <w:ilvl w:val="0"/>
          <w:numId w:val="20"/>
        </w:numPr>
        <w:spacing w:after="0"/>
        <w:ind w:right="62" w:hanging="360"/>
      </w:pPr>
      <w:r>
        <w:rPr>
          <w:b/>
        </w:rPr>
        <w:t xml:space="preserve">Cubierta y ampliación parque Ebar Punta Larga </w:t>
      </w:r>
      <w:r>
        <w:t>Este parque, localizado junto al EBAR e Punta Larga, fu</w:t>
      </w:r>
      <w:r>
        <w:t>e objeto renovación hace tres años, instalan o nuevos elementos e juego inclusivos, así como una gran zona de sombra, su ubicación, cerca e varias zonas residenciales, el paseo marítimo fe Punta Larga y zonas de restauración hace que tenga una gran afluenc</w:t>
      </w:r>
      <w:r>
        <w:t xml:space="preserve">ia de niños/as </w:t>
      </w:r>
      <w:r>
        <w:rPr>
          <w:rFonts w:ascii="Times New Roman" w:eastAsia="Times New Roman" w:hAnsi="Times New Roman" w:cs="Times New Roman"/>
          <w:sz w:val="24"/>
        </w:rPr>
        <w:t xml:space="preserve"> </w:t>
      </w:r>
    </w:p>
    <w:p w:rsidR="007617AD" w:rsidRDefault="00EE75C8">
      <w:pPr>
        <w:tabs>
          <w:tab w:val="center" w:pos="1105"/>
          <w:tab w:val="center" w:pos="1428"/>
        </w:tabs>
        <w:spacing w:after="21"/>
        <w:ind w:left="0" w:firstLine="0"/>
        <w:jc w:val="left"/>
      </w:pPr>
      <w:r>
        <w:rPr>
          <w:rFonts w:ascii="Calibri" w:eastAsia="Calibri" w:hAnsi="Calibri" w:cs="Calibri"/>
        </w:rPr>
        <w:tab/>
      </w:r>
      <w:r>
        <w:rPr>
          <w:b/>
        </w:rPr>
        <w:t xml:space="preserve">- </w:t>
      </w:r>
      <w:r>
        <w:rPr>
          <w:b/>
        </w:rPr>
        <w:tab/>
      </w:r>
      <w:r>
        <w:t xml:space="preserve"> </w:t>
      </w:r>
    </w:p>
    <w:p w:rsidR="007617AD" w:rsidRDefault="00EE75C8">
      <w:pPr>
        <w:numPr>
          <w:ilvl w:val="0"/>
          <w:numId w:val="20"/>
        </w:numPr>
        <w:spacing w:after="0"/>
        <w:ind w:right="62" w:hanging="360"/>
      </w:pPr>
      <w:r>
        <w:rPr>
          <w:b/>
        </w:rPr>
        <w:t>Parque infantil las Cuevecitas</w:t>
      </w:r>
      <w:r>
        <w:t xml:space="preserve"> por importe de 48.977,55 €, se hace necesario la creación de un nuevo parque infantil en el núcleo de medianías de Las Cuevecitas, proponiendo su instalación en un espacio libre sin uso junto al nuevo P</w:t>
      </w:r>
      <w:r>
        <w:t>abellón Deportivo. Actualmente, Las Cuevecitas sólo cuenta con un pequeño parque infantil de 12,00 m2 para menos de 2 años instalado junto al Centro Cultural de Las Cuevecitas. Consultada tabla estadística de población entre 0 y 9 años en la entidad de Las</w:t>
      </w:r>
      <w:r>
        <w:t xml:space="preserve"> Cuevecitas, se comprueba que en el año 2020 estaban empadronados 100 niños/as.</w:t>
      </w:r>
      <w:r>
        <w:rPr>
          <w:rFonts w:ascii="Times New Roman" w:eastAsia="Times New Roman" w:hAnsi="Times New Roman" w:cs="Times New Roman"/>
          <w:sz w:val="24"/>
        </w:rPr>
        <w:t xml:space="preserve"> </w:t>
      </w:r>
    </w:p>
    <w:p w:rsidR="007617AD" w:rsidRDefault="00EE75C8">
      <w:pPr>
        <w:numPr>
          <w:ilvl w:val="0"/>
          <w:numId w:val="20"/>
        </w:numPr>
        <w:spacing w:after="0"/>
        <w:ind w:right="62" w:hanging="360"/>
      </w:pPr>
      <w:r>
        <w:rPr>
          <w:b/>
        </w:rPr>
        <w:t xml:space="preserve">Reformas en Colegios Igueste, Príncipe Felipe y Carmen Álvarez de la Rosa </w:t>
      </w:r>
      <w:r>
        <w:t xml:space="preserve">por importe de 165.511,77 euros para el buen funcionamiento de los mismos y acondicionamiento por el </w:t>
      </w:r>
      <w:r>
        <w:t>deterioro de las instalaciones y cumplir con la normativa vigente</w:t>
      </w:r>
      <w:r>
        <w:rPr>
          <w:rFonts w:ascii="Times New Roman" w:eastAsia="Times New Roman" w:hAnsi="Times New Roman" w:cs="Times New Roman"/>
          <w:sz w:val="24"/>
        </w:rPr>
        <w:t xml:space="preserve"> </w:t>
      </w:r>
    </w:p>
    <w:p w:rsidR="007617AD" w:rsidRDefault="00EE75C8">
      <w:pPr>
        <w:numPr>
          <w:ilvl w:val="0"/>
          <w:numId w:val="20"/>
        </w:numPr>
        <w:spacing w:after="1"/>
        <w:ind w:right="62" w:hanging="360"/>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9157" name="Group 25915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0996" name="Rectangle 1099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0997" name="Rectangle 10997"/>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51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9157" style="width:12.7031pt;height:280.02pt;position:absolute;mso-position-horizontal-relative:page;mso-position-horizontal:absolute;margin-left:682.278pt;mso-position-vertical-relative:page;margin-top:531.9pt;" coordsize="1613,35562">
                <v:rect id="Rectangle 1099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0997"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192 </w:t>
                        </w:r>
                      </w:p>
                    </w:txbxContent>
                  </v:textbox>
                </v:rect>
                <w10:wrap type="square"/>
              </v:group>
            </w:pict>
          </mc:Fallback>
        </mc:AlternateContent>
      </w:r>
      <w:r>
        <w:rPr>
          <w:b/>
        </w:rPr>
        <w:t>La Concejalía de Cultura del Ayuntamiento de Candelaria</w:t>
      </w:r>
      <w:r>
        <w:t xml:space="preserve"> gestiona y es la responsable del mantenimiento y usos de los distintos espacios y centros culturales, así </w:t>
      </w:r>
      <w:r>
        <w:t>como de la gestión cultural municipal, con un plan cultural de actuación bien definido que se denomina “Candelaria es cultura”, con una amplia y variada programación.</w:t>
      </w:r>
      <w:r>
        <w:rPr>
          <w:rFonts w:ascii="Times New Roman" w:eastAsia="Times New Roman" w:hAnsi="Times New Roman" w:cs="Times New Roman"/>
          <w:sz w:val="24"/>
        </w:rPr>
        <w:t xml:space="preserve"> </w:t>
      </w:r>
    </w:p>
    <w:p w:rsidR="007617AD" w:rsidRDefault="00EE75C8">
      <w:pPr>
        <w:ind w:left="1438" w:right="62"/>
      </w:pPr>
      <w:r>
        <w:t>También entendemos la gestión del mantenimiento como uno de los factores clave para cual</w:t>
      </w:r>
      <w:r>
        <w:t xml:space="preserve">quier administración pública, permitiendo adoptar decisiones desde la perspectiva de la eficacia y economía, así como posibilitando un control de gestión sobre los bienes o activos de la entidad. </w:t>
      </w:r>
    </w:p>
    <w:p w:rsidR="007617AD" w:rsidRDefault="00EE75C8">
      <w:pPr>
        <w:spacing w:after="74"/>
        <w:ind w:left="1438" w:right="62"/>
      </w:pPr>
      <w:r>
        <w:t xml:space="preserve">Vista la inexcusable necesidad, por motivos de mantener la </w:t>
      </w:r>
      <w:r>
        <w:t>actividad en los diferentes centros y espacios culturales y su entorno, se hace urgente el proceder a mejorar dichos espacios con equipamiento renovado y el mantenimiento de las instalaciones y los elementos que la componen.</w:t>
      </w:r>
      <w:r>
        <w:rPr>
          <w:rFonts w:ascii="Times New Roman" w:eastAsia="Times New Roman" w:hAnsi="Times New Roman" w:cs="Times New Roman"/>
          <w:sz w:val="24"/>
        </w:rPr>
        <w:t xml:space="preserve"> </w:t>
      </w:r>
    </w:p>
    <w:p w:rsidR="007617AD" w:rsidRDefault="00EE75C8">
      <w:pPr>
        <w:ind w:left="1426" w:right="62"/>
      </w:pPr>
      <w:r>
        <w:t>Se justifica el gasto por la c</w:t>
      </w:r>
      <w:r>
        <w:t>reciente demanda de servicios públicos, con el fin de continuar con el mantenimiento de las instalaciones municipales, necesario para que las mismas se encuentren en un estado óptimo de conservación para su uso y disfrute por parte de la ciudadanía, y cont</w:t>
      </w:r>
      <w:r>
        <w:t xml:space="preserve">inuar con el desarrollo de la programación cultural anual, se propone la dotación de los siguientes gastos: </w:t>
      </w:r>
    </w:p>
    <w:p w:rsidR="007617AD" w:rsidRDefault="00EE75C8">
      <w:pPr>
        <w:spacing w:after="79" w:line="259" w:lineRule="auto"/>
        <w:ind w:left="1416" w:firstLine="0"/>
        <w:jc w:val="left"/>
      </w:pPr>
      <w:r>
        <w:t xml:space="preserve"> </w:t>
      </w:r>
    </w:p>
    <w:p w:rsidR="007617AD" w:rsidRDefault="00EE75C8">
      <w:pPr>
        <w:spacing w:after="79" w:line="259" w:lineRule="auto"/>
        <w:ind w:left="1416" w:firstLine="0"/>
        <w:jc w:val="left"/>
      </w:pPr>
      <w:r>
        <w:t xml:space="preserve"> </w:t>
      </w:r>
    </w:p>
    <w:p w:rsidR="007617AD" w:rsidRDefault="00EE75C8">
      <w:pPr>
        <w:spacing w:after="79" w:line="259" w:lineRule="auto"/>
        <w:ind w:left="1416" w:firstLine="0"/>
        <w:jc w:val="left"/>
      </w:pPr>
      <w:r>
        <w:t xml:space="preserve"> </w:t>
      </w:r>
    </w:p>
    <w:p w:rsidR="007617AD" w:rsidRDefault="00EE75C8">
      <w:pPr>
        <w:spacing w:after="91" w:line="259" w:lineRule="auto"/>
        <w:ind w:left="1416" w:firstLine="0"/>
        <w:jc w:val="left"/>
      </w:pPr>
      <w:r>
        <w:t xml:space="preserve">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tbl>
      <w:tblPr>
        <w:tblStyle w:val="TableGrid"/>
        <w:tblW w:w="8584" w:type="dxa"/>
        <w:tblInd w:w="1200" w:type="dxa"/>
        <w:tblCellMar>
          <w:top w:w="127" w:type="dxa"/>
          <w:left w:w="108" w:type="dxa"/>
          <w:bottom w:w="0" w:type="dxa"/>
          <w:right w:w="50" w:type="dxa"/>
        </w:tblCellMar>
        <w:tblLook w:val="04A0" w:firstRow="1" w:lastRow="0" w:firstColumn="1" w:lastColumn="0" w:noHBand="0" w:noVBand="1"/>
      </w:tblPr>
      <w:tblGrid>
        <w:gridCol w:w="6954"/>
        <w:gridCol w:w="1630"/>
      </w:tblGrid>
      <w:tr w:rsidR="007617AD">
        <w:trPr>
          <w:trHeight w:val="727"/>
        </w:trPr>
        <w:tc>
          <w:tcPr>
            <w:tcW w:w="695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60" w:firstLine="0"/>
              <w:jc w:val="center"/>
            </w:pPr>
            <w:r>
              <w:rPr>
                <w:b/>
                <w:sz w:val="20"/>
              </w:rPr>
              <w:t xml:space="preserve">Denominación del gasto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center"/>
            </w:pPr>
            <w:r>
              <w:rPr>
                <w:b/>
                <w:sz w:val="20"/>
              </w:rPr>
              <w:t xml:space="preserve">Importe de la Modificación </w:t>
            </w:r>
          </w:p>
        </w:tc>
      </w:tr>
      <w:tr w:rsidR="007617AD">
        <w:trPr>
          <w:trHeight w:val="490"/>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left"/>
            </w:pPr>
            <w:r>
              <w:rPr>
                <w:sz w:val="20"/>
              </w:rPr>
              <w:t>1. Obras de cerramiento de aluminio de Centros Culturales. Malpaís.</w:t>
            </w:r>
            <w:r>
              <w:rPr>
                <w:rFonts w:ascii="Times New Roman" w:eastAsia="Times New Roman" w:hAnsi="Times New Roman" w:cs="Times New Roman"/>
                <w:sz w:val="24"/>
              </w:rP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3" w:firstLine="0"/>
              <w:jc w:val="right"/>
            </w:pPr>
            <w:r>
              <w:rPr>
                <w:sz w:val="20"/>
              </w:rPr>
              <w:t>22.219,99 €</w:t>
            </w:r>
            <w:r>
              <w:rPr>
                <w:rFonts w:ascii="Times New Roman" w:eastAsia="Times New Roman" w:hAnsi="Times New Roman" w:cs="Times New Roman"/>
                <w:sz w:val="24"/>
              </w:rPr>
              <w:t xml:space="preserve"> </w:t>
            </w:r>
          </w:p>
        </w:tc>
      </w:tr>
      <w:tr w:rsidR="007617AD">
        <w:trPr>
          <w:trHeight w:val="727"/>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pPr>
            <w:r>
              <w:rPr>
                <w:sz w:val="20"/>
              </w:rPr>
              <w:t>2. Obras de cerramiento de aluminio de Centros Culturales. Cine Viejo- Local Plaza del CIT.</w:t>
            </w:r>
            <w:r>
              <w:rPr>
                <w:rFonts w:ascii="Times New Roman" w:eastAsia="Times New Roman" w:hAnsi="Times New Roman" w:cs="Times New Roman"/>
                <w:sz w:val="24"/>
              </w:rP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3" w:firstLine="0"/>
              <w:jc w:val="right"/>
            </w:pPr>
            <w:r>
              <w:rPr>
                <w:sz w:val="20"/>
              </w:rPr>
              <w:t>12.232,00 €</w:t>
            </w:r>
            <w:r>
              <w:rPr>
                <w:rFonts w:ascii="Times New Roman" w:eastAsia="Times New Roman" w:hAnsi="Times New Roman" w:cs="Times New Roman"/>
                <w:sz w:val="24"/>
              </w:rPr>
              <w:t xml:space="preserve"> </w:t>
            </w:r>
          </w:p>
        </w:tc>
      </w:tr>
      <w:tr w:rsidR="007617AD">
        <w:trPr>
          <w:trHeight w:val="488"/>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left"/>
            </w:pPr>
            <w:r>
              <w:rPr>
                <w:sz w:val="20"/>
              </w:rPr>
              <w:t>3. Obras del local de ensayo de la Nueva Banda de Igueste.</w:t>
            </w:r>
            <w:r>
              <w:rPr>
                <w:rFonts w:ascii="Times New Roman" w:eastAsia="Times New Roman" w:hAnsi="Times New Roman" w:cs="Times New Roman"/>
                <w:sz w:val="24"/>
              </w:rP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2" w:firstLine="0"/>
              <w:jc w:val="right"/>
            </w:pPr>
            <w:r>
              <w:rPr>
                <w:sz w:val="20"/>
              </w:rPr>
              <w:t>6.072,25 €</w:t>
            </w:r>
            <w:r>
              <w:rPr>
                <w:rFonts w:ascii="Times New Roman" w:eastAsia="Times New Roman" w:hAnsi="Times New Roman" w:cs="Times New Roman"/>
                <w:sz w:val="24"/>
              </w:rPr>
              <w:t xml:space="preserve"> </w:t>
            </w:r>
          </w:p>
        </w:tc>
      </w:tr>
      <w:tr w:rsidR="007617AD">
        <w:trPr>
          <w:trHeight w:val="727"/>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pPr>
            <w:r>
              <w:rPr>
                <w:sz w:val="20"/>
              </w:rPr>
              <w:t xml:space="preserve">4. Trabajos de creación de contenido cultural divulgativo sobre los </w:t>
            </w:r>
            <w:r>
              <w:rPr>
                <w:sz w:val="20"/>
              </w:rPr>
              <w:t xml:space="preserve">grupos escultóricos del casco histórico de Candelaria.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2" w:firstLine="0"/>
              <w:jc w:val="right"/>
            </w:pPr>
            <w:r>
              <w:rPr>
                <w:sz w:val="20"/>
              </w:rPr>
              <w:t xml:space="preserve">3.500,00 € </w:t>
            </w:r>
          </w:p>
        </w:tc>
      </w:tr>
      <w:tr w:rsidR="007617AD">
        <w:trPr>
          <w:trHeight w:val="490"/>
        </w:trPr>
        <w:tc>
          <w:tcPr>
            <w:tcW w:w="695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57" w:firstLine="0"/>
              <w:jc w:val="right"/>
            </w:pPr>
            <w:r>
              <w:rPr>
                <w:b/>
                <w:sz w:val="20"/>
              </w:rPr>
              <w:t xml:space="preserve">Total </w:t>
            </w:r>
          </w:p>
        </w:tc>
        <w:tc>
          <w:tcPr>
            <w:tcW w:w="1630"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63" w:firstLine="0"/>
              <w:jc w:val="right"/>
            </w:pPr>
            <w:r>
              <w:rPr>
                <w:b/>
                <w:sz w:val="20"/>
              </w:rPr>
              <w:t>44.024,24 €</w:t>
            </w:r>
            <w:r>
              <w:rPr>
                <w:rFonts w:ascii="Times New Roman" w:eastAsia="Times New Roman" w:hAnsi="Times New Roman" w:cs="Times New Roman"/>
                <w:sz w:val="24"/>
              </w:rPr>
              <w:t xml:space="preserve"> </w:t>
            </w:r>
          </w:p>
        </w:tc>
      </w:tr>
    </w:tbl>
    <w:p w:rsidR="007617AD" w:rsidRDefault="00EE75C8">
      <w:pPr>
        <w:spacing w:after="0" w:line="259" w:lineRule="auto"/>
        <w:ind w:left="1068" w:firstLine="0"/>
        <w:jc w:val="left"/>
      </w:pPr>
      <w:r>
        <w:rPr>
          <w:rFonts w:ascii="Times New Roman" w:eastAsia="Times New Roman" w:hAnsi="Times New Roman" w:cs="Times New Roman"/>
          <w:sz w:val="24"/>
        </w:rPr>
        <w:t xml:space="preserve"> </w:t>
      </w:r>
    </w:p>
    <w:p w:rsidR="007617AD" w:rsidRDefault="00EE75C8">
      <w:pPr>
        <w:numPr>
          <w:ilvl w:val="0"/>
          <w:numId w:val="20"/>
        </w:numPr>
        <w:spacing w:after="0"/>
        <w:ind w:right="62" w:hanging="360"/>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95844" name="Group 29584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1224" name="Rectangle 1122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1225" name="Rectangle 11225"/>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52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95844" style="width:12.7031pt;height:280.02pt;position:absolute;mso-position-horizontal-relative:page;mso-position-horizontal:absolute;margin-left:682.278pt;mso-position-vertical-relative:page;margin-top:531.9pt;" coordsize="1613,35562">
                <v:rect id="Rectangle 1122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1225"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192 </w:t>
                        </w:r>
                      </w:p>
                    </w:txbxContent>
                  </v:textbox>
                </v:rect>
                <w10:wrap type="square"/>
              </v:group>
            </w:pict>
          </mc:Fallback>
        </mc:AlternateContent>
      </w:r>
      <w:r>
        <w:rPr>
          <w:b/>
        </w:rPr>
        <w:t>La concejalía de deportes gestiona y es responsable del mantenimiento y uso de 45 instalaciones, infraestructuras y espacios</w:t>
      </w:r>
      <w:r>
        <w:t xml:space="preserve"> para la práctica del deporte y ocio.</w:t>
      </w:r>
      <w:r>
        <w:rPr>
          <w:rFonts w:ascii="Times New Roman" w:eastAsia="Times New Roman" w:hAnsi="Times New Roman" w:cs="Times New Roman"/>
          <w:sz w:val="24"/>
        </w:rPr>
        <w:t xml:space="preserve"> </w:t>
      </w:r>
      <w:r>
        <w:t>La cantidad de servicios, programas y actividades que en estas instalaciones deportivas se realizan, demandan un constante mantenimiento e inversión de su equipamiento.  Fruto de las labores de mantenimiento anual, y al constante uso que en estas instalaci</w:t>
      </w:r>
      <w:r>
        <w:t>ones se realizan, en ocasiones no se prevé el gasto que determinadas incidencias de mantenimiento correctivo pueden tener sobre la previsión de presupuesto anual. De igual manera, debido a la contente adaptación de los servicios y necesidades de la ciudada</w:t>
      </w:r>
      <w:r>
        <w:t>nía, se hace necesario ejecutar los proyectos y estudios previos que nos permitan contar con más instalaciones y de mejor equipamiento.</w:t>
      </w:r>
      <w:r>
        <w:rPr>
          <w:color w:val="FF0000"/>
        </w:rPr>
        <w:t xml:space="preserve"> </w:t>
      </w:r>
      <w:r>
        <w:rPr>
          <w:rFonts w:ascii="Times New Roman" w:eastAsia="Times New Roman" w:hAnsi="Times New Roman" w:cs="Times New Roman"/>
          <w:sz w:val="24"/>
        </w:rPr>
        <w:t xml:space="preserve"> </w:t>
      </w:r>
    </w:p>
    <w:p w:rsidR="007617AD" w:rsidRDefault="00EE75C8">
      <w:pPr>
        <w:spacing w:after="0" w:line="259" w:lineRule="auto"/>
        <w:ind w:left="1416" w:firstLine="0"/>
        <w:jc w:val="left"/>
      </w:pPr>
      <w:r>
        <w:rPr>
          <w:color w:val="FF0000"/>
        </w:rPr>
        <w:t xml:space="preserve"> </w:t>
      </w:r>
    </w:p>
    <w:p w:rsidR="007617AD" w:rsidRDefault="00EE75C8">
      <w:pPr>
        <w:spacing w:after="0"/>
        <w:ind w:left="1249" w:right="62"/>
      </w:pPr>
      <w:r>
        <w:t>La Ley 1/2019, de 30 de enero, de la actividad física y el deporte de Canarias, señala: en sus artículos 2,9 y 12 la</w:t>
      </w:r>
      <w:r>
        <w:t xml:space="preserve">s funciones, reconocimiento y principios rectores del Deporte y las competencias de las administraciones públicas Canarias. </w:t>
      </w:r>
      <w:r>
        <w:rPr>
          <w:rFonts w:ascii="Times New Roman" w:eastAsia="Times New Roman" w:hAnsi="Times New Roman" w:cs="Times New Roman"/>
          <w:sz w:val="24"/>
        </w:rPr>
        <w:t xml:space="preserve"> </w:t>
      </w:r>
    </w:p>
    <w:p w:rsidR="007617AD" w:rsidRDefault="00EE75C8">
      <w:pPr>
        <w:spacing w:after="0"/>
        <w:ind w:left="1249" w:right="62"/>
      </w:pPr>
      <w:r>
        <w:t>Es por ello, todo lo expuesto anteriormente queda suficientemente justificada la necesidad y urgencia de la modificación presupues</w:t>
      </w:r>
      <w:r>
        <w:t xml:space="preserve">taria, siendo un gasto específico y determinado, y ante la imposibilidad de demorarlo a ejercicios posteriores, se propone la dotación, por importe de </w:t>
      </w:r>
      <w:r>
        <w:rPr>
          <w:b/>
        </w:rPr>
        <w:t>399.637,94 euros</w:t>
      </w:r>
      <w:r>
        <w:t xml:space="preserve"> para la ejecución de cada uno de los siguientes gastos:</w:t>
      </w:r>
      <w:r>
        <w:rPr>
          <w:rFonts w:ascii="Times New Roman" w:eastAsia="Times New Roman" w:hAnsi="Times New Roman" w:cs="Times New Roman"/>
          <w:sz w:val="24"/>
        </w:rPr>
        <w:t xml:space="preserve"> </w:t>
      </w:r>
    </w:p>
    <w:p w:rsidR="007617AD" w:rsidRDefault="00EE75C8">
      <w:pPr>
        <w:spacing w:after="0" w:line="259" w:lineRule="auto"/>
        <w:ind w:left="1239" w:firstLine="0"/>
        <w:jc w:val="left"/>
      </w:pPr>
      <w:r>
        <w:rPr>
          <w:rFonts w:ascii="Times New Roman" w:eastAsia="Times New Roman" w:hAnsi="Times New Roman" w:cs="Times New Roman"/>
          <w:sz w:val="24"/>
        </w:rPr>
        <w:t xml:space="preserve"> </w:t>
      </w:r>
    </w:p>
    <w:tbl>
      <w:tblPr>
        <w:tblStyle w:val="TableGrid"/>
        <w:tblW w:w="7898" w:type="dxa"/>
        <w:tblInd w:w="1248" w:type="dxa"/>
        <w:tblCellMar>
          <w:top w:w="7" w:type="dxa"/>
          <w:left w:w="106" w:type="dxa"/>
          <w:bottom w:w="0" w:type="dxa"/>
          <w:right w:w="53" w:type="dxa"/>
        </w:tblCellMar>
        <w:tblLook w:val="04A0" w:firstRow="1" w:lastRow="0" w:firstColumn="1" w:lastColumn="0" w:noHBand="0" w:noVBand="1"/>
      </w:tblPr>
      <w:tblGrid>
        <w:gridCol w:w="6426"/>
        <w:gridCol w:w="1472"/>
      </w:tblGrid>
      <w:tr w:rsidR="007617AD">
        <w:trPr>
          <w:trHeight w:val="610"/>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2" w:firstLine="0"/>
              <w:jc w:val="center"/>
            </w:pPr>
            <w:r>
              <w:rPr>
                <w:b/>
                <w:sz w:val="20"/>
              </w:rPr>
              <w:t>Denominación del gasto</w:t>
            </w:r>
            <w:r>
              <w:rPr>
                <w:rFonts w:ascii="Times New Roman" w:eastAsia="Times New Roman" w:hAnsi="Times New Roman" w:cs="Times New Roman"/>
                <w:sz w:val="24"/>
              </w:rPr>
              <w:t xml:space="preserve">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center"/>
            </w:pPr>
            <w:r>
              <w:rPr>
                <w:b/>
                <w:sz w:val="20"/>
              </w:rPr>
              <w:t xml:space="preserve">Importe de la Modificación </w:t>
            </w:r>
          </w:p>
        </w:tc>
      </w:tr>
      <w:tr w:rsidR="007617AD">
        <w:trPr>
          <w:trHeight w:val="607"/>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1. Proyecto de instalación de baja tensión del campo de fútbol de Bruno Alberto Sabina.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7" w:firstLine="0"/>
              <w:jc w:val="left"/>
            </w:pPr>
            <w:r>
              <w:rPr>
                <w:sz w:val="20"/>
              </w:rPr>
              <w:t xml:space="preserve">264.591,76 €. </w:t>
            </w:r>
          </w:p>
        </w:tc>
      </w:tr>
      <w:tr w:rsidR="007617AD">
        <w:trPr>
          <w:trHeight w:val="607"/>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20"/>
              </w:rPr>
              <w:t xml:space="preserve">2. Anteproyecto de marquesina para las gradas del campo de fútbol Bruno Alberto Sabina.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4" w:firstLine="0"/>
              <w:jc w:val="left"/>
            </w:pPr>
            <w:r>
              <w:rPr>
                <w:sz w:val="20"/>
              </w:rPr>
              <w:t xml:space="preserve">115.545,43 €. </w:t>
            </w:r>
          </w:p>
        </w:tc>
      </w:tr>
      <w:tr w:rsidR="007617AD">
        <w:trPr>
          <w:trHeight w:val="607"/>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3. Presupuesto de preparación y realización de un gran mural en pared del skatepark.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8" w:firstLine="0"/>
              <w:jc w:val="center"/>
            </w:pPr>
            <w:r>
              <w:rPr>
                <w:sz w:val="20"/>
              </w:rPr>
              <w:t xml:space="preserve">14.915,80 €. </w:t>
            </w:r>
          </w:p>
        </w:tc>
      </w:tr>
      <w:tr w:rsidR="007617AD">
        <w:trPr>
          <w:trHeight w:val="608"/>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4. Presupuesto de realización de un módulo de lanzamiento de atletismo en la parcela del campo de fútbol de Igueste.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0" w:firstLine="0"/>
              <w:jc w:val="center"/>
            </w:pPr>
            <w:r>
              <w:rPr>
                <w:sz w:val="20"/>
              </w:rPr>
              <w:t xml:space="preserve">4.584,95 </w:t>
            </w:r>
          </w:p>
        </w:tc>
      </w:tr>
      <w:tr w:rsidR="007617AD">
        <w:trPr>
          <w:trHeight w:val="727"/>
        </w:trPr>
        <w:tc>
          <w:tcPr>
            <w:tcW w:w="6426" w:type="dxa"/>
            <w:tcBorders>
              <w:top w:val="single" w:sz="4" w:space="0" w:color="000000"/>
              <w:left w:val="single" w:sz="4" w:space="0" w:color="000000"/>
              <w:bottom w:val="single" w:sz="4" w:space="0" w:color="000000"/>
              <w:right w:val="single" w:sz="4" w:space="0" w:color="000000"/>
            </w:tcBorders>
          </w:tcPr>
          <w:p w:rsidR="007617AD" w:rsidRDefault="00EE75C8">
            <w:pPr>
              <w:spacing w:after="113" w:line="259" w:lineRule="auto"/>
              <w:ind w:left="0" w:firstLine="0"/>
              <w:jc w:val="right"/>
            </w:pPr>
            <w:r>
              <w:rPr>
                <w:b/>
                <w:sz w:val="20"/>
              </w:rPr>
              <w:t xml:space="preserve"> </w:t>
            </w:r>
          </w:p>
          <w:p w:rsidR="007617AD" w:rsidRDefault="00EE75C8">
            <w:pPr>
              <w:spacing w:after="0" w:line="259" w:lineRule="auto"/>
              <w:ind w:left="0" w:right="55" w:firstLine="0"/>
              <w:jc w:val="right"/>
            </w:pPr>
            <w:r>
              <w:rPr>
                <w:b/>
                <w:sz w:val="20"/>
              </w:rPr>
              <w:t xml:space="preserve">Total </w:t>
            </w:r>
          </w:p>
        </w:tc>
        <w:tc>
          <w:tcPr>
            <w:tcW w:w="1472" w:type="dxa"/>
            <w:tcBorders>
              <w:top w:val="single" w:sz="4" w:space="0" w:color="000000"/>
              <w:left w:val="single" w:sz="4" w:space="0" w:color="000000"/>
              <w:bottom w:val="single" w:sz="4" w:space="0" w:color="000000"/>
              <w:right w:val="single" w:sz="4" w:space="0" w:color="000000"/>
            </w:tcBorders>
          </w:tcPr>
          <w:p w:rsidR="007617AD" w:rsidRDefault="00EE75C8">
            <w:pPr>
              <w:spacing w:after="178" w:line="259" w:lineRule="auto"/>
              <w:ind w:left="0" w:right="17" w:firstLine="0"/>
              <w:jc w:val="center"/>
            </w:pPr>
            <w:r>
              <w:rPr>
                <w:b/>
                <w:sz w:val="20"/>
              </w:rPr>
              <w:t xml:space="preserve"> </w:t>
            </w:r>
          </w:p>
          <w:p w:rsidR="007617AD" w:rsidRDefault="00EE75C8">
            <w:pPr>
              <w:spacing w:after="0" w:line="259" w:lineRule="auto"/>
              <w:ind w:left="0" w:firstLine="0"/>
              <w:jc w:val="left"/>
            </w:pPr>
            <w:r>
              <w:rPr>
                <w:b/>
                <w:sz w:val="20"/>
              </w:rPr>
              <w:t>399.637,94 €.</w:t>
            </w:r>
            <w:r>
              <w:rPr>
                <w:rFonts w:ascii="Times New Roman" w:eastAsia="Times New Roman" w:hAnsi="Times New Roman" w:cs="Times New Roman"/>
                <w:sz w:val="24"/>
              </w:rPr>
              <w:t xml:space="preserve"> </w:t>
            </w:r>
          </w:p>
        </w:tc>
      </w:tr>
    </w:tbl>
    <w:p w:rsidR="007617AD" w:rsidRDefault="00EE75C8">
      <w:pPr>
        <w:spacing w:after="0" w:line="259" w:lineRule="auto"/>
        <w:ind w:left="1239" w:firstLine="0"/>
        <w:jc w:val="left"/>
      </w:pPr>
      <w:r>
        <w:rPr>
          <w:rFonts w:ascii="Times New Roman" w:eastAsia="Times New Roman" w:hAnsi="Times New Roman" w:cs="Times New Roman"/>
          <w:sz w:val="24"/>
        </w:rPr>
        <w:t xml:space="preserve">         </w:t>
      </w:r>
    </w:p>
    <w:p w:rsidR="007617AD" w:rsidRDefault="00EE75C8">
      <w:pPr>
        <w:spacing w:after="0" w:line="259" w:lineRule="auto"/>
        <w:ind w:left="1428" w:firstLine="0"/>
        <w:jc w:val="left"/>
      </w:pP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           </w:t>
      </w:r>
    </w:p>
    <w:p w:rsidR="007617AD" w:rsidRDefault="00EE75C8">
      <w:pPr>
        <w:numPr>
          <w:ilvl w:val="0"/>
          <w:numId w:val="20"/>
        </w:numPr>
        <w:spacing w:after="9"/>
        <w:ind w:right="62" w:hanging="360"/>
      </w:pPr>
      <w:r>
        <w:rPr>
          <w:b/>
        </w:rPr>
        <w:t xml:space="preserve">Rehabilitación Avenida Constitución </w:t>
      </w:r>
      <w:r>
        <w:t>por un importe de</w:t>
      </w:r>
      <w:r>
        <w:rPr>
          <w:b/>
        </w:rPr>
        <w:t xml:space="preserve"> 88.306,43 euros </w:t>
      </w:r>
      <w:r>
        <w:t>Debido a la necesidad de homogeneización del pavimento de diferentes itinerarios peatonales, y además de la reposición de losetas, y ante el aumento del cost</w:t>
      </w:r>
      <w:r>
        <w:t>e de las materias primas, se propone el acopio del mismo para ir colocándolo cuando así lo requiera la programación.</w:t>
      </w:r>
      <w:r>
        <w:rPr>
          <w:rFonts w:ascii="Times New Roman" w:eastAsia="Times New Roman" w:hAnsi="Times New Roman" w:cs="Times New Roman"/>
          <w:sz w:val="24"/>
        </w:rPr>
        <w:t xml:space="preserve"> </w:t>
      </w:r>
    </w:p>
    <w:p w:rsidR="007617AD" w:rsidRDefault="00EE75C8">
      <w:pPr>
        <w:numPr>
          <w:ilvl w:val="0"/>
          <w:numId w:val="20"/>
        </w:numPr>
        <w:spacing w:after="16"/>
        <w:ind w:right="62" w:hanging="360"/>
      </w:pPr>
      <w:r>
        <w:rPr>
          <w:b/>
        </w:rPr>
        <w:t xml:space="preserve">Obra Muro Chac Concha </w:t>
      </w:r>
      <w:r>
        <w:t>por importe de</w:t>
      </w:r>
      <w:r>
        <w:rPr>
          <w:b/>
        </w:rPr>
        <w:t xml:space="preserve"> 14.107,12 euros </w:t>
      </w:r>
      <w:r>
        <w:t>Visto el deterioro existente en el muro de contención de la entrada a la calle Mora C</w:t>
      </w:r>
      <w:r>
        <w:t>ha Concha, se notifica el carácter de urgencia de dicha obra para consolidar la misma y evitar el peligro que ello supone</w:t>
      </w:r>
      <w:r>
        <w:rPr>
          <w:rFonts w:ascii="Times New Roman" w:eastAsia="Times New Roman" w:hAnsi="Times New Roman" w:cs="Times New Roman"/>
          <w:sz w:val="24"/>
        </w:rPr>
        <w:t xml:space="preserve"> </w:t>
      </w:r>
    </w:p>
    <w:p w:rsidR="007617AD" w:rsidRDefault="00EE75C8">
      <w:pPr>
        <w:numPr>
          <w:ilvl w:val="0"/>
          <w:numId w:val="20"/>
        </w:numPr>
        <w:spacing w:after="7"/>
        <w:ind w:right="62" w:hanging="360"/>
      </w:pPr>
      <w:r>
        <w:rPr>
          <w:b/>
        </w:rPr>
        <w:t xml:space="preserve">Mejoras en Polideportivo de Cuevecitas </w:t>
      </w:r>
      <w:r>
        <w:t>por un total</w:t>
      </w:r>
      <w:r>
        <w:rPr>
          <w:b/>
        </w:rPr>
        <w:t xml:space="preserve"> de 20.203,06 € </w:t>
      </w:r>
      <w:r>
        <w:t>Vista la necesidad de adecuar y mejorar la zona de entrada del Pol</w:t>
      </w:r>
      <w:r>
        <w:t xml:space="preserve">ideportivo de Cuevecitas, debido al mal estado del firme. PARA SUBSANARLO se propone el asfaltado de la parte delantera del centro y convertirlo en un parquin público para los usuarios del mismo. </w:t>
      </w:r>
      <w:r>
        <w:rPr>
          <w:rFonts w:ascii="Times New Roman" w:eastAsia="Times New Roman" w:hAnsi="Times New Roman" w:cs="Times New Roman"/>
          <w:sz w:val="24"/>
        </w:rPr>
        <w:t xml:space="preserve"> </w:t>
      </w:r>
    </w:p>
    <w:p w:rsidR="007617AD" w:rsidRDefault="00EE75C8">
      <w:pPr>
        <w:numPr>
          <w:ilvl w:val="0"/>
          <w:numId w:val="20"/>
        </w:numPr>
        <w:spacing w:after="7"/>
        <w:ind w:right="62" w:hanging="360"/>
      </w:pPr>
      <w:r>
        <w:rPr>
          <w:b/>
        </w:rPr>
        <w:t xml:space="preserve">Acondicionamiento Plaza Cruz  del Camino </w:t>
      </w:r>
      <w:r>
        <w:t>por importe de</w:t>
      </w:r>
      <w:r>
        <w:rPr>
          <w:b/>
        </w:rPr>
        <w:t xml:space="preserve"> 35</w:t>
      </w:r>
      <w:r>
        <w:rPr>
          <w:b/>
        </w:rPr>
        <w:t xml:space="preserve">.406,30 euros </w:t>
      </w:r>
      <w:r>
        <w:t>Vista la necesidad de adecuar y mejorar la zona de plaza de la Cruz del Camino, ya que se ha detectado que por el paso del tiempo se han producido deterioros en varias zonas.</w:t>
      </w:r>
      <w:r>
        <w:rPr>
          <w:rFonts w:ascii="Times New Roman" w:eastAsia="Times New Roman" w:hAnsi="Times New Roman" w:cs="Times New Roman"/>
          <w:sz w:val="24"/>
        </w:rPr>
        <w:t xml:space="preserve"> </w:t>
      </w:r>
    </w:p>
    <w:p w:rsidR="007617AD" w:rsidRDefault="00EE75C8">
      <w:pPr>
        <w:numPr>
          <w:ilvl w:val="0"/>
          <w:numId w:val="20"/>
        </w:numPr>
        <w:spacing w:after="9"/>
        <w:ind w:right="62" w:hanging="360"/>
      </w:pPr>
      <w:r>
        <w:rPr>
          <w:b/>
        </w:rPr>
        <w:t xml:space="preserve">Acondicionamiento tramo hundido calle la Vera Araya, </w:t>
      </w:r>
      <w:r>
        <w:t>por importe d</w:t>
      </w:r>
      <w:r>
        <w:t>e</w:t>
      </w:r>
      <w:r>
        <w:rPr>
          <w:b/>
        </w:rPr>
        <w:t xml:space="preserve"> 6.634,00 euros </w:t>
      </w:r>
      <w:r>
        <w:t>Visto el hundimiento producido en la calzada de la calle La Vera en Araya. y el riesgo inminente de derrumbe de la misma, se propone la realización de una obra de condicionamiento de dicho firme, con carácter de urgencia, y que se evite és</w:t>
      </w:r>
      <w:r>
        <w:t>ta situación de peligro.</w:t>
      </w:r>
      <w:r>
        <w:rPr>
          <w:rFonts w:ascii="Times New Roman" w:eastAsia="Times New Roman" w:hAnsi="Times New Roman" w:cs="Times New Roman"/>
          <w:sz w:val="24"/>
        </w:rPr>
        <w:t xml:space="preserve"> </w:t>
      </w:r>
    </w:p>
    <w:p w:rsidR="007617AD" w:rsidRDefault="00EE75C8">
      <w:pPr>
        <w:numPr>
          <w:ilvl w:val="0"/>
          <w:numId w:val="20"/>
        </w:numPr>
        <w:spacing w:after="14"/>
        <w:ind w:right="62" w:hanging="360"/>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0350" name="Group 26035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1439" name="Rectangle 1143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1440" name="Rectangle 11440"/>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53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0350" style="width:12.7031pt;height:280.02pt;position:absolute;mso-position-horizontal-relative:page;mso-position-horizontal:absolute;margin-left:682.278pt;mso-position-vertical-relative:page;margin-top:531.9pt;" coordsize="1613,35562">
                <v:rect id="Rectangle 1143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1440"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192 </w:t>
                        </w:r>
                      </w:p>
                    </w:txbxContent>
                  </v:textbox>
                </v:rect>
                <w10:wrap type="square"/>
              </v:group>
            </w:pict>
          </mc:Fallback>
        </mc:AlternateContent>
      </w:r>
      <w:r>
        <w:rPr>
          <w:b/>
        </w:rPr>
        <w:t xml:space="preserve">Demolición y canalización Avda. </w:t>
      </w:r>
      <w:r>
        <w:rPr>
          <w:b/>
        </w:rPr>
        <w:t>Constitución</w:t>
      </w:r>
      <w:r>
        <w:t xml:space="preserve">.por importe de </w:t>
      </w:r>
      <w:r>
        <w:rPr>
          <w:b/>
        </w:rPr>
        <w:t>60.612,50 euros</w:t>
      </w:r>
      <w:r>
        <w:t xml:space="preserve"> Vista la necesidad de rehabilitar la acera de la avenida de la Constitución desde la Playa del alcalde hasta el Pozo ya que el pavimento se encuentra bastante deteriorado y en ocasiónes varias personas se han acc</w:t>
      </w:r>
      <w:r>
        <w:t>identado en la misma, se propone la demolición y canalizaciones de dicho tramo.</w:t>
      </w:r>
      <w:r>
        <w:rPr>
          <w:rFonts w:ascii="Times New Roman" w:eastAsia="Times New Roman" w:hAnsi="Times New Roman" w:cs="Times New Roman"/>
          <w:sz w:val="24"/>
        </w:rPr>
        <w:t xml:space="preserve"> </w:t>
      </w:r>
    </w:p>
    <w:p w:rsidR="007617AD" w:rsidRDefault="00EE75C8">
      <w:pPr>
        <w:numPr>
          <w:ilvl w:val="0"/>
          <w:numId w:val="20"/>
        </w:numPr>
        <w:spacing w:after="11"/>
        <w:ind w:right="62" w:hanging="360"/>
      </w:pPr>
      <w:r>
        <w:rPr>
          <w:b/>
        </w:rPr>
        <w:t>Acondicionamiento Plaza el Tagorillo</w:t>
      </w:r>
      <w:r>
        <w:t xml:space="preserve"> por importe de </w:t>
      </w:r>
      <w:r>
        <w:rPr>
          <w:b/>
        </w:rPr>
        <w:t>42.666,50 €</w:t>
      </w:r>
      <w:r>
        <w:t xml:space="preserve"> </w:t>
      </w:r>
      <w:r>
        <w:t xml:space="preserve">Vista la necesidad de adecuar y mejorar la zona de plaza del Tagorillo, ya que se ha detectado que por el paso del tiempo se han producido deterioros en varias zonas. </w:t>
      </w:r>
      <w:r>
        <w:rPr>
          <w:rFonts w:ascii="Times New Roman" w:eastAsia="Times New Roman" w:hAnsi="Times New Roman" w:cs="Times New Roman"/>
          <w:sz w:val="24"/>
        </w:rPr>
        <w:t xml:space="preserve"> </w:t>
      </w:r>
    </w:p>
    <w:p w:rsidR="007617AD" w:rsidRDefault="00EE75C8">
      <w:pPr>
        <w:numPr>
          <w:ilvl w:val="0"/>
          <w:numId w:val="20"/>
        </w:numPr>
        <w:spacing w:after="0"/>
        <w:ind w:right="62" w:hanging="360"/>
      </w:pPr>
      <w:r>
        <w:rPr>
          <w:b/>
        </w:rPr>
        <w:t>Contenedores RSU por importe de 14.994,98 €</w:t>
      </w:r>
      <w:r>
        <w:t xml:space="preserve"> Vista la necesidad de contar con contenedor</w:t>
      </w:r>
      <w:r>
        <w:t>es de R.S.U. para la reposición de los mismos que se encuentren en malas condiciones. Visto que no contamos con contenedores de reserva en el depósito ya que se han ido sustituyendo los que estaban en muy malas condiciones, se propone la compra de contened</w:t>
      </w:r>
      <w:r>
        <w:t>ores para sustituir los que se rompan.</w:t>
      </w:r>
      <w:r>
        <w:rPr>
          <w:rFonts w:ascii="Times New Roman" w:eastAsia="Times New Roman" w:hAnsi="Times New Roman" w:cs="Times New Roman"/>
          <w:sz w:val="24"/>
        </w:rPr>
        <w:t xml:space="preserve"> </w:t>
      </w:r>
    </w:p>
    <w:p w:rsidR="007617AD" w:rsidRDefault="00EE75C8">
      <w:pPr>
        <w:spacing w:after="40" w:line="259" w:lineRule="auto"/>
        <w:ind w:left="1416" w:firstLine="0"/>
        <w:jc w:val="left"/>
      </w:pPr>
      <w:r>
        <w:t xml:space="preserve"> </w:t>
      </w:r>
    </w:p>
    <w:p w:rsidR="007617AD" w:rsidRDefault="00EE75C8">
      <w:pPr>
        <w:spacing w:after="142"/>
        <w:ind w:left="693" w:right="62" w:firstLine="353"/>
      </w:pPr>
      <w:r>
        <w:t xml:space="preserve">Siendo un gasto específico y determinado ante la imposibilidad de demorarlo a ejercicios posteriores, y no habiendo crédito suficiente en las aplicaciones presupuestarias. </w:t>
      </w:r>
    </w:p>
    <w:p w:rsidR="007617AD" w:rsidRDefault="00EE75C8">
      <w:pPr>
        <w:spacing w:after="140" w:line="259" w:lineRule="auto"/>
        <w:ind w:left="1049" w:firstLine="0"/>
        <w:jc w:val="left"/>
      </w:pPr>
      <w:r>
        <w:t xml:space="preserve"> </w:t>
      </w:r>
    </w:p>
    <w:p w:rsidR="007617AD" w:rsidRDefault="00EE75C8">
      <w:pPr>
        <w:ind w:left="703" w:right="58"/>
      </w:pPr>
      <w:r>
        <w:rPr>
          <w:b/>
        </w:rPr>
        <w:t>SE PROPONE:</w:t>
      </w:r>
      <w:r>
        <w:rPr>
          <w:rFonts w:ascii="Times New Roman" w:eastAsia="Times New Roman" w:hAnsi="Times New Roman" w:cs="Times New Roman"/>
          <w:sz w:val="24"/>
        </w:rPr>
        <w:t xml:space="preserve"> </w:t>
      </w:r>
    </w:p>
    <w:p w:rsidR="007617AD" w:rsidRDefault="00EE75C8">
      <w:pPr>
        <w:ind w:left="703" w:right="62"/>
      </w:pPr>
      <w:r>
        <w:t xml:space="preserve">Único: Tramitar expediente </w:t>
      </w:r>
      <w:r>
        <w:rPr>
          <w:b/>
        </w:rPr>
        <w:t>5316/2022</w:t>
      </w:r>
      <w:r>
        <w:t xml:space="preserve"> de modificación presupuestaria por </w:t>
      </w:r>
      <w:r>
        <w:rPr>
          <w:b/>
        </w:rPr>
        <w:t xml:space="preserve">Créditos extraordinarios </w:t>
      </w:r>
      <w:r>
        <w:t xml:space="preserve">financiado con Remanente de Tesorería para gastos generales, por una cantidad total de </w:t>
      </w:r>
      <w:r>
        <w:rPr>
          <w:b/>
        </w:rPr>
        <w:t>1.380.537,83 euros</w:t>
      </w:r>
      <w:r>
        <w:t>, de acuerdo al siguiente detalle:</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tbl>
      <w:tblPr>
        <w:tblStyle w:val="TableGrid"/>
        <w:tblW w:w="8653" w:type="dxa"/>
        <w:tblInd w:w="784" w:type="dxa"/>
        <w:tblCellMar>
          <w:top w:w="2" w:type="dxa"/>
          <w:left w:w="68" w:type="dxa"/>
          <w:bottom w:w="14" w:type="dxa"/>
          <w:right w:w="24" w:type="dxa"/>
        </w:tblCellMar>
        <w:tblLook w:val="04A0" w:firstRow="1" w:lastRow="0" w:firstColumn="1" w:lastColumn="0" w:noHBand="0" w:noVBand="1"/>
      </w:tblPr>
      <w:tblGrid>
        <w:gridCol w:w="845"/>
        <w:gridCol w:w="1030"/>
        <w:gridCol w:w="5703"/>
        <w:gridCol w:w="1076"/>
      </w:tblGrid>
      <w:tr w:rsidR="007617AD">
        <w:trPr>
          <w:trHeight w:val="288"/>
        </w:trPr>
        <w:tc>
          <w:tcPr>
            <w:tcW w:w="8653" w:type="dxa"/>
            <w:gridSpan w:val="4"/>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4" w:firstLine="0"/>
              <w:jc w:val="center"/>
            </w:pPr>
            <w:r>
              <w:rPr>
                <w:rFonts w:ascii="Times New Roman" w:eastAsia="Times New Roman" w:hAnsi="Times New Roman" w:cs="Times New Roman"/>
                <w:b/>
                <w:sz w:val="14"/>
              </w:rPr>
              <w:t>Estado de Gastos</w:t>
            </w:r>
            <w:r>
              <w:rPr>
                <w:rFonts w:ascii="Times New Roman" w:eastAsia="Times New Roman" w:hAnsi="Times New Roman" w:cs="Times New Roman"/>
                <w:sz w:val="24"/>
              </w:rPr>
              <w:t xml:space="preserve"> </w:t>
            </w:r>
          </w:p>
        </w:tc>
      </w:tr>
      <w:tr w:rsidR="007617AD">
        <w:trPr>
          <w:trHeight w:val="812"/>
        </w:trPr>
        <w:tc>
          <w:tcPr>
            <w:tcW w:w="84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firstLine="0"/>
              <w:jc w:val="center"/>
            </w:pPr>
            <w:r>
              <w:rPr>
                <w:b/>
                <w:sz w:val="16"/>
              </w:rPr>
              <w:t xml:space="preserve">Proyecto Gasto  </w:t>
            </w:r>
          </w:p>
        </w:tc>
        <w:tc>
          <w:tcPr>
            <w:tcW w:w="10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43" w:firstLine="0"/>
              <w:jc w:val="left"/>
            </w:pPr>
            <w:r>
              <w:rPr>
                <w:b/>
                <w:sz w:val="16"/>
              </w:rPr>
              <w:t xml:space="preserve">Aplicación </w:t>
            </w:r>
          </w:p>
        </w:tc>
        <w:tc>
          <w:tcPr>
            <w:tcW w:w="57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right="43" w:firstLine="0"/>
              <w:jc w:val="center"/>
            </w:pPr>
            <w:r>
              <w:rPr>
                <w:b/>
                <w:sz w:val="16"/>
              </w:rPr>
              <w:t xml:space="preserve">Denominación  </w:t>
            </w:r>
          </w:p>
        </w:tc>
        <w:tc>
          <w:tcPr>
            <w:tcW w:w="107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right="41" w:firstLine="0"/>
              <w:jc w:val="center"/>
            </w:pPr>
            <w:r>
              <w:rPr>
                <w:b/>
                <w:sz w:val="16"/>
              </w:rPr>
              <w:t xml:space="preserve">Estimado </w:t>
            </w:r>
          </w:p>
        </w:tc>
      </w:tr>
      <w:tr w:rsidR="007617AD">
        <w:trPr>
          <w:trHeight w:val="287"/>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1532061903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REASFALTADO PARKING LOS BREZOS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20.551,49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1532061904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ASFALTADO TRASERA POLIDEPORTIVO CUEVECITAS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17.242,35 </w:t>
            </w:r>
          </w:p>
        </w:tc>
      </w:tr>
      <w:tr w:rsidR="007617AD">
        <w:trPr>
          <w:trHeight w:val="288"/>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1532061905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ZONAS DE APARCAMIENTOS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110.551,49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1710062501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RENOVACION PARQUES INFANTILES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186.187,85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1710062502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CUBIERTA Y AMPLIACIÓN PARQUE EBAR PUNTA LARGA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104.922,26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1710062503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PARQUE INFANTIL CUEVECITAS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48.977,55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3230061901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REFORMA PISO Y TUBERIA COMDOR CEIP PRINCIPE FELIPE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17.136,55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3230061902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SUSTITUCIÓN ALICATADO CEIP PRINCIPE FELIPE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93.346,60 </w:t>
            </w:r>
          </w:p>
        </w:tc>
      </w:tr>
      <w:tr w:rsidR="007617AD">
        <w:trPr>
          <w:trHeight w:val="288"/>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3230061903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AMPLIACION DE COMEDOR CEIP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1.637,10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3230061904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REPARACION DE ESCALERA PRINCIPAL CEIP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3.670,10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3230061905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ACONDICIONAMIENTO SERVICIOS CEIP CARMEN ALVAREZ DE LA ROSA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34.843,54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3230061906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RENOVACION PARQUE INFANTIL CEIP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14.877,88 </w:t>
            </w:r>
          </w:p>
        </w:tc>
      </w:tr>
      <w:tr w:rsidR="007617AD">
        <w:trPr>
          <w:trHeight w:val="391"/>
        </w:trPr>
        <w:tc>
          <w:tcPr>
            <w:tcW w:w="845"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2" w:firstLine="0"/>
            </w:pPr>
            <w:r>
              <w:rPr>
                <w:sz w:val="16"/>
              </w:rPr>
              <w:t xml:space="preserve">3340022711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CREACION CONTENIDO DIVULGATIVO GRUPOS ESCULTORICOS CANDELARI </w:t>
            </w:r>
          </w:p>
        </w:tc>
        <w:tc>
          <w:tcPr>
            <w:tcW w:w="1076"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4" w:firstLine="0"/>
              <w:jc w:val="right"/>
            </w:pPr>
            <w:r>
              <w:rPr>
                <w:sz w:val="16"/>
              </w:rPr>
              <w:t xml:space="preserve">3.500,00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3340061903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CERRAMIENTO ALUMINIO CENTRO CULTURAL MALPAIS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22.219,99 </w:t>
            </w:r>
          </w:p>
        </w:tc>
      </w:tr>
      <w:tr w:rsidR="007617AD">
        <w:trPr>
          <w:trHeight w:val="288"/>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3340061904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CERRAMIENTO ALUMINIO CINE VIEJO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12.232,00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3340061905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REFORMA EN LOCAL ENSAYO BANDA NUEVA DE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6.072,25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3410022711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PREPARACION Y REALIZACION MURAL SKATEPARK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14.915,80 </w:t>
            </w:r>
          </w:p>
        </w:tc>
      </w:tr>
      <w:tr w:rsidR="007617AD">
        <w:trPr>
          <w:trHeight w:val="391"/>
        </w:trPr>
        <w:tc>
          <w:tcPr>
            <w:tcW w:w="845"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2" w:firstLine="0"/>
            </w:pPr>
            <w:r>
              <w:rPr>
                <w:sz w:val="16"/>
              </w:rPr>
              <w:t xml:space="preserve">3410061911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INSTALACIÓN DE BAJA TENSIÓN Y MARQUESINA CAMPO DE FUTBOL BRU </w:t>
            </w:r>
          </w:p>
        </w:tc>
        <w:tc>
          <w:tcPr>
            <w:tcW w:w="1076"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5" w:firstLine="0"/>
              <w:jc w:val="right"/>
            </w:pPr>
            <w:r>
              <w:rPr>
                <w:sz w:val="16"/>
              </w:rPr>
              <w:t xml:space="preserve">380.137,19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P.22.2.33</w:t>
            </w:r>
            <w:r>
              <w:rPr>
                <w:sz w:val="16"/>
              </w:rPr>
              <w:t xml:space="preserve">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3410061912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MODULO LANZAMIENTO ATLETISMO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4.584,95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4590061904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REHABILITACION AVENIDA CONSTITUCION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88.306,43 </w:t>
            </w:r>
          </w:p>
        </w:tc>
      </w:tr>
      <w:tr w:rsidR="007617AD">
        <w:trPr>
          <w:trHeight w:val="288"/>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4590061905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OBRA MURO CHA CONCHA EN ARAYA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14.107,12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4590061906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MEJORAS EN POLIDPORTIVO CUEVECITAS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20.203,06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4590061907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PLAZA CRUZ DEL CAMINO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35.406,30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4590061908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TRAMO HUNDIDO CALLE LA VERA ARAYA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6.634,00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4590061909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DEMOLICION Y CANALIZACION ACERA AVDA CONSTITUCION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60.612,50 </w:t>
            </w:r>
          </w:p>
        </w:tc>
      </w:tr>
      <w:tr w:rsidR="007617AD">
        <w:trPr>
          <w:trHeight w:val="286"/>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4590061911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PLAZA EL TAGORILLO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42.666,50 </w:t>
            </w:r>
          </w:p>
        </w:tc>
      </w:tr>
      <w:tr w:rsidR="007617AD">
        <w:trPr>
          <w:trHeight w:val="288"/>
        </w:trPr>
        <w:tc>
          <w:tcPr>
            <w:tcW w:w="845"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0"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4590062500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CONTENEDORES RSU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14.994,98 </w:t>
            </w:r>
          </w:p>
        </w:tc>
      </w:tr>
      <w:tr w:rsidR="007617AD">
        <w:trPr>
          <w:trHeight w:val="286"/>
        </w:trPr>
        <w:tc>
          <w:tcPr>
            <w:tcW w:w="1874"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3" w:firstLine="0"/>
              <w:jc w:val="center"/>
            </w:pPr>
            <w:r>
              <w:rPr>
                <w:b/>
                <w:sz w:val="16"/>
              </w:rPr>
              <w:t xml:space="preserve">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6" w:firstLine="0"/>
              <w:jc w:val="right"/>
            </w:pPr>
            <w:r>
              <w:rPr>
                <w:b/>
                <w:sz w:val="16"/>
              </w:rPr>
              <w:t xml:space="preserve">Total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5" w:firstLine="0"/>
            </w:pPr>
            <w:r>
              <w:rPr>
                <w:b/>
                <w:sz w:val="16"/>
              </w:rPr>
              <w:t xml:space="preserve">1.380.537,83 </w:t>
            </w:r>
          </w:p>
        </w:tc>
      </w:tr>
      <w:tr w:rsidR="007617AD">
        <w:trPr>
          <w:trHeight w:val="287"/>
        </w:trPr>
        <w:tc>
          <w:tcPr>
            <w:tcW w:w="8653" w:type="dxa"/>
            <w:gridSpan w:val="4"/>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center"/>
            </w:pPr>
            <w:r>
              <w:rPr>
                <w:b/>
                <w:sz w:val="16"/>
              </w:rPr>
              <w:t xml:space="preserve">Estado de Ingresos </w:t>
            </w:r>
          </w:p>
        </w:tc>
      </w:tr>
      <w:tr w:rsidR="007617AD">
        <w:trPr>
          <w:trHeight w:val="389"/>
        </w:trPr>
        <w:tc>
          <w:tcPr>
            <w:tcW w:w="845" w:type="dxa"/>
            <w:tcBorders>
              <w:top w:val="single" w:sz="4" w:space="0" w:color="000000"/>
              <w:left w:val="single" w:sz="4" w:space="0" w:color="000000"/>
              <w:bottom w:val="single" w:sz="4" w:space="0" w:color="000000"/>
              <w:right w:val="single" w:sz="4" w:space="0" w:color="000000"/>
            </w:tcBorders>
            <w:shd w:val="clear" w:color="auto" w:fill="BFBFBF"/>
          </w:tcPr>
          <w:p w:rsidR="007617AD" w:rsidRDefault="00EE75C8">
            <w:pPr>
              <w:spacing w:after="0" w:line="259" w:lineRule="auto"/>
              <w:ind w:left="0" w:firstLine="0"/>
              <w:jc w:val="center"/>
            </w:pPr>
            <w:r>
              <w:rPr>
                <w:b/>
                <w:sz w:val="16"/>
              </w:rPr>
              <w:t xml:space="preserve">Aplicación  </w:t>
            </w:r>
          </w:p>
        </w:tc>
        <w:tc>
          <w:tcPr>
            <w:tcW w:w="6733" w:type="dxa"/>
            <w:gridSpan w:val="2"/>
            <w:tcBorders>
              <w:top w:val="single" w:sz="4" w:space="0" w:color="000000"/>
              <w:left w:val="single" w:sz="4" w:space="0" w:color="000000"/>
              <w:bottom w:val="single" w:sz="4" w:space="0" w:color="000000"/>
              <w:right w:val="single" w:sz="4" w:space="0" w:color="000000"/>
            </w:tcBorders>
            <w:shd w:val="clear" w:color="auto" w:fill="BFBFBF"/>
            <w:vAlign w:val="bottom"/>
          </w:tcPr>
          <w:p w:rsidR="007617AD" w:rsidRDefault="00EE75C8">
            <w:pPr>
              <w:spacing w:after="0" w:line="259" w:lineRule="auto"/>
              <w:ind w:left="0" w:right="45" w:firstLine="0"/>
              <w:jc w:val="center"/>
            </w:pPr>
            <w:r>
              <w:rPr>
                <w:b/>
                <w:sz w:val="16"/>
              </w:rPr>
              <w:t xml:space="preserve">Denominación  </w:t>
            </w:r>
          </w:p>
        </w:tc>
        <w:tc>
          <w:tcPr>
            <w:tcW w:w="1076"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7617AD" w:rsidRDefault="00EE75C8">
            <w:pPr>
              <w:spacing w:after="0" w:line="259" w:lineRule="auto"/>
              <w:ind w:left="0" w:right="40" w:firstLine="0"/>
              <w:jc w:val="center"/>
            </w:pPr>
            <w:r>
              <w:rPr>
                <w:b/>
                <w:sz w:val="16"/>
              </w:rPr>
              <w:t xml:space="preserve">Importe </w:t>
            </w:r>
          </w:p>
        </w:tc>
      </w:tr>
      <w:tr w:rsidR="007617AD">
        <w:trPr>
          <w:trHeight w:val="287"/>
        </w:trPr>
        <w:tc>
          <w:tcPr>
            <w:tcW w:w="1874"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7" w:firstLine="0"/>
              <w:jc w:val="center"/>
            </w:pPr>
            <w:r>
              <w:rPr>
                <w:sz w:val="16"/>
              </w:rPr>
              <w:t xml:space="preserve">87000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Remanente de Tesoreria para gastos generales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5" w:firstLine="0"/>
            </w:pPr>
            <w:r>
              <w:rPr>
                <w:sz w:val="16"/>
              </w:rPr>
              <w:t xml:space="preserve">1.380.537,83 </w:t>
            </w:r>
          </w:p>
        </w:tc>
      </w:tr>
      <w:tr w:rsidR="007617AD">
        <w:trPr>
          <w:trHeight w:val="288"/>
        </w:trPr>
        <w:tc>
          <w:tcPr>
            <w:tcW w:w="1874"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3" w:firstLine="0"/>
              <w:jc w:val="center"/>
            </w:pPr>
            <w:r>
              <w:rPr>
                <w:sz w:val="16"/>
              </w:rPr>
              <w:t xml:space="preserve">  </w:t>
            </w:r>
          </w:p>
        </w:tc>
        <w:tc>
          <w:tcPr>
            <w:tcW w:w="57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6" w:firstLine="0"/>
              <w:jc w:val="right"/>
            </w:pPr>
            <w:r>
              <w:rPr>
                <w:b/>
                <w:sz w:val="16"/>
              </w:rPr>
              <w:t xml:space="preserve">Total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5" w:firstLine="0"/>
            </w:pPr>
            <w:r>
              <w:rPr>
                <w:b/>
                <w:sz w:val="16"/>
              </w:rPr>
              <w:t xml:space="preserve">1.380.537,83 </w:t>
            </w:r>
          </w:p>
        </w:tc>
      </w:tr>
    </w:tbl>
    <w:p w:rsidR="007617AD" w:rsidRDefault="00EE75C8">
      <w:pPr>
        <w:spacing w:after="30" w:line="259" w:lineRule="auto"/>
        <w:ind w:left="1426"/>
        <w:jc w:val="left"/>
      </w:pPr>
      <w:r>
        <w:rPr>
          <w:sz w:val="16"/>
        </w:rPr>
        <w:t>.”</w:t>
      </w:r>
      <w:r>
        <w:rPr>
          <w:rFonts w:ascii="Times New Roman" w:eastAsia="Times New Roman" w:hAnsi="Times New Roman" w:cs="Times New Roman"/>
          <w:sz w:val="24"/>
        </w:rPr>
        <w:t xml:space="preserve"> </w:t>
      </w:r>
    </w:p>
    <w:p w:rsidR="007617AD" w:rsidRDefault="00EE75C8">
      <w:pPr>
        <w:spacing w:after="134" w:line="259" w:lineRule="auto"/>
        <w:ind w:left="1416" w:firstLine="0"/>
        <w:jc w:val="left"/>
      </w:pPr>
      <w:r>
        <w:rPr>
          <w:rFonts w:ascii="Times New Roman" w:eastAsia="Times New Roman" w:hAnsi="Times New Roman" w:cs="Times New Roman"/>
          <w:sz w:val="24"/>
        </w:rPr>
        <w:t xml:space="preserve"> </w:t>
      </w:r>
    </w:p>
    <w:p w:rsidR="007617AD" w:rsidRDefault="00EE75C8">
      <w:pPr>
        <w:spacing w:after="157"/>
        <w:ind w:left="693" w:right="62" w:firstLine="708"/>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309736" name="Group 30973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2235" name="Rectangle 1223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2236" name="Rectangle 12236"/>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54 de 192 </w:t>
                              </w:r>
                            </w:p>
                          </w:txbxContent>
                        </wps:txbx>
                        <wps:bodyPr horzOverflow="overflow" vert="horz" lIns="0" tIns="0" rIns="0" bIns="0" rtlCol="0">
                          <a:noAutofit/>
                        </wps:bodyPr>
                      </wps:wsp>
                    </wpg:wgp>
                  </a:graphicData>
                </a:graphic>
              </wp:anchor>
            </w:drawing>
          </mc:Choice>
          <mc:Fallback xmlns:a="http://schemas.openxmlformats.org/drawingml/2006/main">
            <w:pict>
              <v:group id="Group 309736" style="width:12.7031pt;height:280.02pt;position:absolute;mso-position-horizontal-relative:page;mso-position-horizontal:absolute;margin-left:682.278pt;mso-position-vertical-relative:page;margin-top:531.9pt;" coordsize="1613,35562">
                <v:rect id="Rectangle 1223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2236"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192 </w:t>
                        </w:r>
                      </w:p>
                    </w:txbxContent>
                  </v:textbox>
                </v:rect>
                <w10:wrap type="square"/>
              </v:group>
            </w:pict>
          </mc:Fallback>
        </mc:AlternateContent>
      </w:r>
      <w:r>
        <w:t>Vista las Memorias, informes técnicos, proyectos de obra y presupuestos, de las actuaciones que se quieren llevar a cabo, en la que se justifican la necesidad y u</w:t>
      </w:r>
      <w:r>
        <w:t>rgencia de la modificación presupuestaria, requisito que se establece en la base 9ª del Presupuesto General, y siendo un gasto específico y determinado, ante la imposibilidad de demorarlo a ejercicios posteriores, y no habiendo crédito suficiente en las ap</w:t>
      </w:r>
      <w:r>
        <w:t xml:space="preserve">licaciones presupuestarias. </w:t>
      </w:r>
    </w:p>
    <w:p w:rsidR="007617AD" w:rsidRDefault="00EE75C8">
      <w:pPr>
        <w:spacing w:after="52" w:line="248" w:lineRule="auto"/>
        <w:ind w:left="703" w:right="34"/>
        <w:jc w:val="left"/>
      </w:pPr>
      <w:r>
        <w:rPr>
          <w:b/>
        </w:rPr>
        <w:t xml:space="preserve">PRIMERO. </w:t>
      </w:r>
      <w:r>
        <w:t>Visto Acuerdo del Congreso de los Diputados del 22 de septiembre de 2021, aprobado por mayoría absoluta, ha apreciado, por mayoría absoluta de sus miembros, que se da una situación de emergencia extraordinaria que motiva la suspensión de las reglas fiscale</w:t>
      </w:r>
      <w:r>
        <w:t xml:space="preserve">s, requisito que establece el artículo 11.3 de la LOEPSF. </w:t>
      </w:r>
    </w:p>
    <w:p w:rsidR="007617AD" w:rsidRDefault="00EE75C8">
      <w:pPr>
        <w:ind w:left="703" w:right="62"/>
      </w:pPr>
      <w:r>
        <w:t xml:space="preserve"> </w:t>
      </w:r>
      <w:r>
        <w:tab/>
        <w:t xml:space="preserve">Atendiendo al acuerdo del Consejo de Ministros de 27 de julio de 2021, mediante el que se acuerda: </w:t>
      </w:r>
    </w:p>
    <w:p w:rsidR="007617AD" w:rsidRDefault="00EE75C8">
      <w:pPr>
        <w:spacing w:after="54"/>
        <w:ind w:left="1428" w:right="62" w:hanging="360"/>
      </w:pPr>
      <w:r>
        <w:rPr>
          <w:rFonts w:ascii="Segoe UI Symbol" w:eastAsia="Segoe UI Symbol" w:hAnsi="Segoe UI Symbol" w:cs="Segoe UI Symbol"/>
        </w:rPr>
        <w:t></w:t>
      </w:r>
      <w:r>
        <w:t xml:space="preserve"> “Como ya ocurrió el año pasado, el Acuerdo de Consejo de Ministros también contempla el mante</w:t>
      </w:r>
      <w:r>
        <w:t xml:space="preserve">nimiento de la suspensión de las reglas fiscales. Esta medida se enmarca en la decisión de la Comisión Europea de mantener la cláusula de salvaguarda también para 2022. Ello permite dotar a los Estados de mayor flexibilidad para afrontar la recuperación. </w:t>
      </w:r>
    </w:p>
    <w:p w:rsidR="007617AD" w:rsidRDefault="00EE75C8">
      <w:pPr>
        <w:spacing w:after="50"/>
        <w:ind w:left="1438" w:right="62"/>
      </w:pPr>
      <w:r>
        <w:t>El Gobierno solicitará de nuevo al Congreso de los Diputados que aprecie si en España concurren las circunstancias extraordinarias previstas en el artículo 135.4 de la Constitución Española y 11.3 de la Ley Orgánica de Estabilidad Presupuestaria y Sostenib</w:t>
      </w:r>
      <w:r>
        <w:t xml:space="preserve">ilidad Financiera. Es el mismo trámite que se siguió el año anterior para suspender las reglas fiscales nacionales.”.  </w:t>
      </w:r>
    </w:p>
    <w:p w:rsidR="007617AD" w:rsidRDefault="00EE75C8">
      <w:pPr>
        <w:spacing w:after="52"/>
        <w:ind w:left="703" w:right="62"/>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59579" name="Group 25957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2354" name="Rectangle 1235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2355" name="Rectangle 12355"/>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w:t>
                              </w:r>
                              <w:r>
                                <w:rPr>
                                  <w:sz w:val="12"/>
                                </w:rPr>
                                <w:t xml:space="preserve">e desde la plataforma esPublico Gestiona | Página 55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59579" style="width:12.7031pt;height:280.02pt;position:absolute;mso-position-horizontal-relative:page;mso-position-horizontal:absolute;margin-left:682.278pt;mso-position-vertical-relative:page;margin-top:531.9pt;" coordsize="1613,35562">
                <v:rect id="Rectangle 1235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2355"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192 </w:t>
                        </w:r>
                      </w:p>
                    </w:txbxContent>
                  </v:textbox>
                </v:rect>
                <w10:wrap type="square"/>
              </v:group>
            </w:pict>
          </mc:Fallback>
        </mc:AlternateContent>
      </w:r>
      <w:r>
        <w:t xml:space="preserve"> La suspensión de las reglas fiscales ha supuesto que el superávit no tenga que dedicarse a amortizar deuda, aun siendo posible realizar esta amortización si la EELL lo considera. La regla del ar</w:t>
      </w:r>
      <w:r>
        <w:t xml:space="preserve">tículo 32 de la LOEPSF puede no aplicarse a partir del momento en que se han suspendido las reglas fiscales, ya que estas son el fundamento de aquella regla. Regla que conecta con el objetivo de estabilidad presupuestaria y con el de deuda pública.  </w:t>
      </w:r>
    </w:p>
    <w:p w:rsidR="007617AD" w:rsidRDefault="00EE75C8">
      <w:pPr>
        <w:spacing w:after="11"/>
        <w:ind w:left="703" w:right="62"/>
      </w:pPr>
      <w:r>
        <w:t xml:space="preserve"> Al n</w:t>
      </w:r>
      <w:r>
        <w:t xml:space="preserve">o ser aplicable la regla general, tampoco es necesaria la regla especial de destinar el superávit a inversiones financieramente sostenibles, salvo las excepciones siguientes, o mediante norma posterior que prorrogue íntegramente la DA 6ª de la LOEPSF. </w:t>
      </w:r>
    </w:p>
    <w:p w:rsidR="007617AD" w:rsidRDefault="00EE75C8">
      <w:pPr>
        <w:spacing w:after="40" w:line="259" w:lineRule="auto"/>
        <w:ind w:left="708" w:firstLine="0"/>
        <w:jc w:val="left"/>
      </w:pPr>
      <w:r>
        <w:t xml:space="preserve"> </w:t>
      </w:r>
      <w:r>
        <w:tab/>
      </w:r>
      <w:r>
        <w:rPr>
          <w:rFonts w:ascii="Times New Roman" w:eastAsia="Times New Roman" w:hAnsi="Times New Roman" w:cs="Times New Roman"/>
          <w:sz w:val="24"/>
        </w:rPr>
        <w:t xml:space="preserve"> </w:t>
      </w:r>
    </w:p>
    <w:p w:rsidR="007617AD" w:rsidRDefault="00EE75C8">
      <w:pPr>
        <w:spacing w:after="33"/>
        <w:ind w:left="703" w:right="62"/>
      </w:pPr>
      <w:r>
        <w:rPr>
          <w:b/>
        </w:rPr>
        <w:t>SEGUNDO</w:t>
      </w:r>
      <w:r>
        <w:t>. La legislación aplicable es la siguiente:</w:t>
      </w:r>
      <w:r>
        <w:rPr>
          <w:rFonts w:ascii="Times New Roman" w:eastAsia="Times New Roman" w:hAnsi="Times New Roman" w:cs="Times New Roman"/>
          <w:sz w:val="24"/>
        </w:rPr>
        <w:t xml:space="preserve"> </w:t>
      </w:r>
    </w:p>
    <w:p w:rsidR="007617AD" w:rsidRDefault="00EE75C8">
      <w:pPr>
        <w:numPr>
          <w:ilvl w:val="0"/>
          <w:numId w:val="21"/>
        </w:numPr>
        <w:spacing w:after="47" w:line="252" w:lineRule="auto"/>
        <w:ind w:right="62" w:hanging="360"/>
      </w:pPr>
      <w:r>
        <w:t xml:space="preserve">Los artículos 169, 170 y 172 a 177 del Real Decreto Legislativo 2/2004, de 5 de marzo, por el que se aprueba el Texto Refundido de la Ley Reguladora de las Haciendas Locales.  </w:t>
      </w:r>
    </w:p>
    <w:p w:rsidR="007617AD" w:rsidRDefault="00EE75C8">
      <w:pPr>
        <w:numPr>
          <w:ilvl w:val="0"/>
          <w:numId w:val="21"/>
        </w:numPr>
        <w:spacing w:after="52" w:line="248" w:lineRule="auto"/>
        <w:ind w:right="62" w:hanging="360"/>
      </w:pPr>
      <w:r>
        <w:t xml:space="preserve">Los artículos 34 a 38 del Real Decreto 500/1990, de 20 de abril, por el que se desarrolla el Capítulo I, del Título VI, de la Ley 39/1988, de 28 de diciembre, Reguladora de las Haciendas Locales, en materia de presupuestos. </w:t>
      </w:r>
    </w:p>
    <w:p w:rsidR="007617AD" w:rsidRDefault="00EE75C8">
      <w:pPr>
        <w:numPr>
          <w:ilvl w:val="0"/>
          <w:numId w:val="21"/>
        </w:numPr>
        <w:spacing w:after="52"/>
        <w:ind w:right="62" w:hanging="360"/>
      </w:pPr>
      <w:r>
        <w:t>Los artículos 3, 4, 11, 12, 13,</w:t>
      </w:r>
      <w:r>
        <w:t xml:space="preserve"> 21, 23 y 32 de la Ley Orgánica 2/2012, de 27 de abril, de Estabilidad Presupuestaria y Sostenibilidad Financiera.  </w:t>
      </w:r>
    </w:p>
    <w:p w:rsidR="007617AD" w:rsidRDefault="00EE75C8">
      <w:pPr>
        <w:numPr>
          <w:ilvl w:val="0"/>
          <w:numId w:val="21"/>
        </w:numPr>
        <w:spacing w:after="54"/>
        <w:ind w:right="62" w:hanging="360"/>
      </w:pPr>
      <w:r>
        <w:t xml:space="preserve">El artículo 16.2 del Real Decreto 1463/2007, de 2 de noviembre, por el que se aprueba el Reglamento de Desarrollo de la Ley 18/2001, de 12 </w:t>
      </w:r>
      <w:r>
        <w:t xml:space="preserve">de noviembre, de Estabilidad Presupuestaria, en su Aplicación a las Entidades Locales. </w:t>
      </w:r>
    </w:p>
    <w:p w:rsidR="007617AD" w:rsidRDefault="00EE75C8">
      <w:pPr>
        <w:numPr>
          <w:ilvl w:val="0"/>
          <w:numId w:val="21"/>
        </w:numPr>
        <w:spacing w:after="52"/>
        <w:ind w:right="62" w:hanging="360"/>
      </w:pPr>
      <w:r>
        <w:t xml:space="preserve">El artículo 22.2.e) de la Ley 7/1985, de 2 de abril, Reguladora de las Bases del Régimen Local. </w:t>
      </w:r>
    </w:p>
    <w:p w:rsidR="007617AD" w:rsidRDefault="00EE75C8">
      <w:pPr>
        <w:numPr>
          <w:ilvl w:val="0"/>
          <w:numId w:val="21"/>
        </w:numPr>
        <w:spacing w:after="88"/>
        <w:ind w:right="62" w:hanging="360"/>
      </w:pPr>
      <w:r>
        <w:t>La Disposición Adicional 6.ª de la Ley Orgánica 2/2012, de 27 de abril,</w:t>
      </w:r>
      <w:r>
        <w:t xml:space="preserve"> de Estabilidad Presupuestaria y Sostenibilidad Financiera. </w:t>
      </w:r>
    </w:p>
    <w:p w:rsidR="007617AD" w:rsidRDefault="00EE75C8">
      <w:pPr>
        <w:numPr>
          <w:ilvl w:val="0"/>
          <w:numId w:val="21"/>
        </w:numPr>
        <w:spacing w:after="47"/>
        <w:ind w:right="62" w:hanging="360"/>
      </w:pPr>
      <w:r>
        <w:t>La Orden EHA/3565/2008, de 3 de diciembre, por la que se aprueba la estructura de presupuestos de las entidades locales. - Resolución de 14 de septiembre de 2009, de la Dirección General de Coord</w:t>
      </w:r>
      <w:r>
        <w:t>inación Financiera con las Comunidades Autónomas y con las Entidades Locales, por la que se Dictan Medidas para el Desarrollo de la Orden EHA/3565/2008, de 3 de diciembre, por la que se Aprueba la Estructura de los Presupuestos de las Entidades Locales</w:t>
      </w:r>
      <w:r>
        <w:rPr>
          <w:b/>
        </w:rPr>
        <w:t>.</w:t>
      </w:r>
      <w:r>
        <w:rPr>
          <w:rFonts w:ascii="Times New Roman" w:eastAsia="Times New Roman" w:hAnsi="Times New Roman" w:cs="Times New Roman"/>
          <w:sz w:val="24"/>
        </w:rPr>
        <w:t xml:space="preserve"> </w:t>
      </w:r>
    </w:p>
    <w:p w:rsidR="007617AD" w:rsidRDefault="00EE75C8">
      <w:pPr>
        <w:numPr>
          <w:ilvl w:val="0"/>
          <w:numId w:val="21"/>
        </w:numPr>
        <w:spacing w:after="54"/>
        <w:ind w:right="62" w:hanging="360"/>
      </w:pPr>
      <w:r>
        <w:t>L</w:t>
      </w:r>
      <w:r>
        <w:t xml:space="preserve">a Disposición Adicional 16.ª del Texto Refundido de la Ley Reguladora de las Haciendas Locales.  </w:t>
      </w:r>
    </w:p>
    <w:p w:rsidR="007617AD" w:rsidRDefault="00EE75C8">
      <w:pPr>
        <w:numPr>
          <w:ilvl w:val="0"/>
          <w:numId w:val="21"/>
        </w:numPr>
        <w:spacing w:after="51"/>
        <w:ind w:right="62" w:hanging="360"/>
      </w:pPr>
      <w:r>
        <w:t>Acuerdo del Congreso de los Diputados del 22 de septiembre de 2021, relativo al Objetivo de Estabilidad Presupuestaria, según acuerdo del Consejo de Ministros</w:t>
      </w:r>
      <w:r>
        <w:t xml:space="preserve"> de 6 de octubre de 2020 de “Someter a la deliberación del Pleno, a los efectos previstos en los artículos 135.4 de la Constitución y 11.3 de la Ley Orgánica 2/2012, de 27 de abril, de Estabilidad Presupuestaria y Sostenibilidad Financiera y publicar en el</w:t>
      </w:r>
      <w:r>
        <w:t xml:space="preserve"> Boletín Oficial de las Cortes Generales.” </w:t>
      </w:r>
    </w:p>
    <w:p w:rsidR="007617AD" w:rsidRDefault="00EE75C8">
      <w:pPr>
        <w:spacing w:after="0" w:line="259" w:lineRule="auto"/>
        <w:ind w:left="708" w:firstLine="0"/>
        <w:jc w:val="left"/>
      </w:pPr>
      <w:r>
        <w:t xml:space="preserve"> </w:t>
      </w:r>
    </w:p>
    <w:p w:rsidR="007617AD" w:rsidRDefault="00EE75C8">
      <w:pPr>
        <w:spacing w:after="0"/>
        <w:ind w:left="703" w:right="62"/>
      </w:pPr>
      <w:r>
        <w:rPr>
          <w:b/>
        </w:rPr>
        <w:t>TERCERO</w:t>
      </w:r>
      <w:r>
        <w:t>: Considerando que el artículo 177 del Real Decreto Legislativo 2/2004, de 5 de marzo, por el que se aprueba el texto refundido de la Ley Reguladora de las Haciendas Locales, regula los expedientes de modificación presupuestaria mediante créditos extraordi</w:t>
      </w:r>
      <w:r>
        <w:t>narios y suplementos de crédito, al señalar que:</w:t>
      </w:r>
      <w:r>
        <w:rPr>
          <w:rFonts w:ascii="Times New Roman" w:eastAsia="Times New Roman" w:hAnsi="Times New Roman" w:cs="Times New Roman"/>
          <w:sz w:val="24"/>
        </w:rPr>
        <w:t xml:space="preserve"> </w:t>
      </w:r>
    </w:p>
    <w:p w:rsidR="007617AD" w:rsidRDefault="00EE75C8">
      <w:pPr>
        <w:numPr>
          <w:ilvl w:val="0"/>
          <w:numId w:val="22"/>
        </w:numPr>
        <w:spacing w:after="9"/>
        <w:ind w:right="62" w:hanging="360"/>
      </w:pPr>
      <w:r>
        <w:t>Cuando haya de realizarse algún gasto que no pueda demorarse hasta el ejercicio siguiente, y sea insuficiente en el presupuesto de la corporación el crédito consignado, el presidente de la corporación ordenará la incoación del expediente de suplemento de c</w:t>
      </w:r>
      <w:r>
        <w:t xml:space="preserve">rédito.  </w:t>
      </w:r>
    </w:p>
    <w:p w:rsidR="007617AD" w:rsidRDefault="00EE75C8">
      <w:pPr>
        <w:numPr>
          <w:ilvl w:val="0"/>
          <w:numId w:val="22"/>
        </w:numPr>
        <w:spacing w:after="6"/>
        <w:ind w:right="62" w:hanging="360"/>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7086" name="Group 26708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2585" name="Rectangle 1258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2586" name="Rectangle 12586"/>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56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7086" style="width:12.7031pt;height:280.02pt;position:absolute;mso-position-horizontal-relative:page;mso-position-horizontal:absolute;margin-left:682.278pt;mso-position-vertical-relative:page;margin-top:531.9pt;" coordsize="1613,35562">
                <v:rect id="Rectangle 1258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2586"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192 </w:t>
                        </w:r>
                      </w:p>
                    </w:txbxContent>
                  </v:textbox>
                </v:rect>
                <w10:wrap type="square"/>
              </v:group>
            </w:pict>
          </mc:Fallback>
        </mc:AlternateContent>
      </w:r>
      <w:r>
        <w:t>El expediente, que habrá de ser previamente infor</w:t>
      </w:r>
      <w:r>
        <w:t>mado por la Intervención, se someterá a la aprobación del Pleno de la corporación, con sujeción a los mismos trámites y requisitos que los presupuestos. Serán, asimismo, de aplicación, las normas sobre información, reclamación y publicidad de los presupues</w:t>
      </w:r>
      <w:r>
        <w:t xml:space="preserve">tos a que se refiere el artículo 169 de esta ley.  </w:t>
      </w:r>
    </w:p>
    <w:p w:rsidR="007617AD" w:rsidRDefault="00EE75C8">
      <w:pPr>
        <w:numPr>
          <w:ilvl w:val="0"/>
          <w:numId w:val="22"/>
        </w:numPr>
        <w:spacing w:after="42"/>
        <w:ind w:right="62" w:hanging="360"/>
      </w:pPr>
      <w:r>
        <w:t xml:space="preserve">El expediente deberá especificar la concreta partida presupuestaria a incrementar y el medio o recurso que ha de financiar el aumento que se propone. </w:t>
      </w:r>
    </w:p>
    <w:p w:rsidR="007617AD" w:rsidRDefault="00EE75C8">
      <w:pPr>
        <w:numPr>
          <w:ilvl w:val="0"/>
          <w:numId w:val="22"/>
        </w:numPr>
        <w:spacing w:after="0"/>
        <w:ind w:right="62" w:hanging="360"/>
      </w:pPr>
      <w:r>
        <w:t>Dicho aumento se financiará con cargo al remanente lí</w:t>
      </w:r>
      <w:r>
        <w:t>quido de tesorería, con nuevos o mayores ingresos recaudados sobre los totales previstos en el presupuesto corriente, y mediante anulaciones o bajas de créditos de gastos de otras partidas del presupuesto vigente no comprometidos, cuyas dotaciones se estim</w:t>
      </w:r>
      <w:r>
        <w:t xml:space="preserve">en reducibles sin perturbación del respectivo servicio. En el expediente se acreditará que los ingresos previstos en el presupuesto vengan efectuándose con normalidad, salvo que aquéllos tengan carácter finalista. </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5"/>
        <w:ind w:left="703" w:right="62"/>
      </w:pPr>
      <w:r>
        <w:rPr>
          <w:b/>
        </w:rPr>
        <w:t>CUARTO:</w:t>
      </w:r>
      <w:r>
        <w:t xml:space="preserve"> Vista la Liquidación del Presu</w:t>
      </w:r>
      <w:r>
        <w:t>puesto general 2021, aprobada por decreto 597/2022 de 16/03/2021, donde se aprueba un Remanente de Tesorería para gastos Generales (RTGG) por un importe de 18.482.024,15€.</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r>
        <w:tab/>
        <w:t xml:space="preserve"> </w:t>
      </w:r>
    </w:p>
    <w:p w:rsidR="007617AD" w:rsidRDefault="00EE75C8">
      <w:pPr>
        <w:spacing w:after="9"/>
        <w:ind w:left="703" w:right="62"/>
      </w:pPr>
      <w:r>
        <w:t xml:space="preserve"> Y visto los expedientes de modificación presupuestaria financiados con cargo a</w:t>
      </w:r>
      <w:r>
        <w:t xml:space="preserve">l Remanente de Tesorería para Gastos generales que se detallan a continuación, queda un disponible de RTGG de 8.917.841,37€. </w:t>
      </w:r>
    </w:p>
    <w:p w:rsidR="007617AD" w:rsidRDefault="00EE75C8">
      <w:pPr>
        <w:spacing w:after="0" w:line="259" w:lineRule="auto"/>
        <w:ind w:left="708" w:firstLine="0"/>
        <w:jc w:val="left"/>
      </w:pPr>
      <w:r>
        <w:t xml:space="preserve"> </w:t>
      </w:r>
    </w:p>
    <w:tbl>
      <w:tblPr>
        <w:tblStyle w:val="TableGrid"/>
        <w:tblW w:w="8543" w:type="dxa"/>
        <w:tblInd w:w="708" w:type="dxa"/>
        <w:tblCellMar>
          <w:top w:w="5" w:type="dxa"/>
          <w:left w:w="70" w:type="dxa"/>
          <w:bottom w:w="0" w:type="dxa"/>
          <w:right w:w="14" w:type="dxa"/>
        </w:tblCellMar>
        <w:tblLook w:val="04A0" w:firstRow="1" w:lastRow="0" w:firstColumn="1" w:lastColumn="0" w:noHBand="0" w:noVBand="1"/>
      </w:tblPr>
      <w:tblGrid>
        <w:gridCol w:w="1262"/>
        <w:gridCol w:w="3466"/>
        <w:gridCol w:w="2384"/>
        <w:gridCol w:w="1431"/>
      </w:tblGrid>
      <w:tr w:rsidR="007617AD">
        <w:trPr>
          <w:trHeight w:val="250"/>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6" w:firstLine="0"/>
            </w:pPr>
            <w:r>
              <w:rPr>
                <w:b/>
                <w:sz w:val="20"/>
              </w:rPr>
              <w:t xml:space="preserve">Expediente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4" w:firstLine="0"/>
              <w:jc w:val="center"/>
            </w:pPr>
            <w:r>
              <w:rPr>
                <w:b/>
                <w:sz w:val="20"/>
              </w:rPr>
              <w:t xml:space="preserve">Tipo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9" w:firstLine="0"/>
              <w:jc w:val="center"/>
            </w:pPr>
            <w:r>
              <w:rPr>
                <w:b/>
                <w:sz w:val="20"/>
              </w:rPr>
              <w:t xml:space="preserve">Aprobación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9" w:firstLine="0"/>
              <w:jc w:val="center"/>
            </w:pPr>
            <w:r>
              <w:rPr>
                <w:b/>
                <w:sz w:val="20"/>
              </w:rPr>
              <w:t xml:space="preserve">Importe </w:t>
            </w:r>
          </w:p>
        </w:tc>
      </w:tr>
      <w:tr w:rsidR="007617AD">
        <w:trPr>
          <w:trHeight w:val="487"/>
        </w:trPr>
        <w:tc>
          <w:tcPr>
            <w:tcW w:w="1262"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89" w:firstLine="0"/>
              <w:jc w:val="left"/>
            </w:pPr>
            <w:r>
              <w:rPr>
                <w:sz w:val="20"/>
              </w:rPr>
              <w:t xml:space="preserve">2916/2022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Incorporación de remanentes de créditos </w:t>
            </w:r>
          </w:p>
        </w:tc>
        <w:tc>
          <w:tcPr>
            <w:tcW w:w="2384"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left"/>
            </w:pPr>
            <w:r>
              <w:rPr>
                <w:sz w:val="20"/>
              </w:rPr>
              <w:t xml:space="preserve">Decreto 701/2022 </w:t>
            </w:r>
          </w:p>
        </w:tc>
        <w:tc>
          <w:tcPr>
            <w:tcW w:w="1431" w:type="dxa"/>
            <w:tcBorders>
              <w:top w:val="single" w:sz="4" w:space="0" w:color="000000"/>
              <w:left w:val="single" w:sz="4" w:space="0" w:color="000000"/>
              <w:bottom w:val="single" w:sz="4" w:space="0" w:color="000000"/>
              <w:right w:val="single" w:sz="4" w:space="0" w:color="000000"/>
            </w:tcBorders>
            <w:vAlign w:val="center"/>
          </w:tcPr>
          <w:p w:rsidR="007617AD" w:rsidRDefault="00EE75C8">
            <w:pPr>
              <w:spacing w:after="0" w:line="259" w:lineRule="auto"/>
              <w:ind w:left="0" w:right="58" w:firstLine="0"/>
              <w:jc w:val="right"/>
            </w:pPr>
            <w:r>
              <w:rPr>
                <w:sz w:val="20"/>
              </w:rPr>
              <w:t xml:space="preserve">5.236.870,63 </w:t>
            </w:r>
          </w:p>
        </w:tc>
      </w:tr>
      <w:tr w:rsidR="007617AD">
        <w:trPr>
          <w:trHeight w:val="247"/>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89" w:firstLine="0"/>
              <w:jc w:val="left"/>
            </w:pPr>
            <w:r>
              <w:rPr>
                <w:sz w:val="20"/>
              </w:rPr>
              <w:t xml:space="preserve">2655/2022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Créditos extraordinarios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Marzo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1.348.216,10 </w:t>
            </w:r>
          </w:p>
        </w:tc>
      </w:tr>
      <w:tr w:rsidR="007617AD">
        <w:trPr>
          <w:trHeight w:val="250"/>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89" w:firstLine="0"/>
              <w:jc w:val="left"/>
            </w:pPr>
            <w:r>
              <w:rPr>
                <w:sz w:val="20"/>
              </w:rPr>
              <w:t xml:space="preserve">3574/2022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Créditos extraordinarios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Abril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721.010,97 </w:t>
            </w:r>
          </w:p>
        </w:tc>
      </w:tr>
      <w:tr w:rsidR="007617AD">
        <w:trPr>
          <w:trHeight w:val="250"/>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89" w:firstLine="0"/>
              <w:jc w:val="left"/>
            </w:pPr>
            <w:r>
              <w:rPr>
                <w:sz w:val="20"/>
              </w:rPr>
              <w:t xml:space="preserve">3899/2022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Suplemento de Créditos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Abril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180.282,67 </w:t>
            </w:r>
          </w:p>
        </w:tc>
      </w:tr>
      <w:tr w:rsidR="007617AD">
        <w:trPr>
          <w:trHeight w:val="482"/>
        </w:trPr>
        <w:tc>
          <w:tcPr>
            <w:tcW w:w="1262" w:type="dxa"/>
            <w:tcBorders>
              <w:top w:val="nil"/>
              <w:left w:val="single" w:sz="4" w:space="0" w:color="000000"/>
              <w:bottom w:val="single" w:sz="4" w:space="0" w:color="000000"/>
              <w:right w:val="single" w:sz="4" w:space="0" w:color="000000"/>
            </w:tcBorders>
            <w:vAlign w:val="center"/>
          </w:tcPr>
          <w:p w:rsidR="007617AD" w:rsidRDefault="00EE75C8">
            <w:pPr>
              <w:spacing w:after="0" w:line="259" w:lineRule="auto"/>
              <w:ind w:left="89" w:firstLine="0"/>
              <w:jc w:val="left"/>
            </w:pPr>
            <w:r>
              <w:rPr>
                <w:sz w:val="20"/>
              </w:rPr>
              <w:t xml:space="preserve">4246/2022 </w:t>
            </w:r>
          </w:p>
        </w:tc>
        <w:tc>
          <w:tcPr>
            <w:tcW w:w="3466" w:type="dxa"/>
            <w:tcBorders>
              <w:top w:val="nil"/>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Incorporación de remanentes de créditos </w:t>
            </w:r>
          </w:p>
        </w:tc>
        <w:tc>
          <w:tcPr>
            <w:tcW w:w="2384" w:type="dxa"/>
            <w:tcBorders>
              <w:top w:val="nil"/>
              <w:left w:val="single" w:sz="4" w:space="0" w:color="000000"/>
              <w:bottom w:val="single" w:sz="4" w:space="0" w:color="000000"/>
              <w:right w:val="single" w:sz="4" w:space="0" w:color="000000"/>
            </w:tcBorders>
            <w:vAlign w:val="center"/>
          </w:tcPr>
          <w:p w:rsidR="007617AD" w:rsidRDefault="00EE75C8">
            <w:pPr>
              <w:spacing w:after="0" w:line="259" w:lineRule="auto"/>
              <w:ind w:left="0" w:firstLine="0"/>
              <w:jc w:val="left"/>
            </w:pPr>
            <w:r>
              <w:rPr>
                <w:sz w:val="20"/>
              </w:rPr>
              <w:t xml:space="preserve">Decreto 1146/2022 </w:t>
            </w:r>
          </w:p>
        </w:tc>
        <w:tc>
          <w:tcPr>
            <w:tcW w:w="1431" w:type="dxa"/>
            <w:tcBorders>
              <w:top w:val="nil"/>
              <w:left w:val="single" w:sz="4" w:space="0" w:color="000000"/>
              <w:bottom w:val="single" w:sz="4" w:space="0" w:color="000000"/>
              <w:right w:val="single" w:sz="4" w:space="0" w:color="000000"/>
            </w:tcBorders>
            <w:vAlign w:val="center"/>
          </w:tcPr>
          <w:p w:rsidR="007617AD" w:rsidRDefault="00EE75C8">
            <w:pPr>
              <w:spacing w:after="0" w:line="259" w:lineRule="auto"/>
              <w:ind w:left="0" w:right="58" w:firstLine="0"/>
              <w:jc w:val="right"/>
            </w:pPr>
            <w:r>
              <w:rPr>
                <w:sz w:val="20"/>
              </w:rPr>
              <w:t xml:space="preserve">9.525,47 </w:t>
            </w:r>
          </w:p>
        </w:tc>
      </w:tr>
      <w:tr w:rsidR="007617AD">
        <w:trPr>
          <w:trHeight w:val="250"/>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4560/2022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Créditos extraordinarios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Mayo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sz w:val="20"/>
              </w:rPr>
              <w:t xml:space="preserve">2.000.972,48 </w:t>
            </w:r>
          </w:p>
        </w:tc>
      </w:tr>
      <w:tr w:rsidR="007617AD">
        <w:trPr>
          <w:trHeight w:val="247"/>
        </w:trPr>
        <w:tc>
          <w:tcPr>
            <w:tcW w:w="1262"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4834/2022 </w:t>
            </w:r>
          </w:p>
        </w:tc>
        <w:tc>
          <w:tcPr>
            <w:tcW w:w="346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Suplementos de Créditos </w:t>
            </w:r>
          </w:p>
        </w:tc>
        <w:tc>
          <w:tcPr>
            <w:tcW w:w="2384"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jc w:val="left"/>
            </w:pPr>
            <w:r>
              <w:rPr>
                <w:sz w:val="20"/>
              </w:rPr>
              <w:t xml:space="preserve">Pleno Mayo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9" w:firstLine="0"/>
              <w:jc w:val="right"/>
            </w:pPr>
            <w:r>
              <w:rPr>
                <w:sz w:val="20"/>
              </w:rPr>
              <w:t xml:space="preserve">67.304,46 </w:t>
            </w:r>
          </w:p>
        </w:tc>
      </w:tr>
      <w:tr w:rsidR="007617AD">
        <w:trPr>
          <w:trHeight w:val="250"/>
        </w:trPr>
        <w:tc>
          <w:tcPr>
            <w:tcW w:w="1262"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3466" w:type="dxa"/>
            <w:tcBorders>
              <w:top w:val="single" w:sz="4" w:space="0" w:color="000000"/>
              <w:left w:val="nil"/>
              <w:bottom w:val="single" w:sz="4" w:space="0" w:color="000000"/>
              <w:right w:val="nil"/>
            </w:tcBorders>
          </w:tcPr>
          <w:p w:rsidR="007617AD" w:rsidRDefault="007617AD">
            <w:pPr>
              <w:spacing w:after="160" w:line="259" w:lineRule="auto"/>
              <w:ind w:left="0" w:firstLine="0"/>
              <w:jc w:val="left"/>
            </w:pPr>
          </w:p>
        </w:tc>
        <w:tc>
          <w:tcPr>
            <w:tcW w:w="2384" w:type="dxa"/>
            <w:tcBorders>
              <w:top w:val="single" w:sz="4" w:space="0" w:color="000000"/>
              <w:left w:val="nil"/>
              <w:bottom w:val="single" w:sz="4" w:space="0" w:color="000000"/>
              <w:right w:val="single" w:sz="4" w:space="0" w:color="000000"/>
            </w:tcBorders>
          </w:tcPr>
          <w:p w:rsidR="007617AD" w:rsidRDefault="00EE75C8">
            <w:pPr>
              <w:spacing w:after="0" w:line="259" w:lineRule="auto"/>
              <w:ind w:left="0" w:right="55" w:firstLine="0"/>
              <w:jc w:val="right"/>
            </w:pPr>
            <w:r>
              <w:rPr>
                <w:b/>
                <w:sz w:val="20"/>
              </w:rPr>
              <w:t xml:space="preserve">Total </w:t>
            </w:r>
          </w:p>
        </w:tc>
        <w:tc>
          <w:tcPr>
            <w:tcW w:w="14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8" w:firstLine="0"/>
              <w:jc w:val="right"/>
            </w:pPr>
            <w:r>
              <w:rPr>
                <w:b/>
                <w:sz w:val="20"/>
              </w:rPr>
              <w:t xml:space="preserve">9.564.182,78 </w:t>
            </w:r>
          </w:p>
        </w:tc>
      </w:tr>
    </w:tbl>
    <w:p w:rsidR="007617AD" w:rsidRDefault="00EE75C8">
      <w:pPr>
        <w:spacing w:after="0" w:line="259" w:lineRule="auto"/>
        <w:ind w:left="708" w:firstLine="0"/>
        <w:jc w:val="left"/>
      </w:pPr>
      <w:r>
        <w:rPr>
          <w:sz w:val="20"/>
        </w:rPr>
        <w:t xml:space="preserve"> </w:t>
      </w:r>
    </w:p>
    <w:p w:rsidR="007617AD" w:rsidRDefault="00EE75C8">
      <w:pPr>
        <w:spacing w:after="2" w:line="259" w:lineRule="auto"/>
        <w:ind w:left="708" w:firstLine="0"/>
        <w:jc w:val="left"/>
      </w:pPr>
      <w:r>
        <w:rPr>
          <w:b/>
          <w:sz w:val="20"/>
        </w:rPr>
        <w:t xml:space="preserve">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308882" name="Group 30888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3390" name="Rectangle 1339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3391" name="Rectangle 13391"/>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57 de 192 </w:t>
                              </w:r>
                            </w:p>
                          </w:txbxContent>
                        </wps:txbx>
                        <wps:bodyPr horzOverflow="overflow" vert="horz" lIns="0" tIns="0" rIns="0" bIns="0" rtlCol="0">
                          <a:noAutofit/>
                        </wps:bodyPr>
                      </wps:wsp>
                    </wpg:wgp>
                  </a:graphicData>
                </a:graphic>
              </wp:anchor>
            </w:drawing>
          </mc:Choice>
          <mc:Fallback xmlns:a="http://schemas.openxmlformats.org/drawingml/2006/main">
            <w:pict>
              <v:group id="Group 308882" style="width:12.7031pt;height:280.02pt;position:absolute;mso-position-horizontal-relative:page;mso-position-horizontal:absolute;margin-left:682.278pt;mso-position-vertical-relative:page;margin-top:531.9pt;" coordsize="1613,35562">
                <v:rect id="Rectangle 1339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3391"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192 </w:t>
                        </w:r>
                      </w:p>
                    </w:txbxContent>
                  </v:textbox>
                </v:rect>
                <w10:wrap type="topAndBottom"/>
              </v:group>
            </w:pict>
          </mc:Fallback>
        </mc:AlternateContent>
      </w:r>
      <w:r>
        <w:rPr>
          <w:b/>
        </w:rPr>
        <w:t>QUINTO:</w:t>
      </w:r>
      <w:r>
        <w:t xml:space="preserve"> Que el expediente de modificación presupuestaria </w:t>
      </w:r>
      <w:r>
        <w:rPr>
          <w:b/>
        </w:rPr>
        <w:t>5316/</w:t>
      </w:r>
      <w:r>
        <w:rPr>
          <w:b/>
        </w:rPr>
        <w:t>2022</w:t>
      </w:r>
      <w:r>
        <w:t xml:space="preserve"> de modificación presupuestaria por </w:t>
      </w:r>
      <w:r>
        <w:rPr>
          <w:b/>
        </w:rPr>
        <w:t xml:space="preserve">Créditos extraordinarios </w:t>
      </w:r>
      <w:r>
        <w:t xml:space="preserve">financiado con Remanente de Tesorería para gastos generales, por una cantidad total de </w:t>
      </w:r>
      <w:r>
        <w:rPr>
          <w:b/>
        </w:rPr>
        <w:t>1.380.537,83 euros</w:t>
      </w:r>
      <w:r>
        <w:t xml:space="preserve">, de acuerdo al siguiente detalle: </w:t>
      </w:r>
    </w:p>
    <w:p w:rsidR="007617AD" w:rsidRDefault="00EE75C8">
      <w:pPr>
        <w:spacing w:after="0" w:line="259" w:lineRule="auto"/>
        <w:ind w:left="708" w:firstLine="0"/>
        <w:jc w:val="left"/>
      </w:pPr>
      <w:r>
        <w:t xml:space="preserve"> </w:t>
      </w:r>
    </w:p>
    <w:tbl>
      <w:tblPr>
        <w:tblStyle w:val="TableGrid"/>
        <w:tblW w:w="8617" w:type="dxa"/>
        <w:tblInd w:w="784" w:type="dxa"/>
        <w:tblCellMar>
          <w:top w:w="3" w:type="dxa"/>
          <w:left w:w="0" w:type="dxa"/>
          <w:bottom w:w="14" w:type="dxa"/>
          <w:right w:w="24" w:type="dxa"/>
        </w:tblCellMar>
        <w:tblLook w:val="04A0" w:firstRow="1" w:lastRow="0" w:firstColumn="1" w:lastColumn="0" w:noHBand="0" w:noVBand="1"/>
      </w:tblPr>
      <w:tblGrid>
        <w:gridCol w:w="803"/>
        <w:gridCol w:w="1031"/>
        <w:gridCol w:w="5270"/>
        <w:gridCol w:w="438"/>
        <w:gridCol w:w="1076"/>
      </w:tblGrid>
      <w:tr w:rsidR="007617AD">
        <w:trPr>
          <w:trHeight w:val="288"/>
        </w:trPr>
        <w:tc>
          <w:tcPr>
            <w:tcW w:w="8617" w:type="dxa"/>
            <w:gridSpan w:val="5"/>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8" w:firstLine="0"/>
              <w:jc w:val="center"/>
            </w:pPr>
            <w:r>
              <w:rPr>
                <w:b/>
                <w:sz w:val="16"/>
              </w:rPr>
              <w:t xml:space="preserve">Estado de Gastos </w:t>
            </w:r>
          </w:p>
        </w:tc>
      </w:tr>
      <w:tr w:rsidR="007617AD">
        <w:trPr>
          <w:trHeight w:val="812"/>
        </w:trPr>
        <w:tc>
          <w:tcPr>
            <w:tcW w:w="8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49" w:lineRule="auto"/>
              <w:ind w:left="0" w:right="8" w:firstLine="0"/>
              <w:jc w:val="center"/>
            </w:pPr>
            <w:r>
              <w:rPr>
                <w:b/>
                <w:sz w:val="16"/>
              </w:rPr>
              <w:t xml:space="preserve">Proyecto </w:t>
            </w:r>
          </w:p>
          <w:p w:rsidR="007617AD" w:rsidRDefault="00EE75C8">
            <w:pPr>
              <w:spacing w:after="0" w:line="259" w:lineRule="auto"/>
              <w:ind w:left="0" w:right="46" w:firstLine="0"/>
              <w:jc w:val="center"/>
            </w:pPr>
            <w:r>
              <w:rPr>
                <w:b/>
                <w:sz w:val="16"/>
              </w:rPr>
              <w:t xml:space="preserve">Gasto  </w:t>
            </w:r>
          </w:p>
        </w:tc>
        <w:tc>
          <w:tcPr>
            <w:tcW w:w="103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44" w:firstLine="0"/>
              <w:jc w:val="left"/>
            </w:pPr>
            <w:r>
              <w:rPr>
                <w:b/>
                <w:sz w:val="16"/>
              </w:rPr>
              <w:t xml:space="preserve">Aplicación </w:t>
            </w:r>
          </w:p>
        </w:tc>
        <w:tc>
          <w:tcPr>
            <w:tcW w:w="5708"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right="43" w:firstLine="0"/>
              <w:jc w:val="center"/>
            </w:pPr>
            <w:r>
              <w:rPr>
                <w:b/>
                <w:sz w:val="16"/>
              </w:rPr>
              <w:t xml:space="preserve">Denominación  </w:t>
            </w:r>
          </w:p>
        </w:tc>
        <w:tc>
          <w:tcPr>
            <w:tcW w:w="107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right="41" w:firstLine="0"/>
              <w:jc w:val="center"/>
            </w:pPr>
            <w:r>
              <w:rPr>
                <w:b/>
                <w:sz w:val="16"/>
              </w:rPr>
              <w:t xml:space="preserve">Estimado </w:t>
            </w:r>
          </w:p>
        </w:tc>
      </w:tr>
      <w:tr w:rsidR="007617AD">
        <w:trPr>
          <w:trHeight w:val="287"/>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1532061903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REASFALTADO PARKING LOS BREZOS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20.551,49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1532061904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ASFALTADO TRASERA POLIDEPORTIVO CUEVECITAS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17.242,35 </w:t>
            </w:r>
          </w:p>
        </w:tc>
      </w:tr>
      <w:tr w:rsidR="007617AD">
        <w:trPr>
          <w:trHeight w:val="288"/>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1532061905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ZONAS DE APARCAMIENTOS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110.551,49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1710062501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RENOVACION PARQUES INFANTILES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186.187,85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1710062502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CUBIERTA Y AMPLIACIÓN PARQUE EBAR PUNTA LARGA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104.922,26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1710062503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PARQUE INFANTIL CUEVECITAS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48.977,55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REFORMA PISO Y TUBERIA COMDOR CEIP PRINCIPE FELIPE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17.136,55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3230061902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SUSTITUCIÓN ALICATADO CEIP PRINCIPE FELIPE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93.346,60 </w:t>
            </w:r>
          </w:p>
        </w:tc>
      </w:tr>
      <w:tr w:rsidR="007617AD">
        <w:trPr>
          <w:trHeight w:val="288"/>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3230061903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AMPLIACION DE COMEDOR CEIP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1.637,10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3230061904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REPARACION DE ESCALERA PRINCIPAL CEIP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3.670,10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3230061905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ACONDICIONAMIENTO SERVICIOS CEIP CARMEN ALVAREZ DE LA ROSA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34.843,54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3230061906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RENOVACION PARQUE INFANTIL CEIP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14.877,88 </w:t>
            </w:r>
          </w:p>
        </w:tc>
      </w:tr>
      <w:tr w:rsidR="007617AD">
        <w:trPr>
          <w:trHeight w:val="391"/>
        </w:trPr>
        <w:tc>
          <w:tcPr>
            <w:tcW w:w="80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4" w:firstLine="0"/>
            </w:pPr>
            <w:r>
              <w:rPr>
                <w:sz w:val="16"/>
              </w:rPr>
              <w:t xml:space="preserve">3340022711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CREACION CONTENIDO DIVULGATIVO GRUPOS ESCULTORICOS CANDELARI </w:t>
            </w:r>
          </w:p>
        </w:tc>
        <w:tc>
          <w:tcPr>
            <w:tcW w:w="1076"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4" w:firstLine="0"/>
              <w:jc w:val="right"/>
            </w:pPr>
            <w:r>
              <w:rPr>
                <w:sz w:val="16"/>
              </w:rPr>
              <w:t xml:space="preserve">3.500,00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3340061903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CERRAMIENTO ALUMINIO CENTRO CULTURAL MALPAIS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22.219,99 </w:t>
            </w:r>
          </w:p>
        </w:tc>
      </w:tr>
      <w:tr w:rsidR="007617AD">
        <w:trPr>
          <w:trHeight w:val="289"/>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3340061904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CERRAMIENTO ALUMINIO CINE VIEJO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12.232,00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3340061905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REFORMA EN LOCAL ENSAYO BANDA NUEVA DE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6.072,25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3410022711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PREPARACION Y REALIZACION MURAL SKATEPARK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14.915,80 </w:t>
            </w:r>
          </w:p>
        </w:tc>
      </w:tr>
      <w:tr w:rsidR="007617AD">
        <w:trPr>
          <w:trHeight w:val="391"/>
        </w:trPr>
        <w:tc>
          <w:tcPr>
            <w:tcW w:w="80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4" w:firstLine="0"/>
            </w:pPr>
            <w:r>
              <w:rPr>
                <w:sz w:val="16"/>
              </w:rPr>
              <w:t xml:space="preserve">3410061911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INSTALACIÓN DE BAJA TENSIÓN Y MARQUESINA CAMPO DE FUTBOL BRU </w:t>
            </w:r>
          </w:p>
        </w:tc>
        <w:tc>
          <w:tcPr>
            <w:tcW w:w="1076"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5" w:firstLine="0"/>
              <w:jc w:val="right"/>
            </w:pPr>
            <w:r>
              <w:rPr>
                <w:sz w:val="16"/>
              </w:rPr>
              <w:t xml:space="preserve">380.137,19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3410061912</w:t>
            </w:r>
            <w:r>
              <w:rPr>
                <w:sz w:val="16"/>
              </w:rPr>
              <w:t xml:space="preserve">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MODULO LANZAMIENTO ATLETISMO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4.584,95 </w:t>
            </w:r>
          </w:p>
        </w:tc>
      </w:tr>
      <w:tr w:rsidR="007617AD">
        <w:trPr>
          <w:trHeight w:val="288"/>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4590061904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REHABILITACION AVENIDA CONSTITUCION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88.306,43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4590061905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OBRA MURO CHA CONCHA EN ARAYA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14.107,12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4590061906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MEJORAS EN POLIDPORTIVO CUEVECITAS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20.203,06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4590061907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PLAZA CRUZ DEL CAMINO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35.406,30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4590061908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TRAMO HUNDIDO CALLE LA VERA ARAYA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6.634,00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4590061909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DEMOLICION Y CANALIZACION ACERA AVDA CONSTITUCION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60.612,50 </w:t>
            </w:r>
          </w:p>
        </w:tc>
      </w:tr>
      <w:tr w:rsidR="007617AD">
        <w:trPr>
          <w:trHeight w:val="288"/>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4590061911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PLAZA EL TAGORILLO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42.666,50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4590062500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CONTENEDORES RSU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14.994,98 </w:t>
            </w:r>
          </w:p>
        </w:tc>
      </w:tr>
      <w:tr w:rsidR="007617AD">
        <w:trPr>
          <w:trHeight w:val="286"/>
        </w:trPr>
        <w:tc>
          <w:tcPr>
            <w:tcW w:w="1834"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5" w:firstLine="0"/>
              <w:jc w:val="center"/>
            </w:pPr>
            <w:r>
              <w:rPr>
                <w:b/>
                <w:sz w:val="16"/>
              </w:rPr>
              <w:t xml:space="preserve">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6" w:firstLine="0"/>
              <w:jc w:val="right"/>
            </w:pPr>
            <w:r>
              <w:rPr>
                <w:b/>
                <w:sz w:val="16"/>
              </w:rPr>
              <w:t xml:space="preserve">Total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5" w:firstLine="0"/>
            </w:pPr>
            <w:r>
              <w:rPr>
                <w:b/>
                <w:sz w:val="16"/>
              </w:rPr>
              <w:t xml:space="preserve">1.380.537,83 </w:t>
            </w:r>
          </w:p>
        </w:tc>
      </w:tr>
      <w:tr w:rsidR="007617AD">
        <w:trPr>
          <w:trHeight w:val="288"/>
        </w:trPr>
        <w:tc>
          <w:tcPr>
            <w:tcW w:w="1834" w:type="dxa"/>
            <w:gridSpan w:val="2"/>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5270" w:type="dxa"/>
            <w:tcBorders>
              <w:top w:val="single" w:sz="4" w:space="0" w:color="000000"/>
              <w:left w:val="nil"/>
              <w:bottom w:val="single" w:sz="4" w:space="0" w:color="000000"/>
              <w:right w:val="nil"/>
            </w:tcBorders>
          </w:tcPr>
          <w:p w:rsidR="007617AD" w:rsidRDefault="00EE75C8">
            <w:pPr>
              <w:spacing w:after="0" w:line="259" w:lineRule="auto"/>
              <w:ind w:left="0" w:right="300" w:firstLine="0"/>
              <w:jc w:val="center"/>
            </w:pPr>
            <w:r>
              <w:rPr>
                <w:b/>
                <w:sz w:val="16"/>
              </w:rPr>
              <w:t xml:space="preserve">Estado de Ingresos </w:t>
            </w:r>
          </w:p>
        </w:tc>
        <w:tc>
          <w:tcPr>
            <w:tcW w:w="1514" w:type="dxa"/>
            <w:gridSpan w:val="2"/>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r>
      <w:tr w:rsidR="007617AD">
        <w:trPr>
          <w:trHeight w:val="390"/>
        </w:trPr>
        <w:tc>
          <w:tcPr>
            <w:tcW w:w="803" w:type="dxa"/>
            <w:tcBorders>
              <w:top w:val="single" w:sz="4" w:space="0" w:color="000000"/>
              <w:left w:val="single" w:sz="4" w:space="0" w:color="000000"/>
              <w:bottom w:val="single" w:sz="4" w:space="0" w:color="000000"/>
              <w:right w:val="single" w:sz="4" w:space="0" w:color="000000"/>
            </w:tcBorders>
            <w:shd w:val="clear" w:color="auto" w:fill="BFBFBF"/>
          </w:tcPr>
          <w:p w:rsidR="007617AD" w:rsidRDefault="00EE75C8">
            <w:pPr>
              <w:spacing w:after="0" w:line="259" w:lineRule="auto"/>
              <w:ind w:left="0" w:firstLine="0"/>
              <w:jc w:val="center"/>
            </w:pPr>
            <w:r>
              <w:rPr>
                <w:b/>
                <w:sz w:val="16"/>
              </w:rPr>
              <w:t xml:space="preserve">Aplicación  </w:t>
            </w:r>
          </w:p>
        </w:tc>
        <w:tc>
          <w:tcPr>
            <w:tcW w:w="1031" w:type="dxa"/>
            <w:tcBorders>
              <w:top w:val="single" w:sz="4" w:space="0" w:color="000000"/>
              <w:left w:val="single" w:sz="4" w:space="0" w:color="000000"/>
              <w:bottom w:val="single" w:sz="4" w:space="0" w:color="000000"/>
              <w:right w:val="nil"/>
            </w:tcBorders>
            <w:shd w:val="clear" w:color="auto" w:fill="BFBFBF"/>
          </w:tcPr>
          <w:p w:rsidR="007617AD" w:rsidRDefault="007617AD">
            <w:pPr>
              <w:spacing w:after="160" w:line="259" w:lineRule="auto"/>
              <w:ind w:left="0" w:firstLine="0"/>
              <w:jc w:val="left"/>
            </w:pPr>
          </w:p>
        </w:tc>
        <w:tc>
          <w:tcPr>
            <w:tcW w:w="5270" w:type="dxa"/>
            <w:tcBorders>
              <w:top w:val="single" w:sz="4" w:space="0" w:color="000000"/>
              <w:left w:val="nil"/>
              <w:bottom w:val="single" w:sz="4" w:space="0" w:color="000000"/>
              <w:right w:val="nil"/>
            </w:tcBorders>
            <w:shd w:val="clear" w:color="auto" w:fill="BFBFBF"/>
            <w:vAlign w:val="bottom"/>
          </w:tcPr>
          <w:p w:rsidR="007617AD" w:rsidRDefault="00EE75C8">
            <w:pPr>
              <w:spacing w:after="0" w:line="259" w:lineRule="auto"/>
              <w:ind w:left="0" w:right="570" w:firstLine="0"/>
              <w:jc w:val="center"/>
            </w:pPr>
            <w:r>
              <w:rPr>
                <w:b/>
                <w:sz w:val="16"/>
              </w:rPr>
              <w:t xml:space="preserve">Denominación  </w:t>
            </w:r>
          </w:p>
        </w:tc>
        <w:tc>
          <w:tcPr>
            <w:tcW w:w="438" w:type="dxa"/>
            <w:tcBorders>
              <w:top w:val="single" w:sz="4" w:space="0" w:color="000000"/>
              <w:left w:val="nil"/>
              <w:bottom w:val="single" w:sz="4" w:space="0" w:color="000000"/>
              <w:right w:val="single" w:sz="4" w:space="0" w:color="000000"/>
            </w:tcBorders>
            <w:shd w:val="clear" w:color="auto" w:fill="BFBFBF"/>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7617AD" w:rsidRDefault="00EE75C8">
            <w:pPr>
              <w:spacing w:after="0" w:line="259" w:lineRule="auto"/>
              <w:ind w:left="28" w:firstLine="0"/>
              <w:jc w:val="center"/>
            </w:pPr>
            <w:r>
              <w:rPr>
                <w:b/>
                <w:sz w:val="16"/>
              </w:rPr>
              <w:t xml:space="preserve">Importe </w:t>
            </w:r>
          </w:p>
        </w:tc>
      </w:tr>
      <w:tr w:rsidR="007617AD">
        <w:trPr>
          <w:trHeight w:val="287"/>
        </w:trPr>
        <w:tc>
          <w:tcPr>
            <w:tcW w:w="1834"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8" w:firstLine="0"/>
              <w:jc w:val="center"/>
            </w:pPr>
            <w:r>
              <w:rPr>
                <w:sz w:val="16"/>
              </w:rPr>
              <w:t xml:space="preserve">87000 </w:t>
            </w:r>
          </w:p>
        </w:tc>
        <w:tc>
          <w:tcPr>
            <w:tcW w:w="5270" w:type="dxa"/>
            <w:tcBorders>
              <w:top w:val="single" w:sz="4" w:space="0" w:color="000000"/>
              <w:left w:val="single" w:sz="4" w:space="0" w:color="000000"/>
              <w:bottom w:val="single" w:sz="4" w:space="0" w:color="000000"/>
              <w:right w:val="nil"/>
            </w:tcBorders>
          </w:tcPr>
          <w:p w:rsidR="007617AD" w:rsidRDefault="00EE75C8">
            <w:pPr>
              <w:spacing w:after="0" w:line="259" w:lineRule="auto"/>
              <w:ind w:left="70" w:firstLine="0"/>
              <w:jc w:val="left"/>
            </w:pPr>
            <w:r>
              <w:rPr>
                <w:sz w:val="16"/>
              </w:rPr>
              <w:t xml:space="preserve">Remanente de Tesoreria para gastos generales </w:t>
            </w:r>
          </w:p>
        </w:tc>
        <w:tc>
          <w:tcPr>
            <w:tcW w:w="438"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3" w:firstLine="0"/>
            </w:pPr>
            <w:r>
              <w:rPr>
                <w:sz w:val="16"/>
              </w:rPr>
              <w:t xml:space="preserve">1.380.537,83 </w:t>
            </w:r>
          </w:p>
        </w:tc>
      </w:tr>
      <w:tr w:rsidR="007617AD">
        <w:trPr>
          <w:trHeight w:val="286"/>
        </w:trPr>
        <w:tc>
          <w:tcPr>
            <w:tcW w:w="1834"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62" w:firstLine="0"/>
              <w:jc w:val="center"/>
            </w:pPr>
            <w:r>
              <w:rPr>
                <w:sz w:val="16"/>
              </w:rPr>
              <w:t xml:space="preserve">  </w:t>
            </w:r>
          </w:p>
        </w:tc>
        <w:tc>
          <w:tcPr>
            <w:tcW w:w="5270"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438" w:type="dxa"/>
            <w:tcBorders>
              <w:top w:val="single" w:sz="4" w:space="0" w:color="000000"/>
              <w:left w:val="nil"/>
              <w:bottom w:val="single" w:sz="4" w:space="0" w:color="000000"/>
              <w:right w:val="single" w:sz="4" w:space="0" w:color="000000"/>
            </w:tcBorders>
          </w:tcPr>
          <w:p w:rsidR="007617AD" w:rsidRDefault="00EE75C8">
            <w:pPr>
              <w:spacing w:after="0" w:line="259" w:lineRule="auto"/>
              <w:ind w:left="0" w:firstLine="0"/>
            </w:pPr>
            <w:r>
              <w:rPr>
                <w:b/>
                <w:sz w:val="16"/>
              </w:rPr>
              <w:t xml:space="preserve">Total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3" w:firstLine="0"/>
            </w:pPr>
            <w:r>
              <w:rPr>
                <w:b/>
                <w:sz w:val="16"/>
              </w:rPr>
              <w:t xml:space="preserve">1.380.537,83 </w:t>
            </w:r>
          </w:p>
        </w:tc>
      </w:tr>
    </w:tbl>
    <w:p w:rsidR="007617AD" w:rsidRDefault="00EE75C8">
      <w:pPr>
        <w:spacing w:after="0" w:line="259" w:lineRule="auto"/>
        <w:ind w:left="703"/>
        <w:jc w:val="left"/>
      </w:pPr>
      <w:r>
        <w:rPr>
          <w:sz w:val="16"/>
        </w:rPr>
        <w:t xml:space="preserve"> “</w:t>
      </w:r>
      <w:r>
        <w:rPr>
          <w:rFonts w:ascii="Times New Roman" w:eastAsia="Times New Roman" w:hAnsi="Times New Roman" w:cs="Times New Roman"/>
          <w:sz w:val="24"/>
        </w:rPr>
        <w:t xml:space="preserve"> </w:t>
      </w:r>
    </w:p>
    <w:p w:rsidR="007617AD" w:rsidRDefault="00EE75C8">
      <w:pPr>
        <w:spacing w:after="60" w:line="259" w:lineRule="auto"/>
        <w:ind w:left="708" w:firstLine="0"/>
        <w:jc w:val="left"/>
      </w:pPr>
      <w:r>
        <w:rPr>
          <w:b/>
          <w:sz w:val="16"/>
        </w:rPr>
        <w:t xml:space="preserve"> </w:t>
      </w:r>
    </w:p>
    <w:p w:rsidR="007617AD" w:rsidRDefault="00EE75C8">
      <w:pPr>
        <w:spacing w:after="0" w:line="259" w:lineRule="auto"/>
        <w:ind w:left="708" w:firstLine="0"/>
        <w:jc w:val="left"/>
      </w:pPr>
      <w:r>
        <w:rPr>
          <w:rFonts w:ascii="Times New Roman" w:eastAsia="Times New Roman" w:hAnsi="Times New Roman" w:cs="Times New Roman"/>
          <w:b/>
          <w:sz w:val="24"/>
        </w:rPr>
        <w:t xml:space="preserve"> </w:t>
      </w:r>
    </w:p>
    <w:p w:rsidR="007617AD" w:rsidRDefault="00EE75C8">
      <w:pPr>
        <w:spacing w:after="11"/>
        <w:ind w:left="703" w:right="58"/>
      </w:pPr>
      <w:r>
        <w:rPr>
          <w:b/>
        </w:rPr>
        <w:t xml:space="preserve">Este Concejal Delegado de Hacienda, PROPONE al Pleno la adopción del siguiente ACUERDO: </w:t>
      </w:r>
    </w:p>
    <w:p w:rsidR="007617AD" w:rsidRDefault="00EE75C8">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308408" name="Group 30840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4113" name="Rectangle 14113"/>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4114" name="Rectangle 14114"/>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58 de 192 </w:t>
                              </w:r>
                            </w:p>
                          </w:txbxContent>
                        </wps:txbx>
                        <wps:bodyPr horzOverflow="overflow" vert="horz" lIns="0" tIns="0" rIns="0" bIns="0" rtlCol="0">
                          <a:noAutofit/>
                        </wps:bodyPr>
                      </wps:wsp>
                    </wpg:wgp>
                  </a:graphicData>
                </a:graphic>
              </wp:anchor>
            </w:drawing>
          </mc:Choice>
          <mc:Fallback xmlns:a="http://schemas.openxmlformats.org/drawingml/2006/main">
            <w:pict>
              <v:group id="Group 308408" style="width:12.7031pt;height:280.02pt;position:absolute;mso-position-horizontal-relative:page;mso-position-horizontal:absolute;margin-left:682.278pt;mso-position-vertical-relative:page;margin-top:531.9pt;" coordsize="1613,35562">
                <v:rect id="Rectangle 14113"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4114"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192 </w:t>
                        </w:r>
                      </w:p>
                    </w:txbxContent>
                  </v:textbox>
                </v:rect>
                <w10:wrap type="topAndBottom"/>
              </v:group>
            </w:pict>
          </mc:Fallback>
        </mc:AlternateContent>
      </w:r>
      <w:r>
        <w:rPr>
          <w:rFonts w:ascii="Times New Roman" w:eastAsia="Times New Roman" w:hAnsi="Times New Roman" w:cs="Times New Roman"/>
          <w:b/>
          <w:sz w:val="24"/>
        </w:rPr>
        <w:t xml:space="preserve"> </w:t>
      </w:r>
    </w:p>
    <w:p w:rsidR="007617AD" w:rsidRDefault="00EE75C8">
      <w:pPr>
        <w:spacing w:after="113" w:line="248" w:lineRule="auto"/>
        <w:ind w:left="703" w:right="34"/>
        <w:jc w:val="left"/>
      </w:pPr>
      <w:r>
        <w:rPr>
          <w:b/>
        </w:rPr>
        <w:t xml:space="preserve">PRIMERO. - </w:t>
      </w:r>
      <w:r>
        <w:t>Aprobar expediente de modificación presupuestaria</w:t>
      </w:r>
      <w:r>
        <w:t xml:space="preserve"> </w:t>
      </w:r>
      <w:r>
        <w:rPr>
          <w:b/>
        </w:rPr>
        <w:t>nº 5316/2022</w:t>
      </w:r>
      <w:r>
        <w:t xml:space="preserve"> de modificación presupuestaria por </w:t>
      </w:r>
      <w:r>
        <w:rPr>
          <w:b/>
        </w:rPr>
        <w:t xml:space="preserve">Créditos extraordinarios </w:t>
      </w:r>
      <w:r>
        <w:t xml:space="preserve">financiado con Remanente de Tesorería para gastos generales, por una cantidad total de </w:t>
      </w:r>
      <w:r>
        <w:rPr>
          <w:b/>
        </w:rPr>
        <w:t>1.380.537,83 euros</w:t>
      </w:r>
      <w:r>
        <w:t xml:space="preserve">, de acuerdo al siguiente detalle: </w:t>
      </w:r>
    </w:p>
    <w:p w:rsidR="007617AD" w:rsidRDefault="00EE75C8">
      <w:pPr>
        <w:spacing w:after="0" w:line="259" w:lineRule="auto"/>
        <w:ind w:left="708" w:firstLine="0"/>
        <w:jc w:val="left"/>
      </w:pPr>
      <w:r>
        <w:t xml:space="preserve"> </w:t>
      </w:r>
    </w:p>
    <w:tbl>
      <w:tblPr>
        <w:tblStyle w:val="TableGrid"/>
        <w:tblW w:w="8617" w:type="dxa"/>
        <w:tblInd w:w="784" w:type="dxa"/>
        <w:tblCellMar>
          <w:top w:w="2" w:type="dxa"/>
          <w:left w:w="0" w:type="dxa"/>
          <w:bottom w:w="14" w:type="dxa"/>
          <w:right w:w="24" w:type="dxa"/>
        </w:tblCellMar>
        <w:tblLook w:val="04A0" w:firstRow="1" w:lastRow="0" w:firstColumn="1" w:lastColumn="0" w:noHBand="0" w:noVBand="1"/>
      </w:tblPr>
      <w:tblGrid>
        <w:gridCol w:w="803"/>
        <w:gridCol w:w="1031"/>
        <w:gridCol w:w="5270"/>
        <w:gridCol w:w="438"/>
        <w:gridCol w:w="1076"/>
      </w:tblGrid>
      <w:tr w:rsidR="007617AD">
        <w:trPr>
          <w:trHeight w:val="287"/>
        </w:trPr>
        <w:tc>
          <w:tcPr>
            <w:tcW w:w="7542" w:type="dxa"/>
            <w:gridSpan w:val="4"/>
            <w:tcBorders>
              <w:top w:val="single" w:sz="4" w:space="0" w:color="000000"/>
              <w:left w:val="single" w:sz="4" w:space="0" w:color="000000"/>
              <w:bottom w:val="single" w:sz="4" w:space="0" w:color="000000"/>
              <w:right w:val="nil"/>
            </w:tcBorders>
          </w:tcPr>
          <w:p w:rsidR="007617AD" w:rsidRDefault="00EE75C8">
            <w:pPr>
              <w:spacing w:after="0" w:line="259" w:lineRule="auto"/>
              <w:ind w:left="1024" w:firstLine="0"/>
              <w:jc w:val="center"/>
            </w:pPr>
            <w:r>
              <w:rPr>
                <w:rFonts w:ascii="Times New Roman" w:eastAsia="Times New Roman" w:hAnsi="Times New Roman" w:cs="Times New Roman"/>
                <w:b/>
                <w:sz w:val="14"/>
              </w:rPr>
              <w:t xml:space="preserve">Estado de Gastos </w:t>
            </w:r>
          </w:p>
        </w:tc>
        <w:tc>
          <w:tcPr>
            <w:tcW w:w="1076"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r>
      <w:tr w:rsidR="007617AD">
        <w:trPr>
          <w:trHeight w:val="814"/>
        </w:trPr>
        <w:tc>
          <w:tcPr>
            <w:tcW w:w="8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2" w:line="246" w:lineRule="auto"/>
              <w:ind w:left="0" w:right="8" w:firstLine="0"/>
              <w:jc w:val="center"/>
            </w:pPr>
            <w:r>
              <w:rPr>
                <w:b/>
                <w:sz w:val="16"/>
              </w:rPr>
              <w:t xml:space="preserve">Proyecto </w:t>
            </w:r>
          </w:p>
          <w:p w:rsidR="007617AD" w:rsidRDefault="00EE75C8">
            <w:pPr>
              <w:spacing w:after="0" w:line="259" w:lineRule="auto"/>
              <w:ind w:left="0" w:right="46" w:firstLine="0"/>
              <w:jc w:val="center"/>
            </w:pPr>
            <w:r>
              <w:rPr>
                <w:b/>
                <w:sz w:val="16"/>
              </w:rPr>
              <w:t xml:space="preserve">Gasto  </w:t>
            </w:r>
          </w:p>
        </w:tc>
        <w:tc>
          <w:tcPr>
            <w:tcW w:w="103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44" w:firstLine="0"/>
              <w:jc w:val="left"/>
            </w:pPr>
            <w:r>
              <w:rPr>
                <w:b/>
                <w:sz w:val="16"/>
              </w:rPr>
              <w:t xml:space="preserve">Aplicación </w:t>
            </w:r>
          </w:p>
        </w:tc>
        <w:tc>
          <w:tcPr>
            <w:tcW w:w="5708"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right="43" w:firstLine="0"/>
              <w:jc w:val="center"/>
            </w:pPr>
            <w:r>
              <w:rPr>
                <w:b/>
                <w:sz w:val="16"/>
              </w:rPr>
              <w:t xml:space="preserve">Denominación  </w:t>
            </w:r>
          </w:p>
        </w:tc>
        <w:tc>
          <w:tcPr>
            <w:tcW w:w="107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right="41" w:firstLine="0"/>
              <w:jc w:val="center"/>
            </w:pPr>
            <w:r>
              <w:rPr>
                <w:b/>
                <w:sz w:val="16"/>
              </w:rPr>
              <w:t xml:space="preserve">Estimado </w:t>
            </w:r>
          </w:p>
        </w:tc>
      </w:tr>
      <w:tr w:rsidR="007617AD">
        <w:trPr>
          <w:trHeight w:val="287"/>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1532061903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REASFALTADO PARKING LOS BREZOS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20.551,49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1532061904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ASFALTADO TRASERA POLIDEPORTIVO CUEVECITAS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17.242,35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1532061905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ZONAS DE APARCAMIENTOS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110.551,49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1710062501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RENOVACION PARQUES INFANTILES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186.187,85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1710062502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CUBIERTA Y AMPLIACIÓN PARQUE EBAR PUNTA LARGA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104.922,26 </w:t>
            </w:r>
          </w:p>
        </w:tc>
      </w:tr>
      <w:tr w:rsidR="007617AD">
        <w:trPr>
          <w:trHeight w:val="288"/>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1710062503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PARQUE INFANTIL CUEVECITAS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48.977,55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REFORMA PISO Y TUBERIA COMDOR CEIP PRINCIPE FELIPE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17.136,55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3230061902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SUSTITUCIÓN ALICATADO CEIP PRINCIPE FELIPE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93.346,60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3230061903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AMPLIACION DE COMEDOR CEIP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1.637,10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3230061904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REPARACION DE ESCALERA PRINCIPAL CEIP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3.670,10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3230061905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ACONDICIONAMIENTO SERVICIOS CEIP CARMEN ALVAREZ DE LA ROSA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34.843,54 </w:t>
            </w:r>
          </w:p>
        </w:tc>
      </w:tr>
      <w:tr w:rsidR="007617AD">
        <w:trPr>
          <w:trHeight w:val="289"/>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3230061906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RENOVACION PARQUE INFANTIL CEIP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14.877,88 </w:t>
            </w:r>
          </w:p>
        </w:tc>
      </w:tr>
      <w:tr w:rsidR="007617AD">
        <w:trPr>
          <w:trHeight w:val="391"/>
        </w:trPr>
        <w:tc>
          <w:tcPr>
            <w:tcW w:w="80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4" w:firstLine="0"/>
            </w:pPr>
            <w:r>
              <w:rPr>
                <w:sz w:val="16"/>
              </w:rPr>
              <w:t xml:space="preserve">3340022711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CREACION CONTENIDO DIVULGATIVO GRUPOS ESCULTORICOS CANDELARI </w:t>
            </w:r>
          </w:p>
        </w:tc>
        <w:tc>
          <w:tcPr>
            <w:tcW w:w="1076"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4" w:firstLine="0"/>
              <w:jc w:val="right"/>
            </w:pPr>
            <w:r>
              <w:rPr>
                <w:sz w:val="16"/>
              </w:rPr>
              <w:t xml:space="preserve">3.500,00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3340061903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CERRAMIENTO ALUMINIO CENTRO CULTURAL MALPAIS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22.219,99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3340061904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CERRAMIENTO ALUMINIO CINE VIEJO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12.232,00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3340061905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REFORMA EN LOCAL ENSAYO BANDA NUEVA DE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6.072,25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3410022711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PREPARACION Y REALIZACION MURAL SKATEPARK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14.915,80 </w:t>
            </w:r>
          </w:p>
        </w:tc>
      </w:tr>
      <w:tr w:rsidR="007617AD">
        <w:trPr>
          <w:trHeight w:val="394"/>
        </w:trPr>
        <w:tc>
          <w:tcPr>
            <w:tcW w:w="80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4" w:firstLine="0"/>
            </w:pPr>
            <w:r>
              <w:rPr>
                <w:sz w:val="16"/>
              </w:rPr>
              <w:t xml:space="preserve">3410061911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INSTALACIÓN DE BAJA TENSIÓN Y MARQUESINA CAMPO DE FUTBOL BRU </w:t>
            </w:r>
          </w:p>
        </w:tc>
        <w:tc>
          <w:tcPr>
            <w:tcW w:w="1076"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5" w:firstLine="0"/>
              <w:jc w:val="right"/>
            </w:pPr>
            <w:r>
              <w:rPr>
                <w:sz w:val="16"/>
              </w:rPr>
              <w:t xml:space="preserve">380.137,19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3410061912</w:t>
            </w:r>
            <w:r>
              <w:rPr>
                <w:sz w:val="16"/>
              </w:rPr>
              <w:t xml:space="preserve">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MODULO LANZAMIENTO ATLETISMO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4.584,95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4590061904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REHABILITACION AVENIDA CONSTITUCION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88.306,43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4590061905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OBRA MURO CHA CONCHA EN ARAYA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14.107,12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4590061906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MEJORAS EN POLIDPORTIVO CUEVECITAS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20.203,06 </w:t>
            </w:r>
          </w:p>
        </w:tc>
      </w:tr>
      <w:tr w:rsidR="007617AD">
        <w:trPr>
          <w:trHeight w:val="288"/>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4590061907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PLAZA CRUZ DEL CAMINO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35.406,30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4590061908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TRAMO HUNDIDO CALLE LA VERA ARAYA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6.634,00 </w:t>
            </w:r>
          </w:p>
        </w:tc>
      </w:tr>
      <w:tr w:rsidR="007617AD">
        <w:trPr>
          <w:trHeight w:val="281"/>
        </w:trPr>
        <w:tc>
          <w:tcPr>
            <w:tcW w:w="803" w:type="dxa"/>
            <w:tcBorders>
              <w:top w:val="nil"/>
              <w:left w:val="single" w:sz="4" w:space="0" w:color="000000"/>
              <w:bottom w:val="single" w:sz="4" w:space="0" w:color="000000"/>
              <w:right w:val="single" w:sz="4" w:space="0" w:color="000000"/>
            </w:tcBorders>
          </w:tcPr>
          <w:p w:rsidR="007617AD" w:rsidRDefault="00EE75C8">
            <w:pPr>
              <w:spacing w:after="0" w:line="259" w:lineRule="auto"/>
              <w:ind w:left="68" w:firstLine="0"/>
            </w:pPr>
            <w:r>
              <w:rPr>
                <w:sz w:val="16"/>
              </w:rPr>
              <w:t xml:space="preserve">P.22.2.33 </w:t>
            </w:r>
          </w:p>
        </w:tc>
        <w:tc>
          <w:tcPr>
            <w:tcW w:w="1031" w:type="dxa"/>
            <w:tcBorders>
              <w:top w:val="nil"/>
              <w:left w:val="single" w:sz="4" w:space="0" w:color="000000"/>
              <w:bottom w:val="single" w:sz="4" w:space="0" w:color="000000"/>
              <w:right w:val="single" w:sz="4" w:space="0" w:color="000000"/>
            </w:tcBorders>
          </w:tcPr>
          <w:p w:rsidR="007617AD" w:rsidRDefault="00EE75C8">
            <w:pPr>
              <w:spacing w:after="0" w:line="259" w:lineRule="auto"/>
              <w:ind w:left="72" w:firstLine="0"/>
            </w:pPr>
            <w:r>
              <w:rPr>
                <w:sz w:val="16"/>
              </w:rPr>
              <w:t xml:space="preserve">4590061909 </w:t>
            </w:r>
          </w:p>
        </w:tc>
        <w:tc>
          <w:tcPr>
            <w:tcW w:w="5270" w:type="dxa"/>
            <w:tcBorders>
              <w:top w:val="nil"/>
              <w:left w:val="single" w:sz="4" w:space="0" w:color="000000"/>
              <w:bottom w:val="single" w:sz="4" w:space="0" w:color="000000"/>
              <w:right w:val="nil"/>
            </w:tcBorders>
          </w:tcPr>
          <w:p w:rsidR="007617AD" w:rsidRDefault="00EE75C8">
            <w:pPr>
              <w:spacing w:after="0" w:line="259" w:lineRule="auto"/>
              <w:ind w:left="70" w:firstLine="0"/>
              <w:jc w:val="left"/>
            </w:pPr>
            <w:r>
              <w:rPr>
                <w:sz w:val="16"/>
              </w:rPr>
              <w:t xml:space="preserve">DEMOLICION Y CANALIZACION ACERA AVDA CONSTITUCION </w:t>
            </w:r>
          </w:p>
        </w:tc>
        <w:tc>
          <w:tcPr>
            <w:tcW w:w="438" w:type="dxa"/>
            <w:tcBorders>
              <w:top w:val="nil"/>
              <w:left w:val="nil"/>
              <w:bottom w:val="single" w:sz="4" w:space="0" w:color="000000"/>
              <w:right w:val="single" w:sz="4" w:space="0" w:color="000000"/>
            </w:tcBorders>
          </w:tcPr>
          <w:p w:rsidR="007617AD" w:rsidRDefault="007617AD">
            <w:pPr>
              <w:spacing w:after="160" w:line="259" w:lineRule="auto"/>
              <w:ind w:left="0" w:firstLine="0"/>
              <w:jc w:val="left"/>
            </w:pPr>
          </w:p>
        </w:tc>
        <w:tc>
          <w:tcPr>
            <w:tcW w:w="1076" w:type="dxa"/>
            <w:tcBorders>
              <w:top w:val="nil"/>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60.612,50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68"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2" w:firstLine="0"/>
            </w:pPr>
            <w:r>
              <w:rPr>
                <w:sz w:val="16"/>
              </w:rPr>
              <w:t xml:space="preserve">4590061911 </w:t>
            </w:r>
          </w:p>
        </w:tc>
        <w:tc>
          <w:tcPr>
            <w:tcW w:w="5270" w:type="dxa"/>
            <w:tcBorders>
              <w:top w:val="single" w:sz="4" w:space="0" w:color="000000"/>
              <w:left w:val="single" w:sz="4" w:space="0" w:color="000000"/>
              <w:bottom w:val="single" w:sz="4" w:space="0" w:color="000000"/>
              <w:right w:val="nil"/>
            </w:tcBorders>
          </w:tcPr>
          <w:p w:rsidR="007617AD" w:rsidRDefault="00EE75C8">
            <w:pPr>
              <w:spacing w:after="0" w:line="259" w:lineRule="auto"/>
              <w:ind w:left="70" w:firstLine="0"/>
              <w:jc w:val="left"/>
            </w:pPr>
            <w:r>
              <w:rPr>
                <w:sz w:val="16"/>
              </w:rPr>
              <w:t xml:space="preserve">ACONDICIONAMIENTO PLAZA EL TAGORILLO </w:t>
            </w:r>
          </w:p>
        </w:tc>
        <w:tc>
          <w:tcPr>
            <w:tcW w:w="438"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42.666,50 </w:t>
            </w:r>
          </w:p>
        </w:tc>
      </w:tr>
      <w:tr w:rsidR="007617AD">
        <w:trPr>
          <w:trHeight w:val="288"/>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68"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2" w:firstLine="0"/>
            </w:pPr>
            <w:r>
              <w:rPr>
                <w:sz w:val="16"/>
              </w:rPr>
              <w:t xml:space="preserve">4590062500 </w:t>
            </w:r>
          </w:p>
        </w:tc>
        <w:tc>
          <w:tcPr>
            <w:tcW w:w="5270" w:type="dxa"/>
            <w:tcBorders>
              <w:top w:val="single" w:sz="4" w:space="0" w:color="000000"/>
              <w:left w:val="single" w:sz="4" w:space="0" w:color="000000"/>
              <w:bottom w:val="single" w:sz="4" w:space="0" w:color="000000"/>
              <w:right w:val="nil"/>
            </w:tcBorders>
          </w:tcPr>
          <w:p w:rsidR="007617AD" w:rsidRDefault="00EE75C8">
            <w:pPr>
              <w:spacing w:after="0" w:line="259" w:lineRule="auto"/>
              <w:ind w:left="70" w:firstLine="0"/>
              <w:jc w:val="left"/>
            </w:pPr>
            <w:r>
              <w:rPr>
                <w:sz w:val="16"/>
              </w:rPr>
              <w:t xml:space="preserve">CONTENEDORES RSU </w:t>
            </w:r>
          </w:p>
        </w:tc>
        <w:tc>
          <w:tcPr>
            <w:tcW w:w="438"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14.994,98 </w:t>
            </w:r>
          </w:p>
        </w:tc>
      </w:tr>
      <w:tr w:rsidR="007617AD">
        <w:trPr>
          <w:trHeight w:val="286"/>
        </w:trPr>
        <w:tc>
          <w:tcPr>
            <w:tcW w:w="1834"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62" w:firstLine="0"/>
              <w:jc w:val="center"/>
            </w:pPr>
            <w:r>
              <w:rPr>
                <w:b/>
                <w:sz w:val="16"/>
              </w:rPr>
              <w:t xml:space="preserve">  </w:t>
            </w:r>
          </w:p>
        </w:tc>
        <w:tc>
          <w:tcPr>
            <w:tcW w:w="5270"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438" w:type="dxa"/>
            <w:tcBorders>
              <w:top w:val="single" w:sz="4" w:space="0" w:color="000000"/>
              <w:left w:val="nil"/>
              <w:bottom w:val="single" w:sz="4" w:space="0" w:color="000000"/>
              <w:right w:val="single" w:sz="4" w:space="0" w:color="000000"/>
            </w:tcBorders>
          </w:tcPr>
          <w:p w:rsidR="007617AD" w:rsidRDefault="00EE75C8">
            <w:pPr>
              <w:spacing w:after="0" w:line="259" w:lineRule="auto"/>
              <w:ind w:left="0" w:firstLine="0"/>
            </w:pPr>
            <w:r>
              <w:rPr>
                <w:b/>
                <w:sz w:val="16"/>
              </w:rPr>
              <w:t xml:space="preserve">Total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3" w:firstLine="0"/>
            </w:pPr>
            <w:r>
              <w:rPr>
                <w:b/>
                <w:sz w:val="16"/>
              </w:rPr>
              <w:t xml:space="preserve">1.380.537,83 </w:t>
            </w:r>
          </w:p>
        </w:tc>
      </w:tr>
      <w:tr w:rsidR="007617AD">
        <w:trPr>
          <w:trHeight w:val="287"/>
        </w:trPr>
        <w:tc>
          <w:tcPr>
            <w:tcW w:w="7104" w:type="dxa"/>
            <w:gridSpan w:val="3"/>
            <w:tcBorders>
              <w:top w:val="single" w:sz="4" w:space="0" w:color="000000"/>
              <w:left w:val="single" w:sz="4" w:space="0" w:color="000000"/>
              <w:bottom w:val="single" w:sz="4" w:space="0" w:color="000000"/>
              <w:right w:val="nil"/>
            </w:tcBorders>
          </w:tcPr>
          <w:p w:rsidR="007617AD" w:rsidRDefault="00EE75C8">
            <w:pPr>
              <w:spacing w:after="0" w:line="259" w:lineRule="auto"/>
              <w:ind w:left="1534" w:firstLine="0"/>
              <w:jc w:val="center"/>
            </w:pPr>
            <w:r>
              <w:rPr>
                <w:b/>
                <w:sz w:val="16"/>
              </w:rPr>
              <w:t xml:space="preserve">Estado de Ingresos </w:t>
            </w:r>
          </w:p>
        </w:tc>
        <w:tc>
          <w:tcPr>
            <w:tcW w:w="1514" w:type="dxa"/>
            <w:gridSpan w:val="2"/>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r>
      <w:tr w:rsidR="007617AD">
        <w:trPr>
          <w:trHeight w:val="389"/>
        </w:trPr>
        <w:tc>
          <w:tcPr>
            <w:tcW w:w="803" w:type="dxa"/>
            <w:tcBorders>
              <w:top w:val="single" w:sz="4" w:space="0" w:color="000000"/>
              <w:left w:val="single" w:sz="4" w:space="0" w:color="000000"/>
              <w:bottom w:val="single" w:sz="4" w:space="0" w:color="000000"/>
              <w:right w:val="single" w:sz="4" w:space="0" w:color="000000"/>
            </w:tcBorders>
            <w:shd w:val="clear" w:color="auto" w:fill="BFBFBF"/>
          </w:tcPr>
          <w:p w:rsidR="007617AD" w:rsidRDefault="00EE75C8">
            <w:pPr>
              <w:spacing w:after="0" w:line="259" w:lineRule="auto"/>
              <w:ind w:left="0" w:firstLine="0"/>
              <w:jc w:val="center"/>
            </w:pPr>
            <w:r>
              <w:rPr>
                <w:b/>
                <w:sz w:val="16"/>
              </w:rPr>
              <w:t xml:space="preserve">Aplicación  </w:t>
            </w:r>
          </w:p>
        </w:tc>
        <w:tc>
          <w:tcPr>
            <w:tcW w:w="6301" w:type="dxa"/>
            <w:gridSpan w:val="2"/>
            <w:tcBorders>
              <w:top w:val="single" w:sz="4" w:space="0" w:color="000000"/>
              <w:left w:val="single" w:sz="4" w:space="0" w:color="000000"/>
              <w:bottom w:val="single" w:sz="4" w:space="0" w:color="000000"/>
              <w:right w:val="nil"/>
            </w:tcBorders>
            <w:shd w:val="clear" w:color="auto" w:fill="BFBFBF"/>
            <w:vAlign w:val="bottom"/>
          </w:tcPr>
          <w:p w:rsidR="007617AD" w:rsidRDefault="00EE75C8">
            <w:pPr>
              <w:spacing w:after="0" w:line="259" w:lineRule="auto"/>
              <w:ind w:left="462" w:firstLine="0"/>
              <w:jc w:val="center"/>
            </w:pPr>
            <w:r>
              <w:rPr>
                <w:b/>
                <w:sz w:val="16"/>
              </w:rPr>
              <w:t xml:space="preserve">Denominación  </w:t>
            </w:r>
          </w:p>
        </w:tc>
        <w:tc>
          <w:tcPr>
            <w:tcW w:w="438" w:type="dxa"/>
            <w:tcBorders>
              <w:top w:val="single" w:sz="4" w:space="0" w:color="000000"/>
              <w:left w:val="nil"/>
              <w:bottom w:val="single" w:sz="4" w:space="0" w:color="000000"/>
              <w:right w:val="single" w:sz="4" w:space="0" w:color="000000"/>
            </w:tcBorders>
            <w:shd w:val="clear" w:color="auto" w:fill="BFBFBF"/>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7617AD" w:rsidRDefault="00EE75C8">
            <w:pPr>
              <w:spacing w:after="0" w:line="259" w:lineRule="auto"/>
              <w:ind w:left="28" w:firstLine="0"/>
              <w:jc w:val="center"/>
            </w:pPr>
            <w:r>
              <w:rPr>
                <w:b/>
                <w:sz w:val="16"/>
              </w:rPr>
              <w:t xml:space="preserve">Importe </w:t>
            </w:r>
          </w:p>
        </w:tc>
      </w:tr>
      <w:tr w:rsidR="007617AD">
        <w:trPr>
          <w:trHeight w:val="287"/>
        </w:trPr>
        <w:tc>
          <w:tcPr>
            <w:tcW w:w="1834"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8" w:firstLine="0"/>
              <w:jc w:val="center"/>
            </w:pPr>
            <w:r>
              <w:rPr>
                <w:sz w:val="16"/>
              </w:rPr>
              <w:t xml:space="preserve">87000 </w:t>
            </w:r>
          </w:p>
        </w:tc>
        <w:tc>
          <w:tcPr>
            <w:tcW w:w="5270" w:type="dxa"/>
            <w:tcBorders>
              <w:top w:val="single" w:sz="4" w:space="0" w:color="000000"/>
              <w:left w:val="single" w:sz="4" w:space="0" w:color="000000"/>
              <w:bottom w:val="single" w:sz="4" w:space="0" w:color="000000"/>
              <w:right w:val="nil"/>
            </w:tcBorders>
          </w:tcPr>
          <w:p w:rsidR="007617AD" w:rsidRDefault="00EE75C8">
            <w:pPr>
              <w:spacing w:after="0" w:line="259" w:lineRule="auto"/>
              <w:ind w:left="70" w:firstLine="0"/>
              <w:jc w:val="left"/>
            </w:pPr>
            <w:r>
              <w:rPr>
                <w:sz w:val="16"/>
              </w:rPr>
              <w:t xml:space="preserve">Remanente de Tesoreria para </w:t>
            </w:r>
            <w:r>
              <w:rPr>
                <w:sz w:val="16"/>
              </w:rPr>
              <w:t xml:space="preserve">gastos generales </w:t>
            </w:r>
          </w:p>
        </w:tc>
        <w:tc>
          <w:tcPr>
            <w:tcW w:w="438"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3" w:firstLine="0"/>
            </w:pPr>
            <w:r>
              <w:rPr>
                <w:sz w:val="16"/>
              </w:rPr>
              <w:t xml:space="preserve">1.380.537,83 </w:t>
            </w:r>
          </w:p>
        </w:tc>
      </w:tr>
      <w:tr w:rsidR="007617AD">
        <w:trPr>
          <w:trHeight w:val="288"/>
        </w:trPr>
        <w:tc>
          <w:tcPr>
            <w:tcW w:w="1834"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62" w:firstLine="0"/>
              <w:jc w:val="center"/>
            </w:pPr>
            <w:r>
              <w:rPr>
                <w:sz w:val="16"/>
              </w:rPr>
              <w:t xml:space="preserve">  </w:t>
            </w:r>
          </w:p>
        </w:tc>
        <w:tc>
          <w:tcPr>
            <w:tcW w:w="5270"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438" w:type="dxa"/>
            <w:tcBorders>
              <w:top w:val="single" w:sz="4" w:space="0" w:color="000000"/>
              <w:left w:val="nil"/>
              <w:bottom w:val="single" w:sz="4" w:space="0" w:color="000000"/>
              <w:right w:val="single" w:sz="4" w:space="0" w:color="000000"/>
            </w:tcBorders>
          </w:tcPr>
          <w:p w:rsidR="007617AD" w:rsidRDefault="00EE75C8">
            <w:pPr>
              <w:spacing w:after="0" w:line="259" w:lineRule="auto"/>
              <w:ind w:left="0" w:firstLine="0"/>
            </w:pPr>
            <w:r>
              <w:rPr>
                <w:b/>
                <w:sz w:val="16"/>
              </w:rPr>
              <w:t xml:space="preserve">Total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3" w:firstLine="0"/>
            </w:pPr>
            <w:r>
              <w:rPr>
                <w:b/>
                <w:sz w:val="16"/>
              </w:rPr>
              <w:t xml:space="preserve">1.380.537,83 </w:t>
            </w:r>
          </w:p>
        </w:tc>
      </w:tr>
    </w:tbl>
    <w:p w:rsidR="007617AD" w:rsidRDefault="00EE75C8">
      <w:pPr>
        <w:spacing w:after="158" w:line="259" w:lineRule="auto"/>
        <w:ind w:left="708" w:firstLine="0"/>
        <w:jc w:val="left"/>
      </w:pPr>
      <w:r>
        <w:rPr>
          <w:sz w:val="16"/>
        </w:rPr>
        <w:t xml:space="preserve"> </w:t>
      </w:r>
    </w:p>
    <w:p w:rsidR="007617AD" w:rsidRDefault="00EE75C8">
      <w:pPr>
        <w:spacing w:after="0"/>
        <w:ind w:left="703" w:right="62"/>
      </w:pPr>
      <w:r>
        <w:rPr>
          <w:b/>
        </w:rPr>
        <w:t>SEGUNDO. -</w:t>
      </w:r>
      <w:r>
        <w:t xml:space="preserve"> </w:t>
      </w:r>
      <w:r>
        <w:t>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r>
        <w:tab/>
        <w:t xml:space="preserve"> </w:t>
      </w:r>
    </w:p>
    <w:p w:rsidR="007617AD" w:rsidRDefault="00EE75C8">
      <w:pPr>
        <w:spacing w:after="0" w:line="248" w:lineRule="auto"/>
        <w:ind w:left="703" w:right="34"/>
        <w:jc w:val="left"/>
      </w:pPr>
      <w:r>
        <w:rPr>
          <w:b/>
        </w:rPr>
        <w:t xml:space="preserve">TERCERO. - </w:t>
      </w:r>
      <w:r>
        <w:t xml:space="preserve">El expediente se considerará definitivamente aprobado si durante el citado plazo no se hubiesen presentado reclamaciones, en caso contrario el Pleno dispondrá de un mes para resolverlas. El expediente definitivamente aprobado, será insertado en el boletín </w:t>
      </w:r>
      <w:r>
        <w:t>oficial de la provincia.”</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ind w:left="703" w:right="58"/>
      </w:pPr>
      <w:r>
        <w:rPr>
          <w:b/>
        </w:rPr>
        <w:t xml:space="preserve">DICTAMEN FAVORABLE DE LA COMISIÓN INFORMATIVA DE HACIENDA, RECURSOS HUMANOS Y SERVICIOS GENERALES DE 27 DE JUNIO DE 2022. </w:t>
      </w:r>
    </w:p>
    <w:p w:rsidR="007617AD" w:rsidRDefault="00EE75C8">
      <w:pPr>
        <w:spacing w:after="0" w:line="259" w:lineRule="auto"/>
        <w:ind w:left="708" w:firstLine="0"/>
        <w:jc w:val="left"/>
      </w:pPr>
      <w:r>
        <w:t xml:space="preserve"> </w:t>
      </w:r>
    </w:p>
    <w:p w:rsidR="007617AD" w:rsidRDefault="00EE75C8">
      <w:pPr>
        <w:spacing w:after="0"/>
        <w:ind w:left="703" w:right="58"/>
      </w:pPr>
      <w:r>
        <w:rPr>
          <w:b/>
        </w:rPr>
        <w:t xml:space="preserve">El expediente con la propuesta previamente transcrita fue dictaminado con carácter favorable por la Comisión informativa con la siguiente votación: </w:t>
      </w:r>
    </w:p>
    <w:p w:rsidR="007617AD" w:rsidRDefault="00EE75C8">
      <w:pPr>
        <w:spacing w:after="0" w:line="259" w:lineRule="auto"/>
        <w:ind w:left="708" w:firstLine="0"/>
        <w:jc w:val="left"/>
      </w:pPr>
      <w:r>
        <w:rPr>
          <w:b/>
        </w:rPr>
        <w:t xml:space="preserve"> </w:t>
      </w:r>
    </w:p>
    <w:p w:rsidR="007617AD" w:rsidRDefault="00EE75C8">
      <w:pPr>
        <w:spacing w:after="11"/>
        <w:ind w:left="703" w:right="62"/>
      </w:pPr>
      <w:r>
        <w:t xml:space="preserve">Votos a favor: 4. </w:t>
      </w:r>
    </w:p>
    <w:p w:rsidR="007617AD" w:rsidRDefault="00EE75C8">
      <w:pPr>
        <w:spacing w:after="0"/>
        <w:ind w:left="703" w:right="62"/>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8652" name="Group 28865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4375" name="Rectangle 1437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Verificación: https://candelaria.sedel</w:t>
                              </w:r>
                              <w:r>
                                <w:rPr>
                                  <w:sz w:val="12"/>
                                </w:rPr>
                                <w:t xml:space="preserve">ectronica.es/ </w:t>
                              </w:r>
                            </w:p>
                          </w:txbxContent>
                        </wps:txbx>
                        <wps:bodyPr horzOverflow="overflow" vert="horz" lIns="0" tIns="0" rIns="0" bIns="0" rtlCol="0">
                          <a:noAutofit/>
                        </wps:bodyPr>
                      </wps:wsp>
                      <wps:wsp>
                        <wps:cNvPr id="14376" name="Rectangle 14376"/>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59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8652" style="width:12.7031pt;height:280.02pt;position:absolute;mso-position-horizontal-relative:page;mso-position-horizontal:absolute;margin-left:682.278pt;mso-position-vertical-relative:page;margin-top:531.9pt;" coordsize="1613,35562">
                <v:rect id="Rectangle 1437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4376"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192 </w:t>
                        </w:r>
                      </w:p>
                    </w:txbxContent>
                  </v:textbox>
                </v:rect>
                <w10:wrap type="square"/>
              </v:group>
            </w:pict>
          </mc:Fallback>
        </mc:AlternateContent>
      </w:r>
      <w:r>
        <w:t xml:space="preserve">Don Airam Pérez Chinea, Don Jorge Baute Delgado, Don Manuel Alberto González Pestano y Doña Margarita Eva Tendero Barroso. </w:t>
      </w:r>
    </w:p>
    <w:p w:rsidR="007617AD" w:rsidRDefault="00EE75C8">
      <w:pPr>
        <w:spacing w:after="0" w:line="259" w:lineRule="auto"/>
        <w:ind w:left="708" w:firstLine="0"/>
        <w:jc w:val="left"/>
      </w:pPr>
      <w:r>
        <w:t xml:space="preserve"> </w:t>
      </w:r>
    </w:p>
    <w:p w:rsidR="007617AD" w:rsidRDefault="00EE75C8">
      <w:pPr>
        <w:spacing w:after="11"/>
        <w:ind w:left="703" w:right="62"/>
      </w:pPr>
      <w:r>
        <w:t>Votos en contra: 0.</w:t>
      </w:r>
      <w:r>
        <w:t xml:space="preserve">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Abstenciones: 2. </w:t>
      </w:r>
    </w:p>
    <w:p w:rsidR="007617AD" w:rsidRDefault="00EE75C8">
      <w:pPr>
        <w:spacing w:after="6"/>
        <w:ind w:left="703" w:right="62"/>
      </w:pPr>
      <w:r>
        <w:t xml:space="preserve">2 de las concejales del Grupo Mixto: Doña Ángela Cruz Perera (CC-PNC) y Doña Lourdes del Carmen Mondéjar Rondón (SSP).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rFonts w:ascii="Times New Roman" w:eastAsia="Times New Roman" w:hAnsi="Times New Roman" w:cs="Times New Roman"/>
          <w:b/>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ind w:left="693" w:right="2032" w:firstLine="1418"/>
      </w:pPr>
      <w:r>
        <w:rPr>
          <w:b/>
        </w:rPr>
        <w:t xml:space="preserve">JUNTA DE PORTAVOCES DE 27 DE JUNIO DE 2022.  </w:t>
      </w:r>
      <w:r>
        <w:t xml:space="preserve">Quedó oída.  </w:t>
      </w:r>
    </w:p>
    <w:p w:rsidR="007617AD" w:rsidRDefault="00EE75C8">
      <w:pPr>
        <w:spacing w:after="0" w:line="259" w:lineRule="auto"/>
        <w:ind w:left="708" w:firstLine="0"/>
        <w:jc w:val="left"/>
      </w:pPr>
      <w:r>
        <w:rPr>
          <w:b/>
        </w:rPr>
        <w:t xml:space="preserve"> </w:t>
      </w:r>
    </w:p>
    <w:p w:rsidR="007617AD" w:rsidRDefault="00EE75C8">
      <w:pPr>
        <w:spacing w:after="11"/>
        <w:ind w:left="2137" w:right="58"/>
      </w:pPr>
      <w:r>
        <w:rPr>
          <w:b/>
        </w:rPr>
        <w:t xml:space="preserve">VOTACIÓN EN EL PLENO DE 30 DE JUNIO DE 2022. </w:t>
      </w:r>
    </w:p>
    <w:p w:rsidR="007617AD" w:rsidRDefault="00EE75C8">
      <w:pPr>
        <w:spacing w:after="11"/>
        <w:ind w:left="703" w:right="62"/>
      </w:pPr>
      <w:r>
        <w:t xml:space="preserve">Votos a favor: 12. </w:t>
      </w:r>
    </w:p>
    <w:p w:rsidR="007617AD" w:rsidRDefault="00EE75C8">
      <w:pPr>
        <w:ind w:left="703" w:right="62"/>
      </w:pPr>
      <w:r>
        <w:t>10 concejales del Grupo Socialista: Doña María Concepción Brito Núñez, Doña Don Jorge Baute Delgado, Doña Olivia Concepción Pérez Díaz, Don José Francisco Pinto Ramos, Doña Hilaria Cecilia Otazo González, Don Airam Pérez Chinea, Doña Ma</w:t>
      </w:r>
      <w:r>
        <w:t xml:space="preserve">rgarita Eva Tendero Barroso, Don Manuel Alberto González Pestano, Don Olegario Francisco Alonso Bello y Don Reinaldo José Triviño Blanco. </w:t>
      </w:r>
    </w:p>
    <w:p w:rsidR="007617AD" w:rsidRDefault="00EE75C8">
      <w:pPr>
        <w:ind w:left="703" w:right="62"/>
      </w:pPr>
      <w:r>
        <w:t xml:space="preserve">1 de la concejal del Grupo Mixto (CC-PNC): Doña Ángela Cruz Perera. </w:t>
      </w:r>
    </w:p>
    <w:p w:rsidR="007617AD" w:rsidRDefault="00EE75C8">
      <w:pPr>
        <w:numPr>
          <w:ilvl w:val="0"/>
          <w:numId w:val="23"/>
        </w:numPr>
        <w:ind w:left="877" w:right="62" w:hanging="184"/>
      </w:pPr>
      <w:r>
        <w:t>de la concejal del Grupo Mixto (VxC): Doña Alici</w:t>
      </w:r>
      <w:r>
        <w:t xml:space="preserve">a Mercedes Marrero Meneses. </w:t>
      </w:r>
    </w:p>
    <w:p w:rsidR="007617AD" w:rsidRDefault="00EE75C8">
      <w:pPr>
        <w:ind w:left="703" w:right="62"/>
      </w:pPr>
      <w:r>
        <w:t xml:space="preserve">Votos en contra: 0. </w:t>
      </w:r>
    </w:p>
    <w:p w:rsidR="007617AD" w:rsidRDefault="00EE75C8">
      <w:pPr>
        <w:spacing w:after="11"/>
        <w:ind w:left="703" w:right="62"/>
      </w:pPr>
      <w:r>
        <w:t xml:space="preserve">Abstenciones: 4. </w:t>
      </w:r>
    </w:p>
    <w:p w:rsidR="007617AD" w:rsidRDefault="00EE75C8">
      <w:pPr>
        <w:numPr>
          <w:ilvl w:val="0"/>
          <w:numId w:val="23"/>
        </w:numPr>
        <w:spacing w:after="0"/>
        <w:ind w:left="877" w:right="62" w:hanging="184"/>
      </w:pPr>
      <w:r>
        <w:t xml:space="preserve">de los concejales del Grupo Popular: Don Andrés Rodríguez Delgado y Don Jacobo López Fariña. </w:t>
      </w:r>
    </w:p>
    <w:p w:rsidR="007617AD" w:rsidRDefault="00EE75C8">
      <w:pPr>
        <w:ind w:left="703" w:right="62"/>
      </w:pPr>
      <w:r>
        <w:t xml:space="preserve">2 de los concejales del Grupo Mixto (SSP), Doña Lourdes del Carmen Mondéjar Rondón y Don Antonio Delgado García. </w:t>
      </w:r>
    </w:p>
    <w:p w:rsidR="007617AD" w:rsidRDefault="00EE75C8">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307838" name="Group 30783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4924" name="Rectangle 1492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4925" name="Rectangle 14925"/>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w:t>
                              </w:r>
                              <w:r>
                                <w:rPr>
                                  <w:sz w:val="12"/>
                                </w:rPr>
                                <w:t xml:space="preserve">e la plataforma esPublico Gestiona | Página 60 de 192 </w:t>
                              </w:r>
                            </w:p>
                          </w:txbxContent>
                        </wps:txbx>
                        <wps:bodyPr horzOverflow="overflow" vert="horz" lIns="0" tIns="0" rIns="0" bIns="0" rtlCol="0">
                          <a:noAutofit/>
                        </wps:bodyPr>
                      </wps:wsp>
                    </wpg:wgp>
                  </a:graphicData>
                </a:graphic>
              </wp:anchor>
            </w:drawing>
          </mc:Choice>
          <mc:Fallback xmlns:a="http://schemas.openxmlformats.org/drawingml/2006/main">
            <w:pict>
              <v:group id="Group 307838" style="width:12.7031pt;height:280.02pt;position:absolute;mso-position-horizontal-relative:page;mso-position-horizontal:absolute;margin-left:682.278pt;mso-position-vertical-relative:page;margin-top:531.9pt;" coordsize="1613,35562">
                <v:rect id="Rectangle 1492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4925"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192 </w:t>
                        </w:r>
                      </w:p>
                    </w:txbxContent>
                  </v:textbox>
                </v:rect>
                <w10:wrap type="topAndBottom"/>
              </v:group>
            </w:pict>
          </mc:Fallback>
        </mc:AlternateConten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rFonts w:ascii="Times New Roman" w:eastAsia="Times New Roman" w:hAnsi="Times New Roman" w:cs="Times New Roman"/>
          <w:b/>
          <w:sz w:val="24"/>
        </w:rPr>
        <w:t xml:space="preserve"> </w:t>
      </w:r>
    </w:p>
    <w:p w:rsidR="007617AD" w:rsidRDefault="00EE75C8">
      <w:pPr>
        <w:ind w:left="2137" w:right="58"/>
      </w:pPr>
      <w:r>
        <w:rPr>
          <w:b/>
        </w:rPr>
        <w:t xml:space="preserve">ACUERDO DEL PLENO DE 30 DE JUNIO DE 2022 </w:t>
      </w:r>
    </w:p>
    <w:p w:rsidR="007617AD" w:rsidRDefault="00EE75C8">
      <w:pPr>
        <w:spacing w:after="98" w:line="259" w:lineRule="auto"/>
        <w:ind w:left="2127" w:firstLine="0"/>
        <w:jc w:val="left"/>
      </w:pPr>
      <w:r>
        <w:rPr>
          <w:b/>
        </w:rPr>
        <w:t xml:space="preserve">  </w:t>
      </w:r>
    </w:p>
    <w:p w:rsidR="007617AD" w:rsidRDefault="00EE75C8">
      <w:pPr>
        <w:ind w:left="703" w:right="62"/>
      </w:pPr>
      <w:r>
        <w:rPr>
          <w:b/>
        </w:rPr>
        <w:t xml:space="preserve">PRIMERO. - </w:t>
      </w:r>
      <w:r>
        <w:t xml:space="preserve">Aprobar expediente de modificación presupuestaria </w:t>
      </w:r>
      <w:r>
        <w:rPr>
          <w:b/>
        </w:rPr>
        <w:t>nº 5316/2022</w:t>
      </w:r>
      <w:r>
        <w:t xml:space="preserve"> de modificación presupuestaria por </w:t>
      </w:r>
      <w:r>
        <w:rPr>
          <w:b/>
        </w:rPr>
        <w:t xml:space="preserve">Créditos extraordinarios </w:t>
      </w:r>
      <w:r>
        <w:t xml:space="preserve">financiado con Remanente de Tesorería para gastos generales, por una cantidad total de </w:t>
      </w:r>
      <w:r>
        <w:rPr>
          <w:b/>
        </w:rPr>
        <w:t>1.380.537,83 euros</w:t>
      </w:r>
      <w:r>
        <w:t xml:space="preserve">, de acuerdo al siguiente detalle: </w:t>
      </w:r>
    </w:p>
    <w:p w:rsidR="007617AD" w:rsidRDefault="00EE75C8">
      <w:pPr>
        <w:spacing w:after="98" w:line="259" w:lineRule="auto"/>
        <w:ind w:left="708" w:firstLine="0"/>
        <w:jc w:val="left"/>
      </w:pPr>
      <w:r>
        <w:t xml:space="preserve"> </w:t>
      </w:r>
    </w:p>
    <w:p w:rsidR="007617AD" w:rsidRDefault="00EE75C8">
      <w:pPr>
        <w:spacing w:after="0" w:line="259" w:lineRule="auto"/>
        <w:ind w:left="708" w:firstLine="0"/>
        <w:jc w:val="left"/>
      </w:pPr>
      <w:r>
        <w:t xml:space="preserve"> </w:t>
      </w:r>
    </w:p>
    <w:tbl>
      <w:tblPr>
        <w:tblStyle w:val="TableGrid"/>
        <w:tblW w:w="8617" w:type="dxa"/>
        <w:tblInd w:w="784" w:type="dxa"/>
        <w:tblCellMar>
          <w:top w:w="2" w:type="dxa"/>
          <w:left w:w="0" w:type="dxa"/>
          <w:bottom w:w="14" w:type="dxa"/>
          <w:right w:w="24" w:type="dxa"/>
        </w:tblCellMar>
        <w:tblLook w:val="04A0" w:firstRow="1" w:lastRow="0" w:firstColumn="1" w:lastColumn="0" w:noHBand="0" w:noVBand="1"/>
      </w:tblPr>
      <w:tblGrid>
        <w:gridCol w:w="803"/>
        <w:gridCol w:w="1031"/>
        <w:gridCol w:w="5270"/>
        <w:gridCol w:w="438"/>
        <w:gridCol w:w="1076"/>
      </w:tblGrid>
      <w:tr w:rsidR="007617AD">
        <w:trPr>
          <w:trHeight w:val="289"/>
        </w:trPr>
        <w:tc>
          <w:tcPr>
            <w:tcW w:w="7542" w:type="dxa"/>
            <w:gridSpan w:val="4"/>
            <w:tcBorders>
              <w:top w:val="single" w:sz="4" w:space="0" w:color="000000"/>
              <w:left w:val="single" w:sz="4" w:space="0" w:color="000000"/>
              <w:bottom w:val="single" w:sz="4" w:space="0" w:color="000000"/>
              <w:right w:val="nil"/>
            </w:tcBorders>
            <w:vAlign w:val="bottom"/>
          </w:tcPr>
          <w:p w:rsidR="007617AD" w:rsidRDefault="00EE75C8">
            <w:pPr>
              <w:spacing w:after="0" w:line="259" w:lineRule="auto"/>
              <w:ind w:left="1024" w:firstLine="0"/>
              <w:jc w:val="center"/>
            </w:pPr>
            <w:r>
              <w:rPr>
                <w:rFonts w:ascii="Times New Roman" w:eastAsia="Times New Roman" w:hAnsi="Times New Roman" w:cs="Times New Roman"/>
                <w:b/>
                <w:sz w:val="14"/>
              </w:rPr>
              <w:t xml:space="preserve">Estado de Gastos </w:t>
            </w:r>
          </w:p>
        </w:tc>
        <w:tc>
          <w:tcPr>
            <w:tcW w:w="1076"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r>
      <w:tr w:rsidR="007617AD">
        <w:trPr>
          <w:trHeight w:val="811"/>
        </w:trPr>
        <w:tc>
          <w:tcPr>
            <w:tcW w:w="80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49" w:lineRule="auto"/>
              <w:ind w:left="0" w:right="8" w:firstLine="0"/>
              <w:jc w:val="center"/>
            </w:pPr>
            <w:r>
              <w:rPr>
                <w:b/>
                <w:sz w:val="16"/>
              </w:rPr>
              <w:t xml:space="preserve">Proyecto </w:t>
            </w:r>
          </w:p>
          <w:p w:rsidR="007617AD" w:rsidRDefault="00EE75C8">
            <w:pPr>
              <w:spacing w:after="0" w:line="259" w:lineRule="auto"/>
              <w:ind w:left="0" w:right="46" w:firstLine="0"/>
              <w:jc w:val="center"/>
            </w:pPr>
            <w:r>
              <w:rPr>
                <w:b/>
                <w:sz w:val="16"/>
              </w:rPr>
              <w:t xml:space="preserve">Gasto  </w:t>
            </w:r>
          </w:p>
        </w:tc>
        <w:tc>
          <w:tcPr>
            <w:tcW w:w="103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44" w:firstLine="0"/>
              <w:jc w:val="left"/>
            </w:pPr>
            <w:r>
              <w:rPr>
                <w:b/>
                <w:sz w:val="16"/>
              </w:rPr>
              <w:t xml:space="preserve">Aplicación </w:t>
            </w:r>
          </w:p>
        </w:tc>
        <w:tc>
          <w:tcPr>
            <w:tcW w:w="5708"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right="43" w:firstLine="0"/>
              <w:jc w:val="center"/>
            </w:pPr>
            <w:r>
              <w:rPr>
                <w:b/>
                <w:sz w:val="16"/>
              </w:rPr>
              <w:t xml:space="preserve">Denominación  </w:t>
            </w:r>
          </w:p>
        </w:tc>
        <w:tc>
          <w:tcPr>
            <w:tcW w:w="107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617AD" w:rsidRDefault="00EE75C8">
            <w:pPr>
              <w:spacing w:after="0" w:line="259" w:lineRule="auto"/>
              <w:ind w:left="0" w:right="41" w:firstLine="0"/>
              <w:jc w:val="center"/>
            </w:pPr>
            <w:r>
              <w:rPr>
                <w:b/>
                <w:sz w:val="16"/>
              </w:rPr>
              <w:t xml:space="preserve">Estimado </w:t>
            </w:r>
          </w:p>
        </w:tc>
      </w:tr>
      <w:tr w:rsidR="007617AD">
        <w:trPr>
          <w:trHeight w:val="287"/>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1532061903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REASFALTADO PARKING LOS BREZOS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20.551,49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1532061904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ASFALTADO TRASERA POLIDEPORTIVO CUEVECITAS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17.242,35 </w:t>
            </w:r>
          </w:p>
        </w:tc>
      </w:tr>
      <w:tr w:rsidR="007617AD">
        <w:trPr>
          <w:trHeight w:val="288"/>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1532061905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ACONDICIONAMIENTO ZONAS DE APARCAMIENTOS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110.551,49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1710062501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RENOVACION PARQUES INFANTILES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186.187,85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1710062502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CUBIERTA Y AMPLIACIÓN PARQUE EBAR PUNTA LARGA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104.922,26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1710062503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PARQUE INFANTIL CUEVECITAS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48.977,55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REFORMA PISO Y TUBERIA COMDOR CEIP PRINCIPE FELIPE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17.136,55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3230061902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SUSTITUCIÓN ALICATADO CEIP PRINCIPE FELIPE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93.346,60 </w:t>
            </w:r>
          </w:p>
        </w:tc>
      </w:tr>
      <w:tr w:rsidR="007617AD">
        <w:trPr>
          <w:trHeight w:val="288"/>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3230061903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AMPLIACION DE COMEDOR CEIP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1.637,10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3230061904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REPARACION DE ESCALERA PRINCIPAL CEIP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3.670,10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3230061905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ACONDICIONAMIENTO SERVICIOS CEIP CARMEN ALVAREZ DE LA ROSA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34.843,54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3230061906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RENOVACION PARQUE INFANTIL CEIP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14.877,88 </w:t>
            </w:r>
          </w:p>
        </w:tc>
      </w:tr>
      <w:tr w:rsidR="007617AD">
        <w:trPr>
          <w:trHeight w:val="391"/>
        </w:trPr>
        <w:tc>
          <w:tcPr>
            <w:tcW w:w="80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4" w:firstLine="0"/>
            </w:pPr>
            <w:r>
              <w:rPr>
                <w:sz w:val="16"/>
              </w:rPr>
              <w:t xml:space="preserve">3340022711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CREACION CONTENIDO DIVULGATIVO GRUPOS ESCULTORICOS CANDELARI </w:t>
            </w:r>
          </w:p>
        </w:tc>
        <w:tc>
          <w:tcPr>
            <w:tcW w:w="1076"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4" w:firstLine="0"/>
              <w:jc w:val="right"/>
            </w:pPr>
            <w:r>
              <w:rPr>
                <w:sz w:val="16"/>
              </w:rPr>
              <w:t xml:space="preserve">3.500,00 </w:t>
            </w:r>
          </w:p>
        </w:tc>
      </w:tr>
      <w:tr w:rsidR="007617AD">
        <w:trPr>
          <w:trHeight w:val="288"/>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3340061903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CERRAMIENTO ALUMINIO CENTRO CULTURAL MALPAIS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22.219,99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3340061904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CERRAMIENTO ALUMINIO CINE VIEJO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12.232,00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3340061905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REFORMA EN LOCAL ENSAYO BANDA NUEVA DE IGUESTE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6.072,25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3410022711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PREPARACION Y REALIZACION MURAL SKATEPARK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14.915,80 </w:t>
            </w:r>
          </w:p>
        </w:tc>
      </w:tr>
      <w:tr w:rsidR="007617AD">
        <w:trPr>
          <w:trHeight w:val="392"/>
        </w:trPr>
        <w:tc>
          <w:tcPr>
            <w:tcW w:w="803"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4" w:firstLine="0"/>
            </w:pPr>
            <w:r>
              <w:rPr>
                <w:sz w:val="16"/>
              </w:rPr>
              <w:t xml:space="preserve">3410061911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pPr>
            <w:r>
              <w:rPr>
                <w:sz w:val="16"/>
              </w:rPr>
              <w:t xml:space="preserve">INSTALACIÓN DE BAJA TENSIÓN Y MARQUESINA CAMPO DE FUTBOL BRU </w:t>
            </w:r>
          </w:p>
        </w:tc>
        <w:tc>
          <w:tcPr>
            <w:tcW w:w="1076" w:type="dxa"/>
            <w:tcBorders>
              <w:top w:val="single" w:sz="4" w:space="0" w:color="000000"/>
              <w:left w:val="single" w:sz="4" w:space="0" w:color="000000"/>
              <w:bottom w:val="single" w:sz="4" w:space="0" w:color="000000"/>
              <w:right w:val="single" w:sz="4" w:space="0" w:color="000000"/>
            </w:tcBorders>
            <w:vAlign w:val="bottom"/>
          </w:tcPr>
          <w:p w:rsidR="007617AD" w:rsidRDefault="00EE75C8">
            <w:pPr>
              <w:spacing w:after="0" w:line="259" w:lineRule="auto"/>
              <w:ind w:left="0" w:right="45" w:firstLine="0"/>
              <w:jc w:val="right"/>
            </w:pPr>
            <w:r>
              <w:rPr>
                <w:sz w:val="16"/>
              </w:rPr>
              <w:t xml:space="preserve">380.137,19 </w:t>
            </w:r>
          </w:p>
        </w:tc>
      </w:tr>
      <w:tr w:rsidR="007617AD">
        <w:trPr>
          <w:trHeight w:val="288"/>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4" w:firstLine="0"/>
            </w:pPr>
            <w:r>
              <w:rPr>
                <w:sz w:val="16"/>
              </w:rPr>
              <w:t xml:space="preserve">3410061912 </w:t>
            </w:r>
          </w:p>
        </w:tc>
        <w:tc>
          <w:tcPr>
            <w:tcW w:w="5708"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2" w:firstLine="0"/>
              <w:jc w:val="left"/>
            </w:pPr>
            <w:r>
              <w:rPr>
                <w:sz w:val="16"/>
              </w:rPr>
              <w:t xml:space="preserve">MODULO LANZAMIENTO ATLETISMO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4.584,95 </w:t>
            </w:r>
          </w:p>
        </w:tc>
      </w:tr>
      <w:tr w:rsidR="007617AD">
        <w:trPr>
          <w:trHeight w:val="281"/>
        </w:trPr>
        <w:tc>
          <w:tcPr>
            <w:tcW w:w="803" w:type="dxa"/>
            <w:tcBorders>
              <w:top w:val="nil"/>
              <w:left w:val="single" w:sz="4" w:space="0" w:color="000000"/>
              <w:bottom w:val="single" w:sz="4" w:space="0" w:color="000000"/>
              <w:right w:val="single" w:sz="4" w:space="0" w:color="000000"/>
            </w:tcBorders>
          </w:tcPr>
          <w:p w:rsidR="007617AD" w:rsidRDefault="00EE75C8">
            <w:pPr>
              <w:spacing w:after="0" w:line="259" w:lineRule="auto"/>
              <w:ind w:left="68" w:firstLine="0"/>
            </w:pPr>
            <w:r>
              <w:rPr>
                <w:sz w:val="16"/>
              </w:rPr>
              <w:t xml:space="preserve">P.22.2.33 </w:t>
            </w:r>
          </w:p>
        </w:tc>
        <w:tc>
          <w:tcPr>
            <w:tcW w:w="1031" w:type="dxa"/>
            <w:tcBorders>
              <w:top w:val="nil"/>
              <w:left w:val="single" w:sz="4" w:space="0" w:color="000000"/>
              <w:bottom w:val="single" w:sz="4" w:space="0" w:color="000000"/>
              <w:right w:val="single" w:sz="4" w:space="0" w:color="000000"/>
            </w:tcBorders>
          </w:tcPr>
          <w:p w:rsidR="007617AD" w:rsidRDefault="00EE75C8">
            <w:pPr>
              <w:spacing w:after="0" w:line="259" w:lineRule="auto"/>
              <w:ind w:left="72" w:firstLine="0"/>
            </w:pPr>
            <w:r>
              <w:rPr>
                <w:sz w:val="16"/>
              </w:rPr>
              <w:t xml:space="preserve">4590061904 </w:t>
            </w:r>
          </w:p>
        </w:tc>
        <w:tc>
          <w:tcPr>
            <w:tcW w:w="5270" w:type="dxa"/>
            <w:tcBorders>
              <w:top w:val="nil"/>
              <w:left w:val="single" w:sz="4" w:space="0" w:color="000000"/>
              <w:bottom w:val="single" w:sz="4" w:space="0" w:color="000000"/>
              <w:right w:val="nil"/>
            </w:tcBorders>
          </w:tcPr>
          <w:p w:rsidR="007617AD" w:rsidRDefault="00EE75C8">
            <w:pPr>
              <w:spacing w:after="0" w:line="259" w:lineRule="auto"/>
              <w:ind w:left="70" w:firstLine="0"/>
              <w:jc w:val="left"/>
            </w:pPr>
            <w:r>
              <w:rPr>
                <w:sz w:val="16"/>
              </w:rPr>
              <w:t xml:space="preserve">REHABILITACION AVENIDA CONSTITUCION </w:t>
            </w:r>
          </w:p>
        </w:tc>
        <w:tc>
          <w:tcPr>
            <w:tcW w:w="438" w:type="dxa"/>
            <w:tcBorders>
              <w:top w:val="nil"/>
              <w:left w:val="nil"/>
              <w:bottom w:val="single" w:sz="4" w:space="0" w:color="000000"/>
              <w:right w:val="single" w:sz="4" w:space="0" w:color="000000"/>
            </w:tcBorders>
          </w:tcPr>
          <w:p w:rsidR="007617AD" w:rsidRDefault="007617AD">
            <w:pPr>
              <w:spacing w:after="160" w:line="259" w:lineRule="auto"/>
              <w:ind w:left="0" w:firstLine="0"/>
              <w:jc w:val="left"/>
            </w:pPr>
          </w:p>
        </w:tc>
        <w:tc>
          <w:tcPr>
            <w:tcW w:w="1076" w:type="dxa"/>
            <w:tcBorders>
              <w:top w:val="nil"/>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88.306,43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68"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2" w:firstLine="0"/>
            </w:pPr>
            <w:r>
              <w:rPr>
                <w:sz w:val="16"/>
              </w:rPr>
              <w:t xml:space="preserve">4590061905 </w:t>
            </w:r>
          </w:p>
        </w:tc>
        <w:tc>
          <w:tcPr>
            <w:tcW w:w="5270" w:type="dxa"/>
            <w:tcBorders>
              <w:top w:val="single" w:sz="4" w:space="0" w:color="000000"/>
              <w:left w:val="single" w:sz="4" w:space="0" w:color="000000"/>
              <w:bottom w:val="single" w:sz="4" w:space="0" w:color="000000"/>
              <w:right w:val="nil"/>
            </w:tcBorders>
          </w:tcPr>
          <w:p w:rsidR="007617AD" w:rsidRDefault="00EE75C8">
            <w:pPr>
              <w:spacing w:after="0" w:line="259" w:lineRule="auto"/>
              <w:ind w:left="70" w:firstLine="0"/>
              <w:jc w:val="left"/>
            </w:pPr>
            <w:r>
              <w:rPr>
                <w:sz w:val="16"/>
              </w:rPr>
              <w:t xml:space="preserve">OBRA MURO CHA CONCHA EN ARAYA </w:t>
            </w:r>
          </w:p>
        </w:tc>
        <w:tc>
          <w:tcPr>
            <w:tcW w:w="438"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14.107,12 </w:t>
            </w:r>
          </w:p>
        </w:tc>
      </w:tr>
      <w:tr w:rsidR="007617AD">
        <w:trPr>
          <w:trHeight w:val="288"/>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68"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2" w:firstLine="0"/>
            </w:pPr>
            <w:r>
              <w:rPr>
                <w:sz w:val="16"/>
              </w:rPr>
              <w:t xml:space="preserve">4590061906 </w:t>
            </w:r>
          </w:p>
        </w:tc>
        <w:tc>
          <w:tcPr>
            <w:tcW w:w="5270" w:type="dxa"/>
            <w:tcBorders>
              <w:top w:val="single" w:sz="4" w:space="0" w:color="000000"/>
              <w:left w:val="single" w:sz="4" w:space="0" w:color="000000"/>
              <w:bottom w:val="single" w:sz="4" w:space="0" w:color="000000"/>
              <w:right w:val="nil"/>
            </w:tcBorders>
          </w:tcPr>
          <w:p w:rsidR="007617AD" w:rsidRDefault="00EE75C8">
            <w:pPr>
              <w:spacing w:after="0" w:line="259" w:lineRule="auto"/>
              <w:ind w:left="70" w:firstLine="0"/>
              <w:jc w:val="left"/>
            </w:pPr>
            <w:r>
              <w:rPr>
                <w:sz w:val="16"/>
              </w:rPr>
              <w:t xml:space="preserve">MEJORAS EN POLIDPORTIVO CUEVECITAS </w:t>
            </w:r>
          </w:p>
        </w:tc>
        <w:tc>
          <w:tcPr>
            <w:tcW w:w="438"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20.203,06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68"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2" w:firstLine="0"/>
            </w:pPr>
            <w:r>
              <w:rPr>
                <w:sz w:val="16"/>
              </w:rPr>
              <w:t xml:space="preserve">4590061907 </w:t>
            </w:r>
          </w:p>
        </w:tc>
        <w:tc>
          <w:tcPr>
            <w:tcW w:w="5270" w:type="dxa"/>
            <w:tcBorders>
              <w:top w:val="single" w:sz="4" w:space="0" w:color="000000"/>
              <w:left w:val="single" w:sz="4" w:space="0" w:color="000000"/>
              <w:bottom w:val="single" w:sz="4" w:space="0" w:color="000000"/>
              <w:right w:val="nil"/>
            </w:tcBorders>
          </w:tcPr>
          <w:p w:rsidR="007617AD" w:rsidRDefault="00EE75C8">
            <w:pPr>
              <w:spacing w:after="0" w:line="259" w:lineRule="auto"/>
              <w:ind w:left="70" w:firstLine="0"/>
              <w:jc w:val="left"/>
            </w:pPr>
            <w:r>
              <w:rPr>
                <w:sz w:val="16"/>
              </w:rPr>
              <w:t xml:space="preserve">ACONDICIONAMIENTO PLAZA CRUZ DEL CAMINO </w:t>
            </w:r>
          </w:p>
        </w:tc>
        <w:tc>
          <w:tcPr>
            <w:tcW w:w="438"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35.406,30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68"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2" w:firstLine="0"/>
            </w:pPr>
            <w:r>
              <w:rPr>
                <w:sz w:val="16"/>
              </w:rPr>
              <w:t xml:space="preserve">4590061908 </w:t>
            </w:r>
          </w:p>
        </w:tc>
        <w:tc>
          <w:tcPr>
            <w:tcW w:w="5270" w:type="dxa"/>
            <w:tcBorders>
              <w:top w:val="single" w:sz="4" w:space="0" w:color="000000"/>
              <w:left w:val="single" w:sz="4" w:space="0" w:color="000000"/>
              <w:bottom w:val="single" w:sz="4" w:space="0" w:color="000000"/>
              <w:right w:val="nil"/>
            </w:tcBorders>
          </w:tcPr>
          <w:p w:rsidR="007617AD" w:rsidRDefault="00EE75C8">
            <w:pPr>
              <w:spacing w:after="0" w:line="259" w:lineRule="auto"/>
              <w:ind w:left="70" w:firstLine="0"/>
              <w:jc w:val="left"/>
            </w:pPr>
            <w:r>
              <w:rPr>
                <w:sz w:val="16"/>
              </w:rPr>
              <w:t xml:space="preserve">ACONDICIONAMIENTO TRAMO HUNDIDO CALLE LA VERA ARAYA </w:t>
            </w:r>
          </w:p>
        </w:tc>
        <w:tc>
          <w:tcPr>
            <w:tcW w:w="438"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4" w:firstLine="0"/>
              <w:jc w:val="right"/>
            </w:pPr>
            <w:r>
              <w:rPr>
                <w:sz w:val="16"/>
              </w:rPr>
              <w:t xml:space="preserve">6.634,00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68"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2" w:firstLine="0"/>
            </w:pPr>
            <w:r>
              <w:rPr>
                <w:sz w:val="16"/>
              </w:rPr>
              <w:t xml:space="preserve">4590061909 </w:t>
            </w:r>
          </w:p>
        </w:tc>
        <w:tc>
          <w:tcPr>
            <w:tcW w:w="5270" w:type="dxa"/>
            <w:tcBorders>
              <w:top w:val="single" w:sz="4" w:space="0" w:color="000000"/>
              <w:left w:val="single" w:sz="4" w:space="0" w:color="000000"/>
              <w:bottom w:val="single" w:sz="4" w:space="0" w:color="000000"/>
              <w:right w:val="nil"/>
            </w:tcBorders>
          </w:tcPr>
          <w:p w:rsidR="007617AD" w:rsidRDefault="00EE75C8">
            <w:pPr>
              <w:spacing w:after="0" w:line="259" w:lineRule="auto"/>
              <w:ind w:left="70" w:firstLine="0"/>
              <w:jc w:val="left"/>
            </w:pPr>
            <w:r>
              <w:rPr>
                <w:sz w:val="16"/>
              </w:rPr>
              <w:t xml:space="preserve">DEMOLICION Y CANALIZACION ACERA AVDA CONSTITUCION </w:t>
            </w:r>
          </w:p>
        </w:tc>
        <w:tc>
          <w:tcPr>
            <w:tcW w:w="438"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60.612,50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68"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2" w:firstLine="0"/>
            </w:pPr>
            <w:r>
              <w:rPr>
                <w:sz w:val="16"/>
              </w:rPr>
              <w:t xml:space="preserve">4590061911 </w:t>
            </w:r>
          </w:p>
        </w:tc>
        <w:tc>
          <w:tcPr>
            <w:tcW w:w="5270" w:type="dxa"/>
            <w:tcBorders>
              <w:top w:val="single" w:sz="4" w:space="0" w:color="000000"/>
              <w:left w:val="single" w:sz="4" w:space="0" w:color="000000"/>
              <w:bottom w:val="single" w:sz="4" w:space="0" w:color="000000"/>
              <w:right w:val="nil"/>
            </w:tcBorders>
          </w:tcPr>
          <w:p w:rsidR="007617AD" w:rsidRDefault="00EE75C8">
            <w:pPr>
              <w:spacing w:after="0" w:line="259" w:lineRule="auto"/>
              <w:ind w:left="70" w:firstLine="0"/>
              <w:jc w:val="left"/>
            </w:pPr>
            <w:r>
              <w:rPr>
                <w:sz w:val="16"/>
              </w:rPr>
              <w:t xml:space="preserve">ACONDICIONAMIENTO PLAZA EL TAGORILLO </w:t>
            </w:r>
          </w:p>
        </w:tc>
        <w:tc>
          <w:tcPr>
            <w:tcW w:w="438"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42.666,50 </w:t>
            </w:r>
          </w:p>
        </w:tc>
      </w:tr>
      <w:tr w:rsidR="007617AD">
        <w:trPr>
          <w:trHeight w:val="286"/>
        </w:trPr>
        <w:tc>
          <w:tcPr>
            <w:tcW w:w="803"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68" w:firstLine="0"/>
            </w:pPr>
            <w:r>
              <w:rPr>
                <w:sz w:val="16"/>
              </w:rPr>
              <w:t xml:space="preserve">P.22.2.33 </w:t>
            </w:r>
          </w:p>
        </w:tc>
        <w:tc>
          <w:tcPr>
            <w:tcW w:w="1031"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2" w:firstLine="0"/>
            </w:pPr>
            <w:r>
              <w:rPr>
                <w:sz w:val="16"/>
              </w:rPr>
              <w:t xml:space="preserve">4590062500 </w:t>
            </w:r>
          </w:p>
        </w:tc>
        <w:tc>
          <w:tcPr>
            <w:tcW w:w="5270" w:type="dxa"/>
            <w:tcBorders>
              <w:top w:val="single" w:sz="4" w:space="0" w:color="000000"/>
              <w:left w:val="single" w:sz="4" w:space="0" w:color="000000"/>
              <w:bottom w:val="single" w:sz="4" w:space="0" w:color="000000"/>
              <w:right w:val="nil"/>
            </w:tcBorders>
          </w:tcPr>
          <w:p w:rsidR="007617AD" w:rsidRDefault="00EE75C8">
            <w:pPr>
              <w:spacing w:after="0" w:line="259" w:lineRule="auto"/>
              <w:ind w:left="70" w:firstLine="0"/>
              <w:jc w:val="left"/>
            </w:pPr>
            <w:r>
              <w:rPr>
                <w:sz w:val="16"/>
              </w:rPr>
              <w:t xml:space="preserve">CONTENEDORES RSU </w:t>
            </w:r>
          </w:p>
        </w:tc>
        <w:tc>
          <w:tcPr>
            <w:tcW w:w="438"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0" w:right="45" w:firstLine="0"/>
              <w:jc w:val="right"/>
            </w:pPr>
            <w:r>
              <w:rPr>
                <w:sz w:val="16"/>
              </w:rPr>
              <w:t xml:space="preserve">14.994,98 </w:t>
            </w:r>
          </w:p>
        </w:tc>
      </w:tr>
      <w:tr w:rsidR="007617AD">
        <w:trPr>
          <w:trHeight w:val="288"/>
        </w:trPr>
        <w:tc>
          <w:tcPr>
            <w:tcW w:w="1834"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62" w:firstLine="0"/>
              <w:jc w:val="center"/>
            </w:pPr>
            <w:r>
              <w:rPr>
                <w:b/>
                <w:sz w:val="16"/>
              </w:rPr>
              <w:t xml:space="preserve">  </w:t>
            </w:r>
          </w:p>
        </w:tc>
        <w:tc>
          <w:tcPr>
            <w:tcW w:w="5270"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438" w:type="dxa"/>
            <w:tcBorders>
              <w:top w:val="single" w:sz="4" w:space="0" w:color="000000"/>
              <w:left w:val="nil"/>
              <w:bottom w:val="single" w:sz="4" w:space="0" w:color="000000"/>
              <w:right w:val="single" w:sz="4" w:space="0" w:color="000000"/>
            </w:tcBorders>
          </w:tcPr>
          <w:p w:rsidR="007617AD" w:rsidRDefault="00EE75C8">
            <w:pPr>
              <w:spacing w:after="0" w:line="259" w:lineRule="auto"/>
              <w:ind w:left="0" w:firstLine="0"/>
            </w:pPr>
            <w:r>
              <w:rPr>
                <w:b/>
                <w:sz w:val="16"/>
              </w:rPr>
              <w:t xml:space="preserve">Total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3" w:firstLine="0"/>
            </w:pPr>
            <w:r>
              <w:rPr>
                <w:b/>
                <w:sz w:val="16"/>
              </w:rPr>
              <w:t xml:space="preserve">1.380.537,83 </w:t>
            </w:r>
          </w:p>
        </w:tc>
      </w:tr>
      <w:tr w:rsidR="007617AD">
        <w:trPr>
          <w:trHeight w:val="287"/>
        </w:trPr>
        <w:tc>
          <w:tcPr>
            <w:tcW w:w="7104" w:type="dxa"/>
            <w:gridSpan w:val="3"/>
            <w:tcBorders>
              <w:top w:val="single" w:sz="4" w:space="0" w:color="000000"/>
              <w:left w:val="single" w:sz="4" w:space="0" w:color="000000"/>
              <w:bottom w:val="single" w:sz="4" w:space="0" w:color="000000"/>
              <w:right w:val="nil"/>
            </w:tcBorders>
          </w:tcPr>
          <w:p w:rsidR="007617AD" w:rsidRDefault="00EE75C8">
            <w:pPr>
              <w:spacing w:after="0" w:line="259" w:lineRule="auto"/>
              <w:ind w:left="1534" w:firstLine="0"/>
              <w:jc w:val="center"/>
            </w:pPr>
            <w:r>
              <w:rPr>
                <w:b/>
                <w:sz w:val="16"/>
              </w:rPr>
              <w:t xml:space="preserve">Estado de Ingresos </w:t>
            </w:r>
          </w:p>
        </w:tc>
        <w:tc>
          <w:tcPr>
            <w:tcW w:w="1514" w:type="dxa"/>
            <w:gridSpan w:val="2"/>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r>
      <w:tr w:rsidR="007617AD">
        <w:trPr>
          <w:trHeight w:val="389"/>
        </w:trPr>
        <w:tc>
          <w:tcPr>
            <w:tcW w:w="803" w:type="dxa"/>
            <w:tcBorders>
              <w:top w:val="single" w:sz="4" w:space="0" w:color="000000"/>
              <w:left w:val="single" w:sz="4" w:space="0" w:color="000000"/>
              <w:bottom w:val="single" w:sz="4" w:space="0" w:color="000000"/>
              <w:right w:val="single" w:sz="4" w:space="0" w:color="000000"/>
            </w:tcBorders>
            <w:shd w:val="clear" w:color="auto" w:fill="BFBFBF"/>
          </w:tcPr>
          <w:p w:rsidR="007617AD" w:rsidRDefault="00EE75C8">
            <w:pPr>
              <w:spacing w:after="0" w:line="259" w:lineRule="auto"/>
              <w:ind w:left="0" w:firstLine="0"/>
              <w:jc w:val="center"/>
            </w:pPr>
            <w:r>
              <w:rPr>
                <w:b/>
                <w:sz w:val="16"/>
              </w:rPr>
              <w:t xml:space="preserve">Aplicación  </w:t>
            </w:r>
          </w:p>
        </w:tc>
        <w:tc>
          <w:tcPr>
            <w:tcW w:w="6301" w:type="dxa"/>
            <w:gridSpan w:val="2"/>
            <w:tcBorders>
              <w:top w:val="single" w:sz="4" w:space="0" w:color="000000"/>
              <w:left w:val="single" w:sz="4" w:space="0" w:color="000000"/>
              <w:bottom w:val="single" w:sz="4" w:space="0" w:color="000000"/>
              <w:right w:val="nil"/>
            </w:tcBorders>
            <w:shd w:val="clear" w:color="auto" w:fill="BFBFBF"/>
            <w:vAlign w:val="bottom"/>
          </w:tcPr>
          <w:p w:rsidR="007617AD" w:rsidRDefault="00EE75C8">
            <w:pPr>
              <w:spacing w:after="0" w:line="259" w:lineRule="auto"/>
              <w:ind w:left="462" w:firstLine="0"/>
              <w:jc w:val="center"/>
            </w:pPr>
            <w:r>
              <w:rPr>
                <w:b/>
                <w:sz w:val="16"/>
              </w:rPr>
              <w:t xml:space="preserve">Denominación  </w:t>
            </w:r>
          </w:p>
        </w:tc>
        <w:tc>
          <w:tcPr>
            <w:tcW w:w="438" w:type="dxa"/>
            <w:tcBorders>
              <w:top w:val="single" w:sz="4" w:space="0" w:color="000000"/>
              <w:left w:val="nil"/>
              <w:bottom w:val="single" w:sz="4" w:space="0" w:color="000000"/>
              <w:right w:val="single" w:sz="4" w:space="0" w:color="000000"/>
            </w:tcBorders>
            <w:shd w:val="clear" w:color="auto" w:fill="BFBFBF"/>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7617AD" w:rsidRDefault="00EE75C8">
            <w:pPr>
              <w:spacing w:after="0" w:line="259" w:lineRule="auto"/>
              <w:ind w:left="28" w:firstLine="0"/>
              <w:jc w:val="center"/>
            </w:pPr>
            <w:r>
              <w:rPr>
                <w:b/>
                <w:sz w:val="16"/>
              </w:rPr>
              <w:t xml:space="preserve">Importe </w:t>
            </w:r>
          </w:p>
        </w:tc>
      </w:tr>
      <w:tr w:rsidR="007617AD">
        <w:trPr>
          <w:trHeight w:val="287"/>
        </w:trPr>
        <w:tc>
          <w:tcPr>
            <w:tcW w:w="1834"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18" w:firstLine="0"/>
              <w:jc w:val="center"/>
            </w:pPr>
            <w:r>
              <w:rPr>
                <w:sz w:val="16"/>
              </w:rPr>
              <w:t xml:space="preserve">87000 </w:t>
            </w:r>
          </w:p>
        </w:tc>
        <w:tc>
          <w:tcPr>
            <w:tcW w:w="5270" w:type="dxa"/>
            <w:tcBorders>
              <w:top w:val="single" w:sz="4" w:space="0" w:color="000000"/>
              <w:left w:val="single" w:sz="4" w:space="0" w:color="000000"/>
              <w:bottom w:val="single" w:sz="4" w:space="0" w:color="000000"/>
              <w:right w:val="nil"/>
            </w:tcBorders>
          </w:tcPr>
          <w:p w:rsidR="007617AD" w:rsidRDefault="00EE75C8">
            <w:pPr>
              <w:spacing w:after="0" w:line="259" w:lineRule="auto"/>
              <w:ind w:left="70" w:firstLine="0"/>
              <w:jc w:val="left"/>
            </w:pPr>
            <w:r>
              <w:rPr>
                <w:sz w:val="16"/>
              </w:rPr>
              <w:t xml:space="preserve">Remanente de Tesoreria para gastos generales </w:t>
            </w:r>
          </w:p>
        </w:tc>
        <w:tc>
          <w:tcPr>
            <w:tcW w:w="438" w:type="dxa"/>
            <w:tcBorders>
              <w:top w:val="single" w:sz="4" w:space="0" w:color="000000"/>
              <w:left w:val="nil"/>
              <w:bottom w:val="single" w:sz="4" w:space="0" w:color="000000"/>
              <w:right w:val="single" w:sz="4" w:space="0" w:color="000000"/>
            </w:tcBorders>
          </w:tcPr>
          <w:p w:rsidR="007617AD" w:rsidRDefault="007617AD">
            <w:pPr>
              <w:spacing w:after="160" w:line="259" w:lineRule="auto"/>
              <w:ind w:left="0" w:firstLine="0"/>
              <w:jc w:val="left"/>
            </w:pP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3" w:firstLine="0"/>
            </w:pPr>
            <w:r>
              <w:rPr>
                <w:sz w:val="16"/>
              </w:rPr>
              <w:t xml:space="preserve">1.380.537,83 </w:t>
            </w:r>
          </w:p>
        </w:tc>
      </w:tr>
      <w:tr w:rsidR="007617AD">
        <w:trPr>
          <w:trHeight w:val="286"/>
        </w:trPr>
        <w:tc>
          <w:tcPr>
            <w:tcW w:w="1834" w:type="dxa"/>
            <w:gridSpan w:val="2"/>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62" w:firstLine="0"/>
              <w:jc w:val="center"/>
            </w:pPr>
            <w:r>
              <w:rPr>
                <w:sz w:val="16"/>
              </w:rPr>
              <w:t xml:space="preserve">  </w:t>
            </w:r>
          </w:p>
        </w:tc>
        <w:tc>
          <w:tcPr>
            <w:tcW w:w="5270" w:type="dxa"/>
            <w:tcBorders>
              <w:top w:val="single" w:sz="4" w:space="0" w:color="000000"/>
              <w:left w:val="single" w:sz="4" w:space="0" w:color="000000"/>
              <w:bottom w:val="single" w:sz="4" w:space="0" w:color="000000"/>
              <w:right w:val="nil"/>
            </w:tcBorders>
          </w:tcPr>
          <w:p w:rsidR="007617AD" w:rsidRDefault="007617AD">
            <w:pPr>
              <w:spacing w:after="160" w:line="259" w:lineRule="auto"/>
              <w:ind w:left="0" w:firstLine="0"/>
              <w:jc w:val="left"/>
            </w:pPr>
          </w:p>
        </w:tc>
        <w:tc>
          <w:tcPr>
            <w:tcW w:w="438" w:type="dxa"/>
            <w:tcBorders>
              <w:top w:val="single" w:sz="4" w:space="0" w:color="000000"/>
              <w:left w:val="nil"/>
              <w:bottom w:val="single" w:sz="4" w:space="0" w:color="000000"/>
              <w:right w:val="single" w:sz="4" w:space="0" w:color="000000"/>
            </w:tcBorders>
          </w:tcPr>
          <w:p w:rsidR="007617AD" w:rsidRDefault="00EE75C8">
            <w:pPr>
              <w:spacing w:after="0" w:line="259" w:lineRule="auto"/>
              <w:ind w:left="0" w:firstLine="0"/>
            </w:pPr>
            <w:r>
              <w:rPr>
                <w:b/>
                <w:sz w:val="16"/>
              </w:rPr>
              <w:t xml:space="preserve">Total </w:t>
            </w:r>
          </w:p>
        </w:tc>
        <w:tc>
          <w:tcPr>
            <w:tcW w:w="1076" w:type="dxa"/>
            <w:tcBorders>
              <w:top w:val="single" w:sz="4" w:space="0" w:color="000000"/>
              <w:left w:val="single" w:sz="4" w:space="0" w:color="000000"/>
              <w:bottom w:val="single" w:sz="4" w:space="0" w:color="000000"/>
              <w:right w:val="single" w:sz="4" w:space="0" w:color="000000"/>
            </w:tcBorders>
          </w:tcPr>
          <w:p w:rsidR="007617AD" w:rsidRDefault="00EE75C8">
            <w:pPr>
              <w:spacing w:after="0" w:line="259" w:lineRule="auto"/>
              <w:ind w:left="73" w:firstLine="0"/>
            </w:pPr>
            <w:r>
              <w:rPr>
                <w:b/>
                <w:sz w:val="16"/>
              </w:rPr>
              <w:t xml:space="preserve">1.380.537,83 </w:t>
            </w:r>
          </w:p>
        </w:tc>
      </w:tr>
    </w:tbl>
    <w:p w:rsidR="007617AD" w:rsidRDefault="00EE75C8">
      <w:pPr>
        <w:spacing w:after="98" w:line="259" w:lineRule="auto"/>
        <w:ind w:left="708" w:firstLine="0"/>
        <w:jc w:val="left"/>
      </w:pPr>
      <w:r>
        <w:t xml:space="preserve"> </w:t>
      </w:r>
    </w:p>
    <w:p w:rsidR="007617AD" w:rsidRDefault="00EE75C8">
      <w:pPr>
        <w:spacing w:after="0"/>
        <w:ind w:left="703" w:right="62"/>
      </w:pPr>
      <w:r>
        <w:rPr>
          <w:b/>
        </w:rPr>
        <w:t>SEGUNDO. -</w:t>
      </w:r>
      <w:r>
        <w:t xml:space="preserve"> 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r>
        <w:tab/>
        <w:t xml:space="preserve"> </w:t>
      </w:r>
    </w:p>
    <w:p w:rsidR="007617AD" w:rsidRDefault="00EE75C8">
      <w:pPr>
        <w:spacing w:after="0" w:line="248" w:lineRule="auto"/>
        <w:ind w:left="703" w:right="34"/>
        <w:jc w:val="left"/>
      </w:pPr>
      <w:r>
        <w:rPr>
          <w:b/>
        </w:rPr>
        <w:t xml:space="preserve">TERCERO. - </w:t>
      </w:r>
      <w:r>
        <w:t xml:space="preserve">El expediente se considerará definitivamente aprobado si durante el citado plazo no se hubiesen presentado reclamaciones, en caso contrario el Pleno dispondrá de un mes para resolverlas. El expediente definitivamente aprobado, será insertado en el boletín </w:t>
      </w:r>
      <w:r>
        <w:t>oficial de la provincia.”</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300516" name="Group 30051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5269" name="Rectangle 1526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5270" name="Rectangle 15270"/>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61 de 192 </w:t>
                              </w:r>
                            </w:p>
                          </w:txbxContent>
                        </wps:txbx>
                        <wps:bodyPr horzOverflow="overflow" vert="horz" lIns="0" tIns="0" rIns="0" bIns="0" rtlCol="0">
                          <a:noAutofit/>
                        </wps:bodyPr>
                      </wps:wsp>
                    </wpg:wgp>
                  </a:graphicData>
                </a:graphic>
              </wp:anchor>
            </w:drawing>
          </mc:Choice>
          <mc:Fallback xmlns:a="http://schemas.openxmlformats.org/drawingml/2006/main">
            <w:pict>
              <v:group id="Group 300516" style="width:12.7031pt;height:280.02pt;position:absolute;mso-position-horizontal-relative:page;mso-position-horizontal:absolute;margin-left:682.278pt;mso-position-vertical-relative:page;margin-top:531.9pt;" coordsize="1613,35562">
                <v:rect id="Rectangle 1526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5270"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192 </w:t>
                        </w:r>
                      </w:p>
                    </w:txbxContent>
                  </v:textbox>
                </v:rect>
                <w10:wrap type="topAndBottom"/>
              </v:group>
            </w:pict>
          </mc:Fallback>
        </mc:AlternateContent>
      </w: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744" w:line="259" w:lineRule="auto"/>
        <w:ind w:left="708" w:firstLine="0"/>
        <w:jc w:val="left"/>
      </w:pPr>
      <w:r>
        <w:rPr>
          <w:rFonts w:ascii="Times New Roman" w:eastAsia="Times New Roman" w:hAnsi="Times New Roman" w:cs="Times New Roman"/>
          <w:sz w:val="24"/>
        </w:rPr>
        <w:t xml:space="preserve"> </w:t>
      </w:r>
    </w:p>
    <w:p w:rsidR="007617AD" w:rsidRDefault="00EE75C8">
      <w:pPr>
        <w:spacing w:after="101" w:line="241" w:lineRule="auto"/>
        <w:ind w:left="703" w:right="56"/>
      </w:pPr>
      <w:r>
        <w:rPr>
          <w:b/>
          <w:sz w:val="24"/>
        </w:rPr>
        <w:t xml:space="preserve">4.- Expediente 10980/2021. Propuesta de la Alcaldesa-Presidenta de fecha 20 de junio de 2022 al Pleno para la aprobación del Plan de Movilidad Urbana Sostenible (PMUS) de Candelaria. </w:t>
      </w:r>
    </w:p>
    <w:p w:rsidR="007617AD" w:rsidRDefault="00EE75C8">
      <w:pPr>
        <w:spacing w:after="0" w:line="259" w:lineRule="auto"/>
        <w:ind w:left="708" w:firstLine="0"/>
        <w:jc w:val="left"/>
      </w:pPr>
      <w:r>
        <w:rPr>
          <w:rFonts w:ascii="Times New Roman" w:eastAsia="Times New Roman" w:hAnsi="Times New Roman" w:cs="Times New Roman"/>
          <w:b/>
          <w:sz w:val="24"/>
        </w:rPr>
        <w:t xml:space="preserve"> </w:t>
      </w:r>
    </w:p>
    <w:p w:rsidR="007617AD" w:rsidRDefault="00EE75C8">
      <w:pPr>
        <w:spacing w:after="0"/>
        <w:ind w:left="703" w:right="58"/>
      </w:pPr>
      <w:r>
        <w:rPr>
          <w:b/>
        </w:rPr>
        <w:t>Consta en el expediente propuesta de la Alcaldesa-Pres</w:t>
      </w:r>
      <w:r>
        <w:rPr>
          <w:b/>
        </w:rPr>
        <w:t xml:space="preserve">identa, de fecha 20 de junio de 2022, cuyo tenor literal es el siguiente: </w:t>
      </w:r>
    </w:p>
    <w:p w:rsidR="007617AD" w:rsidRDefault="00EE75C8">
      <w:pPr>
        <w:spacing w:after="0" w:line="259" w:lineRule="auto"/>
        <w:ind w:left="708" w:firstLine="0"/>
        <w:jc w:val="left"/>
      </w:pPr>
      <w:r>
        <w:rPr>
          <w:b/>
        </w:rPr>
        <w:t xml:space="preserve"> </w:t>
      </w:r>
    </w:p>
    <w:p w:rsidR="007617AD" w:rsidRDefault="00EE75C8">
      <w:pPr>
        <w:spacing w:after="455"/>
        <w:ind w:left="703" w:right="62"/>
      </w:pPr>
      <w:r>
        <w:t xml:space="preserve">“Doña María Concepción Brito Núñez, en calidad de Alcaldesa Presidenta del Ayuntamiento de Candelaria y al amparo de lo dispuesto en el Reglamento de Organización, Funcionamiento y Régimen Jurídico de las Entidades Locales, así como en la Ley 7/1985, de 2 </w:t>
      </w:r>
      <w:r>
        <w:t xml:space="preserve">de abril, Reguladora de las Bases de Régimen Local, formula al Pleno de la Corporación la siguiente propuesta: </w:t>
      </w:r>
      <w:r>
        <w:rPr>
          <w:rFonts w:ascii="Times New Roman" w:eastAsia="Times New Roman" w:hAnsi="Times New Roman" w:cs="Times New Roman"/>
          <w:sz w:val="24"/>
        </w:rPr>
        <w:t xml:space="preserve"> </w:t>
      </w:r>
    </w:p>
    <w:p w:rsidR="007617AD" w:rsidRDefault="00EE75C8">
      <w:pPr>
        <w:spacing w:after="460"/>
        <w:ind w:left="703" w:right="58"/>
      </w:pPr>
      <w:r>
        <w:rPr>
          <w:b/>
        </w:rPr>
        <w:t>APROBACIÓN DEL PLAN DE MOVILIDAD URBANA SOSTENIBLE (PMUS) DE CANDELARIA</w:t>
      </w:r>
      <w:r>
        <w:rPr>
          <w:rFonts w:ascii="Times New Roman" w:eastAsia="Times New Roman" w:hAnsi="Times New Roman" w:cs="Times New Roman"/>
          <w:sz w:val="24"/>
        </w:rPr>
        <w:t xml:space="preserve"> </w:t>
      </w:r>
    </w:p>
    <w:p w:rsidR="007617AD" w:rsidRDefault="00EE75C8">
      <w:pPr>
        <w:spacing w:after="0"/>
        <w:ind w:left="703" w:right="62"/>
      </w:pPr>
      <w:r>
        <w:t>Según datos del Ministerio de Transporte, Movilidad y Agenda Urbana, e</w:t>
      </w:r>
      <w:r>
        <w:t xml:space="preserve">n el año 2019 el sector transporte fue el responsable del 29% de las emisiones totales de gases de efecto invernadero en España, de ellas, casi una tercera parte se producen en el ámbito urbano. </w:t>
      </w:r>
      <w:r>
        <w:rPr>
          <w:rFonts w:ascii="Times New Roman" w:eastAsia="Times New Roman" w:hAnsi="Times New Roman" w:cs="Times New Roman"/>
          <w:sz w:val="24"/>
        </w:rPr>
        <w:t xml:space="preserve"> </w:t>
      </w:r>
    </w:p>
    <w:p w:rsidR="007617AD" w:rsidRDefault="00EE75C8">
      <w:pPr>
        <w:spacing w:after="0" w:line="259" w:lineRule="auto"/>
        <w:ind w:left="704" w:firstLine="0"/>
        <w:jc w:val="left"/>
      </w:pPr>
      <w:r>
        <w:t xml:space="preserve"> </w:t>
      </w:r>
    </w:p>
    <w:p w:rsidR="007617AD" w:rsidRDefault="00EE75C8">
      <w:pPr>
        <w:spacing w:after="0"/>
        <w:ind w:left="703" w:right="62"/>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1620647</wp:posOffset>
                </wp:positionH>
                <wp:positionV relativeFrom="page">
                  <wp:posOffset>359664</wp:posOffset>
                </wp:positionV>
                <wp:extent cx="609600" cy="775360"/>
                <wp:effectExtent l="0" t="0" r="0" b="0"/>
                <wp:wrapTopAndBottom/>
                <wp:docPr id="261376" name="Group 261376"/>
                <wp:cNvGraphicFramePr/>
                <a:graphic xmlns:a="http://schemas.openxmlformats.org/drawingml/2006/main">
                  <a:graphicData uri="http://schemas.microsoft.com/office/word/2010/wordprocessingGroup">
                    <wpg:wgp>
                      <wpg:cNvGrpSpPr/>
                      <wpg:grpSpPr>
                        <a:xfrm>
                          <a:off x="0" y="0"/>
                          <a:ext cx="609600" cy="775360"/>
                          <a:chOff x="0" y="0"/>
                          <a:chExt cx="609600" cy="775360"/>
                        </a:xfrm>
                      </wpg:grpSpPr>
                      <wps:wsp>
                        <wps:cNvPr id="15276" name="Rectangle 15276"/>
                        <wps:cNvSpPr/>
                        <wps:spPr>
                          <a:xfrm>
                            <a:off x="529082" y="255879"/>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277" name="Rectangle 15277"/>
                        <wps:cNvSpPr/>
                        <wps:spPr>
                          <a:xfrm>
                            <a:off x="529082" y="431139"/>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278" name="Rectangle 15278"/>
                        <wps:cNvSpPr/>
                        <wps:spPr>
                          <a:xfrm>
                            <a:off x="529082" y="606653"/>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5374" name="Picture 15374"/>
                          <pic:cNvPicPr/>
                        </pic:nvPicPr>
                        <pic:blipFill>
                          <a:blip r:embed="rId9"/>
                          <a:stretch>
                            <a:fillRect/>
                          </a:stretch>
                        </pic:blipFill>
                        <pic:spPr>
                          <a:xfrm>
                            <a:off x="0" y="0"/>
                            <a:ext cx="609600" cy="696468"/>
                          </a:xfrm>
                          <a:prstGeom prst="rect">
                            <a:avLst/>
                          </a:prstGeom>
                        </pic:spPr>
                      </pic:pic>
                    </wpg:wgp>
                  </a:graphicData>
                </a:graphic>
              </wp:anchor>
            </w:drawing>
          </mc:Choice>
          <mc:Fallback xmlns:a="http://schemas.openxmlformats.org/drawingml/2006/main">
            <w:pict>
              <v:group id="Group 261376" style="width:48pt;height:61.052pt;position:absolute;mso-position-horizontal-relative:page;mso-position-horizontal:absolute;margin-left:127.61pt;mso-position-vertical-relative:page;margin-top:28.32pt;" coordsize="6096,7753">
                <v:rect id="Rectangle 15276" style="position:absolute;width:506;height:2243;left:5290;top:255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5277" style="position:absolute;width:506;height:2243;left:5290;top:431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5278" style="position:absolute;width:506;height:2243;left:5290;top:606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5374" style="position:absolute;width:6096;height:6964;left:0;top:0;" filled="f">
                  <v:imagedata r:id="rId1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1378" name="Group 26137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5377" name="Rectangle 1537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5378" name="Rectangle 15378"/>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62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1378" style="width:12.7031pt;height:280.02pt;position:absolute;mso-position-horizontal-relative:page;mso-position-horizontal:absolute;margin-left:682.278pt;mso-position-vertical-relative:page;margin-top:531.9pt;" coordsize="1613,35562">
                <v:rect id="Rectangle 1537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5378"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192 </w:t>
                        </w:r>
                      </w:p>
                    </w:txbxContent>
                  </v:textbox>
                </v:rect>
                <w10:wrap type="square"/>
              </v:group>
            </w:pict>
          </mc:Fallback>
        </mc:AlternateContent>
      </w:r>
      <w:r>
        <w:t>El transporte contribuye decisivamente a los episodios de cont</w:t>
      </w:r>
      <w:r>
        <w:t xml:space="preserve">aminación atmosférica agravando los efectos en la salud pública y sobre el medio ambiente. Atendiendo al informe anual de calidad del aire europeo publicado por la Agencia Europea de Medio Ambiente (2018), hasta 6.800 muertes prematuras anuales en nuestro </w:t>
      </w:r>
      <w:r>
        <w:t xml:space="preserve">país son atribuibles al NO2 y 23.000 a las partículas finas conocidas como PM2,5. De estas emisiones contaminantes, el transporte es responsable el 40 % de las emisiones nacionales de óxidos de nitrógeno – precursores del ozono troposférico– y el 10 % del </w:t>
      </w:r>
      <w:r>
        <w:t>material de partículas finas, con una cuota relevante en los ámbitos urbano y metropolitano. Por lo que, la transformación del transporte urbano resulta imprescindible y prioritario para la protección de la salud de las personas y para la calidad de vida e</w:t>
      </w:r>
      <w:r>
        <w:t xml:space="preserve">n las ciudades. </w:t>
      </w:r>
    </w:p>
    <w:p w:rsidR="007617AD" w:rsidRDefault="00EE75C8">
      <w:pPr>
        <w:spacing w:after="71" w:line="259" w:lineRule="auto"/>
        <w:ind w:left="708" w:firstLine="0"/>
        <w:jc w:val="left"/>
      </w:pPr>
      <w:r>
        <w:t xml:space="preserve">  </w:t>
      </w:r>
    </w:p>
    <w:p w:rsidR="007617AD" w:rsidRDefault="00EE75C8">
      <w:pPr>
        <w:spacing w:after="463"/>
        <w:ind w:left="703" w:right="62"/>
      </w:pPr>
      <w:r>
        <w:t>Por lo que se refiere a las emisiones de CO2 en nuestro país, el transporte supera a la industria y a la generación de energía. Su contribución según datos de Greenpeace “aumenta un 3%, alejándonos del objetivo de las emisiones fijado e</w:t>
      </w:r>
      <w:r>
        <w:t xml:space="preserve">n el Acuerdo de París y agrava la actual emergencia climática. El transporte por carretera es el mayor emisor (72%) pero aumentan significativamente las emisiones del sector marítimo y aéreo…” </w:t>
      </w:r>
    </w:p>
    <w:p w:rsidR="007617AD" w:rsidRDefault="00EE75C8">
      <w:pPr>
        <w:spacing w:after="471" w:line="221" w:lineRule="auto"/>
        <w:ind w:left="699" w:right="44"/>
      </w:pPr>
      <w:r>
        <w:rPr>
          <w:color w:val="333333"/>
        </w:rPr>
        <w:t xml:space="preserve">La </w:t>
      </w:r>
      <w:r>
        <w:rPr>
          <w:color w:val="014A81"/>
          <w:u w:val="single" w:color="014A81"/>
        </w:rPr>
        <w:t>Guía práctica para la elaboración e implantación del Planes de Movilidad Urbana</w:t>
      </w:r>
      <w:r>
        <w:rPr>
          <w:color w:val="014A81"/>
        </w:rPr>
        <w:t xml:space="preserve"> </w:t>
      </w:r>
      <w:r>
        <w:rPr>
          <w:color w:val="014A81"/>
          <w:u w:val="single" w:color="014A81"/>
        </w:rPr>
        <w:t>Sostenible</w:t>
      </w:r>
      <w:r>
        <w:rPr>
          <w:color w:val="333333"/>
        </w:rPr>
        <w:t xml:space="preserve"> del Instituto para la Diversificación y Ahorro Energético (IDAE), define el PMUS como “un conjunto de actuaciones que tienen como objetivo implantar formas de despla</w:t>
      </w:r>
      <w:r>
        <w:rPr>
          <w:color w:val="333333"/>
        </w:rPr>
        <w:t>zamiento más sostenibles en el espacio urbano (caminar, pedalear o utilizar el transporte público) reduciendo el consumo energético y las emisiones contaminantes, logrando al mismo tiempo garantizar la calidad de vida de la ciudadanía, igualmente se contem</w:t>
      </w:r>
      <w:r>
        <w:rPr>
          <w:color w:val="333333"/>
        </w:rPr>
        <w:t>plan los objetivos de lograr la cohesión social y el desarrollo económico”</w:t>
      </w:r>
      <w:r>
        <w:rPr>
          <w:rFonts w:ascii="Times New Roman" w:eastAsia="Times New Roman" w:hAnsi="Times New Roman" w:cs="Times New Roman"/>
          <w:sz w:val="24"/>
        </w:rPr>
        <w:t xml:space="preserve"> </w:t>
      </w:r>
    </w:p>
    <w:p w:rsidR="007617AD" w:rsidRDefault="00EE75C8">
      <w:pPr>
        <w:spacing w:after="471" w:line="221" w:lineRule="auto"/>
        <w:ind w:left="699" w:right="44"/>
      </w:pPr>
      <w:r>
        <w:rPr>
          <w:color w:val="333333"/>
        </w:rPr>
        <w:t xml:space="preserve">Los PMUS son, por lo tanto, instrumentos de desarrollo urbano que coadyuvan e impulsan la planificación de la movilidad y la accesibilidad urbana y que requieren que las entidades </w:t>
      </w:r>
      <w:r>
        <w:rPr>
          <w:color w:val="333333"/>
        </w:rPr>
        <w:t xml:space="preserve">locales los acometan garantizando la participación ciudadana y la concienciación social, debiendo enmarcarse dentro de la estrategia de ciudad, esto es, dentro del Plan de Acción de la Agenda Urbana Local de Candelaria. </w:t>
      </w:r>
      <w:r>
        <w:rPr>
          <w:rFonts w:ascii="Times New Roman" w:eastAsia="Times New Roman" w:hAnsi="Times New Roman" w:cs="Times New Roman"/>
          <w:sz w:val="24"/>
        </w:rPr>
        <w:t xml:space="preserve"> </w:t>
      </w:r>
    </w:p>
    <w:p w:rsidR="007617AD" w:rsidRDefault="00EE75C8">
      <w:pPr>
        <w:spacing w:after="480"/>
        <w:ind w:left="703" w:right="62"/>
      </w:pPr>
      <w:r>
        <w:t xml:space="preserve">Candelaria contaba ya con un Plan </w:t>
      </w:r>
      <w:r>
        <w:t>Urbano de Movilidad Sostenible PMUS elaborado en el 2012, que dado el tiempo transcurrido, necesitaba ser revisado y adaptado a las exigencias del marco normativo, tanto europeo, nacional como autonómico, para ello se ha contratado una asistencia técnica e</w:t>
      </w:r>
      <w:r>
        <w:t>specializada externa, que ha actualizado y redactado el nuevo PMUS de Candelaria siguiendo la metodología de trabajo marcada en la Estrategia Española de Movilidad Sostenible y la Ley 2/2011, de 4 de marzo, de Economía Sostenible, con aplicación de las pau</w:t>
      </w:r>
      <w:r>
        <w:t xml:space="preserve">tas marcadas por la “Guía metodológica para la elaboración de PMUS para Municipios canarios” de 2018. </w:t>
      </w:r>
    </w:p>
    <w:p w:rsidR="007617AD" w:rsidRDefault="00EE75C8">
      <w:pPr>
        <w:spacing w:after="11"/>
        <w:ind w:left="703" w:right="62"/>
      </w:pPr>
      <w:r>
        <w:t xml:space="preserve">El documento del PMUS de Candelaria consta de tres fases.   </w:t>
      </w:r>
    </w:p>
    <w:p w:rsidR="007617AD" w:rsidRDefault="00EE75C8">
      <w:pPr>
        <w:spacing w:after="0" w:line="259" w:lineRule="auto"/>
        <w:ind w:left="704" w:right="8280" w:firstLine="0"/>
        <w:jc w:val="left"/>
      </w:pPr>
      <w:r>
        <w:t xml:space="preserve"> </w:t>
      </w:r>
    </w:p>
    <w:p w:rsidR="007617AD" w:rsidRDefault="00EE75C8">
      <w:pPr>
        <w:numPr>
          <w:ilvl w:val="0"/>
          <w:numId w:val="24"/>
        </w:numPr>
        <w:spacing w:after="90"/>
        <w:ind w:right="62" w:hanging="360"/>
      </w:pPr>
      <w:r>
        <w:t>Fase I   En la que se contextualiza el documento en el marco normativo actual, se expone l</w:t>
      </w:r>
      <w:r>
        <w:t xml:space="preserve">a metodología de trabajo, la estructura del documento, los objetivos perseguidos y se efectúa el análisis territorial, socioeconómico y de movilidad que se reflejan y sintetizan en el DAFO (análisis de debilidades, amenazas, fortalezas y oportunidades). </w:t>
      </w:r>
    </w:p>
    <w:p w:rsidR="007617AD" w:rsidRDefault="00EE75C8">
      <w:pPr>
        <w:numPr>
          <w:ilvl w:val="0"/>
          <w:numId w:val="24"/>
        </w:numPr>
        <w:spacing w:after="0"/>
        <w:ind w:right="62" w:hanging="360"/>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1620647</wp:posOffset>
                </wp:positionH>
                <wp:positionV relativeFrom="page">
                  <wp:posOffset>359664</wp:posOffset>
                </wp:positionV>
                <wp:extent cx="609600" cy="775360"/>
                <wp:effectExtent l="0" t="0" r="0" b="0"/>
                <wp:wrapTopAndBottom/>
                <wp:docPr id="261176" name="Group 261176"/>
                <wp:cNvGraphicFramePr/>
                <a:graphic xmlns:a="http://schemas.openxmlformats.org/drawingml/2006/main">
                  <a:graphicData uri="http://schemas.microsoft.com/office/word/2010/wordprocessingGroup">
                    <wpg:wgp>
                      <wpg:cNvGrpSpPr/>
                      <wpg:grpSpPr>
                        <a:xfrm>
                          <a:off x="0" y="0"/>
                          <a:ext cx="609600" cy="775360"/>
                          <a:chOff x="0" y="0"/>
                          <a:chExt cx="609600" cy="775360"/>
                        </a:xfrm>
                      </wpg:grpSpPr>
                      <wps:wsp>
                        <wps:cNvPr id="15390" name="Rectangle 15390"/>
                        <wps:cNvSpPr/>
                        <wps:spPr>
                          <a:xfrm>
                            <a:off x="529082" y="255879"/>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391" name="Rectangle 15391"/>
                        <wps:cNvSpPr/>
                        <wps:spPr>
                          <a:xfrm>
                            <a:off x="529082" y="431139"/>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392" name="Rectangle 15392"/>
                        <wps:cNvSpPr/>
                        <wps:spPr>
                          <a:xfrm>
                            <a:off x="529082" y="606653"/>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5471" name="Picture 15471"/>
                          <pic:cNvPicPr/>
                        </pic:nvPicPr>
                        <pic:blipFill>
                          <a:blip r:embed="rId10"/>
                          <a:stretch>
                            <a:fillRect/>
                          </a:stretch>
                        </pic:blipFill>
                        <pic:spPr>
                          <a:xfrm>
                            <a:off x="0" y="0"/>
                            <a:ext cx="609600" cy="696468"/>
                          </a:xfrm>
                          <a:prstGeom prst="rect">
                            <a:avLst/>
                          </a:prstGeom>
                        </pic:spPr>
                      </pic:pic>
                    </wpg:wgp>
                  </a:graphicData>
                </a:graphic>
              </wp:anchor>
            </w:drawing>
          </mc:Choice>
          <mc:Fallback xmlns:a="http://schemas.openxmlformats.org/drawingml/2006/main">
            <w:pict>
              <v:group id="Group 261176" style="width:48pt;height:61.052pt;position:absolute;mso-position-horizontal-relative:page;mso-position-horizontal:absolute;margin-left:127.61pt;mso-position-vertical-relative:page;margin-top:28.32pt;" coordsize="6096,7753">
                <v:rect id="Rectangle 15390" style="position:absolute;width:506;height:2243;left:5290;top:255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5391" style="position:absolute;width:506;height:2243;left:5290;top:431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5392" style="position:absolute;width:506;height:2243;left:5290;top:606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5471" style="position:absolute;width:6096;height:6964;left:0;top:0;" filled="f">
                  <v:imagedata r:id="rId1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1178" name="Group 26117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5474" name="Rectangle 1547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5475" name="Rectangle 15475"/>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63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1178" style="width:12.7031pt;height:280.02pt;position:absolute;mso-position-horizontal-relative:page;mso-position-horizontal:absolute;margin-left:682.278pt;mso-position-vertical-relative:page;margin-top:531.9pt;" coordsize="1613,35562">
                <v:rect id="Rectangle 1547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5475"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192 </w:t>
                        </w:r>
                      </w:p>
                    </w:txbxContent>
                  </v:textbox>
                </v:rect>
                <w10:wrap type="square"/>
              </v:group>
            </w:pict>
          </mc:Fallback>
        </mc:AlternateContent>
      </w:r>
      <w:r>
        <w:t xml:space="preserve">Fase II. Incluye: el Plan Sectoriales del Control y Ordenación de la Estructura de la Red Viaria, el Plan Sectorial de Gestión y Regulación del Estacionamiento, el Plan </w:t>
      </w:r>
    </w:p>
    <w:p w:rsidR="007617AD" w:rsidRDefault="00EE75C8">
      <w:pPr>
        <w:spacing w:after="0"/>
        <w:ind w:left="2223" w:right="62"/>
      </w:pPr>
      <w:r>
        <w:t>Sectorial de Potenciación del Transporte Público, el Plan Sectorial de Movilidad Peatonal, el Plan Sectorial de Movilidad Escolar, el Plan Sectorial de Movilidad Ciclista y VMP, el Plan Sectorial de Mejora de la Distribución de Mercancías, el Plan Sectoria</w:t>
      </w:r>
      <w:r>
        <w:t>l de Políticas Urbanísticas y Espacio Ciudadano, el Plan Sectorial de Calidad Ambiental y Ahorro Energético, el Plan de Accesibilidad Universal, el Plan Sectorial de Seguridad Vial, el Plan Sectorial de Buenas Prácticas de Movilidad, el Plan Sectorial de l</w:t>
      </w:r>
      <w:r>
        <w:t>a Oficina de la Movilidad, el Plan Sectorial de Movilidad Eléctrica, el Plan Sectorial de Smart Mobility, la evaluación ambiental y el Programa de Comunicación.</w:t>
      </w:r>
      <w:r>
        <w:rPr>
          <w:rFonts w:ascii="Times New Roman" w:eastAsia="Times New Roman" w:hAnsi="Times New Roman" w:cs="Times New Roman"/>
          <w:sz w:val="24"/>
        </w:rPr>
        <w:t xml:space="preserve"> </w:t>
      </w:r>
    </w:p>
    <w:p w:rsidR="007617AD" w:rsidRDefault="00EE75C8">
      <w:pPr>
        <w:spacing w:after="0" w:line="259" w:lineRule="auto"/>
        <w:ind w:left="1841" w:firstLine="0"/>
        <w:jc w:val="left"/>
      </w:pPr>
      <w:r>
        <w:t xml:space="preserve"> </w:t>
      </w:r>
    </w:p>
    <w:p w:rsidR="007617AD" w:rsidRDefault="00EE75C8">
      <w:pPr>
        <w:numPr>
          <w:ilvl w:val="0"/>
          <w:numId w:val="24"/>
        </w:numPr>
        <w:spacing w:after="475"/>
        <w:ind w:right="62" w:hanging="360"/>
      </w:pPr>
      <w:r>
        <w:t xml:space="preserve">Fase III. Plan de Participación y Comunicación </w:t>
      </w:r>
    </w:p>
    <w:p w:rsidR="007617AD" w:rsidRDefault="00EE75C8">
      <w:pPr>
        <w:spacing w:after="491"/>
        <w:ind w:left="703" w:right="62"/>
      </w:pPr>
      <w:r>
        <w:t xml:space="preserve">Por todo lo expuesto, esta Alcaldía propone </w:t>
      </w:r>
      <w:r>
        <w:t xml:space="preserve">al Pleno, previo dictamen de la Comisión informativa correspondiente, la adopción del siguiente acuerdo: </w:t>
      </w:r>
    </w:p>
    <w:p w:rsidR="007617AD" w:rsidRDefault="00EE75C8">
      <w:pPr>
        <w:spacing w:after="487"/>
        <w:ind w:left="703" w:right="62"/>
      </w:pPr>
      <w:r>
        <w:t xml:space="preserve">Primero. - La aprobación del Plan de Movilidad Urbana Sostenible (PMUS) de Candelaria, cuyo documento obra en el expediente” </w:t>
      </w:r>
    </w:p>
    <w:p w:rsidR="007617AD" w:rsidRDefault="00EE75C8">
      <w:pPr>
        <w:spacing w:after="818" w:line="252" w:lineRule="auto"/>
        <w:ind w:left="993" w:right="348"/>
        <w:jc w:val="center"/>
      </w:pPr>
      <w:r>
        <w:t>No obstante, el Pleno ac</w:t>
      </w:r>
      <w:r>
        <w:t>ordará lo más procedente.</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100" w:line="259" w:lineRule="auto"/>
        <w:ind w:left="708" w:firstLine="0"/>
        <w:jc w:val="left"/>
      </w:pPr>
      <w:r>
        <w:rPr>
          <w:b/>
        </w:rPr>
        <w:t xml:space="preserve"> </w:t>
      </w:r>
    </w:p>
    <w:p w:rsidR="007617AD" w:rsidRDefault="00EE75C8">
      <w:pPr>
        <w:spacing w:after="153"/>
        <w:ind w:left="703" w:right="58"/>
      </w:pPr>
      <w:r>
        <w:rPr>
          <w:b/>
        </w:rPr>
        <w:t>Consta en el expediente Informe emitido por el Técnico de Accesibilidad, Don Esteban Hernández Martín, de 21 de junio de 2022, del siguiente tenor literal:</w:t>
      </w:r>
      <w:r>
        <w:t xml:space="preserve"> </w:t>
      </w:r>
    </w:p>
    <w:p w:rsidR="007617AD" w:rsidRDefault="00EE75C8">
      <w:pPr>
        <w:spacing w:after="0"/>
        <w:ind w:left="703" w:right="62"/>
      </w:pPr>
      <w:r>
        <w:t xml:space="preserve"> </w:t>
      </w:r>
      <w:r>
        <w:t xml:space="preserve">“Visto el expediente antedicho, el personal laboral, Don Esteban Hernández Martin, que desempeña el puesto de trabajo de Técnico de Transporte y Accesibilidad, emite el siguiente informe: </w:t>
      </w:r>
    </w:p>
    <w:p w:rsidR="007617AD" w:rsidRDefault="00EE75C8">
      <w:pPr>
        <w:ind w:left="703" w:right="62"/>
      </w:pPr>
      <w:r>
        <w:t>Mediante Decreto nº 3727/2021 de 30 de diciembre de 2021, se aprobó</w:t>
      </w:r>
      <w:r>
        <w:t xml:space="preserve"> adjudicar a la empresa WAWA Consultores en Movilidad S.L., empresa especializada en gestión e implementación de proyectos para Canarias, el contrato de servicio de asistencia técnica para la actualización del Plan de Movilidad Urbana Sostenible (PMUS) del</w:t>
      </w:r>
      <w:r>
        <w:t xml:space="preserve"> municipio de Candelaria, al amparo de la convocatoria de subvenciones destinadas a la elaboración e implementación de los Planes de Movilidad Urbana Sostenible (PMUS) en los Ayuntamientos de Canarias con una población de hasta 100.000 habitantes (BOC núm.</w:t>
      </w:r>
      <w:r>
        <w:t xml:space="preserve"> 212 de 14.10.2021). </w:t>
      </w:r>
    </w:p>
    <w:p w:rsidR="007617AD" w:rsidRDefault="00EE75C8">
      <w:pPr>
        <w:spacing w:after="91" w:line="259" w:lineRule="auto"/>
        <w:ind w:left="704" w:firstLine="0"/>
        <w:jc w:val="left"/>
      </w:pPr>
      <w:r>
        <w:t xml:space="preserve"> </w:t>
      </w:r>
    </w:p>
    <w:p w:rsidR="007617AD" w:rsidRDefault="00EE75C8">
      <w:pPr>
        <w:spacing w:after="0"/>
        <w:ind w:left="703" w:right="62"/>
      </w:pPr>
      <w:r>
        <w:t xml:space="preserve">Dicho contrato se adjudica por un importe de 14.960,00 €, sin IGIC, con una duración para la elaboración del documento de 4 meses. </w:t>
      </w:r>
    </w:p>
    <w:p w:rsidR="007617AD" w:rsidRDefault="00EE75C8">
      <w:pPr>
        <w:spacing w:after="0" w:line="259" w:lineRule="auto"/>
        <w:ind w:left="704" w:firstLine="0"/>
        <w:jc w:val="left"/>
      </w:pPr>
      <w:r>
        <w:t xml:space="preserve"> </w:t>
      </w:r>
    </w:p>
    <w:p w:rsidR="007617AD" w:rsidRDefault="00EE75C8">
      <w:pPr>
        <w:spacing w:after="11"/>
        <w:ind w:left="703" w:right="62"/>
      </w:pPr>
      <w:r>
        <w:t xml:space="preserve">Don Fernando Davara Méndez, con DNI ***0142**, en representación de la empresa  </w:t>
      </w:r>
    </w:p>
    <w:p w:rsidR="007617AD" w:rsidRDefault="00EE75C8">
      <w:pPr>
        <w:spacing w:after="0"/>
        <w:ind w:left="703" w:right="62"/>
      </w:pPr>
      <w:r>
        <w:t xml:space="preserve">WAWA Consultores </w:t>
      </w:r>
      <w:r>
        <w:t xml:space="preserve">en Movilidad S.L., realiza registro del documento PMUS CANDELARIA 2022 a través de la sede electrónica de este Ayuntamiento en tiempo y forma. </w:t>
      </w:r>
    </w:p>
    <w:p w:rsidR="007617AD" w:rsidRDefault="00EE75C8">
      <w:pPr>
        <w:spacing w:after="628"/>
        <w:ind w:left="703" w:right="62"/>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1463" name="Group 261463"/>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5568" name="Rectangle 1556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5569" name="Rectangle 15569"/>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64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1463" style="width:12.7031pt;height:280.02pt;position:absolute;mso-position-horizontal-relative:page;mso-position-horizontal:absolute;margin-left:682.278pt;mso-position-vertical-relative:page;margin-top:531.9pt;" coordsize="1613,35562">
                <v:rect id="Rectangle 1556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5569"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192 </w:t>
                        </w:r>
                      </w:p>
                    </w:txbxContent>
                  </v:textbox>
                </v:rect>
                <w10:wrap type="square"/>
              </v:group>
            </w:pict>
          </mc:Fallback>
        </mc:AlternateContent>
      </w:r>
      <w:r>
        <w:t>Revisado el documento, se comprueba que contiene todos los planes sectoriales, indicadores de evolución, análisis y diagnóstico, información, gráficos y tablas so</w:t>
      </w:r>
      <w:r>
        <w:t xml:space="preserve">licitadas en la en la </w:t>
      </w:r>
      <w:r>
        <w:rPr>
          <w:i/>
        </w:rPr>
        <w:t>Guía Metodológica de Elaboración del PMUS del Gobierno de Canarias</w:t>
      </w:r>
      <w:r>
        <w:t>, justificando de forma gráfica y con documentación los compromisos que figuraban en la Memoria Técnica y Económica entregada para la solicitud de subvención.</w:t>
      </w:r>
      <w:r>
        <w:rPr>
          <w:rFonts w:ascii="Times New Roman" w:eastAsia="Times New Roman" w:hAnsi="Times New Roman" w:cs="Times New Roman"/>
          <w:sz w:val="24"/>
        </w:rPr>
        <w:t xml:space="preserve"> </w:t>
      </w:r>
    </w:p>
    <w:p w:rsidR="007617AD" w:rsidRDefault="00EE75C8">
      <w:pPr>
        <w:spacing w:after="11"/>
        <w:ind w:left="703" w:right="62"/>
      </w:pPr>
      <w:r>
        <w:t>Es cuant</w:t>
      </w:r>
      <w:r>
        <w:t>o se tiene que informar al respecto para los efectos que se estimen oportunos.”</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ind w:left="703" w:right="58"/>
      </w:pPr>
      <w:r>
        <w:rPr>
          <w:b/>
        </w:rPr>
        <w:t>Consta en el expediente Informe Jurídico emitido por Doña Rosa Edelmira González Sabina, que desempeña el puesto de Jurista, de 22 de junio de 2022, debidamente conforma</w:t>
      </w:r>
      <w:r>
        <w:rPr>
          <w:b/>
        </w:rPr>
        <w:t>do por Dña. María del Pilar Chico Delgado, Técnica de Administración General, del 22 de junio de 2022, del siguiente tenor literal:</w:t>
      </w:r>
      <w:r>
        <w:t xml:space="preserve"> </w:t>
      </w:r>
    </w:p>
    <w:p w:rsidR="007617AD" w:rsidRDefault="00EE75C8">
      <w:pPr>
        <w:spacing w:after="98" w:line="259" w:lineRule="auto"/>
        <w:ind w:left="708" w:firstLine="0"/>
        <w:jc w:val="left"/>
      </w:pPr>
      <w:r>
        <w:rPr>
          <w:b/>
        </w:rPr>
        <w:t xml:space="preserve"> </w:t>
      </w:r>
    </w:p>
    <w:p w:rsidR="007617AD" w:rsidRDefault="00EE75C8">
      <w:pPr>
        <w:spacing w:after="136" w:line="259" w:lineRule="auto"/>
        <w:ind w:left="699" w:firstLine="0"/>
        <w:jc w:val="center"/>
      </w:pPr>
      <w:r>
        <w:rPr>
          <w:b/>
        </w:rPr>
        <w:t xml:space="preserve"> </w:t>
      </w:r>
    </w:p>
    <w:p w:rsidR="007617AD" w:rsidRDefault="00EE75C8">
      <w:pPr>
        <w:pStyle w:val="Ttulo2"/>
        <w:spacing w:after="426" w:line="265" w:lineRule="auto"/>
        <w:ind w:left="905" w:right="254"/>
        <w:jc w:val="center"/>
      </w:pPr>
      <w:r>
        <w:rPr>
          <w:rFonts w:ascii="Arial" w:eastAsia="Arial" w:hAnsi="Arial" w:cs="Arial"/>
          <w:sz w:val="22"/>
          <w:u w:val="none"/>
        </w:rPr>
        <w:t xml:space="preserve">“INFORME   JURÍDICO </w:t>
      </w:r>
    </w:p>
    <w:p w:rsidR="007617AD" w:rsidRDefault="00EE75C8">
      <w:pPr>
        <w:spacing w:after="4"/>
        <w:ind w:left="714"/>
        <w:jc w:val="left"/>
      </w:pPr>
      <w:r>
        <w:rPr>
          <w:b/>
        </w:rPr>
        <w:t>Visto el expediente referenciado, Doña Rosa Edelmira González Sabina, Técnica jurista, debidamente</w:t>
      </w:r>
      <w:r>
        <w:rPr>
          <w:b/>
        </w:rPr>
        <w:t xml:space="preserve"> conformado por Dña. María del Pilar chico Delgado, Técnica de Administración General, emite el siguiente informe: </w:t>
      </w:r>
    </w:p>
    <w:p w:rsidR="007617AD" w:rsidRDefault="00EE75C8">
      <w:pPr>
        <w:spacing w:after="451" w:line="259" w:lineRule="auto"/>
        <w:ind w:left="704" w:firstLine="0"/>
        <w:jc w:val="left"/>
      </w:pPr>
      <w:r>
        <w:t xml:space="preserve"> </w:t>
      </w:r>
    </w:p>
    <w:p w:rsidR="007617AD" w:rsidRDefault="00EE75C8">
      <w:pPr>
        <w:pStyle w:val="Ttulo2"/>
        <w:spacing w:after="0" w:line="265" w:lineRule="auto"/>
        <w:ind w:left="905" w:right="255"/>
        <w:jc w:val="center"/>
      </w:pPr>
      <w:r>
        <w:rPr>
          <w:rFonts w:ascii="Arial" w:eastAsia="Arial" w:hAnsi="Arial" w:cs="Arial"/>
          <w:sz w:val="22"/>
          <w:u w:val="none"/>
        </w:rPr>
        <w:t xml:space="preserve">Antecedentes de hecho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p w:rsidR="007617AD" w:rsidRDefault="00EE75C8">
      <w:pPr>
        <w:spacing w:after="0"/>
        <w:ind w:left="703" w:right="62"/>
      </w:pPr>
      <w:r>
        <w:t xml:space="preserve">Primero: Visto el Plan Urbano de Movilidad Sostenible, PMUS elaborado en el 2012 y la necesidad de adaptarlo a la normativa actual. </w:t>
      </w:r>
    </w:p>
    <w:p w:rsidR="007617AD" w:rsidRDefault="00EE75C8">
      <w:pPr>
        <w:spacing w:after="0" w:line="259" w:lineRule="auto"/>
        <w:ind w:left="704" w:firstLine="0"/>
        <w:jc w:val="left"/>
      </w:pPr>
      <w:r>
        <w:t xml:space="preserve"> </w:t>
      </w:r>
    </w:p>
    <w:p w:rsidR="007617AD" w:rsidRDefault="00EE75C8">
      <w:pPr>
        <w:spacing w:after="0"/>
        <w:ind w:left="703" w:right="62"/>
      </w:pPr>
      <w:r>
        <w:t>Segundo: Vista la propuesta de la Alcaldesa Presidenta, de fecha 20 de junio de 2022, relativa a la aprobación del Plan d</w:t>
      </w:r>
      <w:r>
        <w:t>e Movilidad Urbana Sostenible (PMUS) de Candelaria, actualizado y redactado siguiendo la metodología de trabajo marcada en la Estrategia Española de Movilidad Segura, Sostenible y Conectada 2030 y la Ley 2/2011, de 4 de marzo, de Economía Sostenible, con a</w:t>
      </w:r>
      <w:r>
        <w:t xml:space="preserve">plicación de las pautas marcadas por la “Guía metodológica para la elaboración de PMUS para Municipios canarios” de 2018. </w:t>
      </w:r>
    </w:p>
    <w:p w:rsidR="007617AD" w:rsidRDefault="00EE75C8">
      <w:pPr>
        <w:spacing w:after="0" w:line="259" w:lineRule="auto"/>
        <w:ind w:left="704" w:firstLine="0"/>
        <w:jc w:val="left"/>
      </w:pPr>
      <w:r>
        <w:t xml:space="preserve"> </w:t>
      </w:r>
    </w:p>
    <w:p w:rsidR="007617AD" w:rsidRDefault="00EE75C8">
      <w:pPr>
        <w:spacing w:after="0"/>
        <w:ind w:left="703" w:right="62"/>
      </w:pPr>
      <w:r>
        <w:t>Tercero: Visto que el Plan de movilidad urbana sostenible de Candelaria es un conjunto de actuaciones que tienen como objetivo la i</w:t>
      </w:r>
      <w:r>
        <w:t>mplantación de formas de desplazamiento más sostenibles en el municipio, priorizando la reducción del transporte individual en beneficio de los sistemas colectivos y de otros modos no motorizados de transportes y desarrollando aquéllos que hagan compatible</w:t>
      </w:r>
      <w:r>
        <w:t xml:space="preserve">s crecimiento económico, cohesión social, seguridad vial y defensa del medio ambiente, garantizando, de esta forma, una mejor calidad de vida para los ciudadanos. Este plan contempla iniciativas que permitirán reducir eficazmente el impacto medioambiental </w:t>
      </w:r>
      <w:r>
        <w:t xml:space="preserve">de la movilidad. </w:t>
      </w:r>
    </w:p>
    <w:p w:rsidR="007617AD" w:rsidRDefault="00EE75C8">
      <w:pPr>
        <w:spacing w:after="0" w:line="259" w:lineRule="auto"/>
        <w:ind w:left="704" w:firstLine="0"/>
        <w:jc w:val="left"/>
      </w:pPr>
      <w:r>
        <w:t xml:space="preserve"> </w:t>
      </w:r>
    </w:p>
    <w:p w:rsidR="007617AD" w:rsidRDefault="00EE75C8">
      <w:pPr>
        <w:spacing w:after="0"/>
        <w:ind w:left="703" w:right="62"/>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1512" name="Group 26151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5671" name="Rectangle 1567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5672" name="Rectangle 15672"/>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65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1512" style="width:12.7031pt;height:280.02pt;position:absolute;mso-position-horizontal-relative:page;mso-position-horizontal:absolute;margin-left:682.278pt;mso-position-vertical-relative:page;margin-top:531.9pt;" coordsize="1613,35562">
                <v:rect id="Rectangle 1567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5672"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192 </w:t>
                        </w:r>
                      </w:p>
                    </w:txbxContent>
                  </v:textbox>
                </v:rect>
                <w10:wrap type="square"/>
              </v:group>
            </w:pict>
          </mc:Fallback>
        </mc:AlternateContent>
      </w:r>
      <w:r>
        <w:t>Cuarto: Visto informe de fecha 21 de ju</w:t>
      </w:r>
      <w:r>
        <w:t xml:space="preserve">nio de 2022, del Técnico de Transporte y Accesibilidad, emitido en atención a la propuesta de Alcaldía en la que se solicita la aprobación del Plan de Movilidad Urbana Sostenible (PMUS) de Candelaria. </w:t>
      </w:r>
    </w:p>
    <w:p w:rsidR="007617AD" w:rsidRDefault="00EE75C8">
      <w:pPr>
        <w:spacing w:after="0" w:line="259" w:lineRule="auto"/>
        <w:ind w:left="704" w:firstLine="0"/>
        <w:jc w:val="left"/>
      </w:pPr>
      <w:r>
        <w:t xml:space="preserve"> </w:t>
      </w:r>
    </w:p>
    <w:p w:rsidR="007617AD" w:rsidRDefault="00EE75C8">
      <w:pPr>
        <w:spacing w:after="0"/>
        <w:ind w:left="703" w:right="62"/>
      </w:pPr>
      <w:r>
        <w:t xml:space="preserve">Quinto: Obra en el expediente documento del Plan de </w:t>
      </w:r>
      <w:r>
        <w:t xml:space="preserve">Movilidad Urbana Sostenible (PMUS) de Candelaria, de fecha 13 de mayo de 2022, para su aprobación. </w:t>
      </w:r>
    </w:p>
    <w:p w:rsidR="007617AD" w:rsidRDefault="00EE75C8">
      <w:pPr>
        <w:spacing w:after="0" w:line="259" w:lineRule="auto"/>
        <w:ind w:left="704" w:firstLine="0"/>
        <w:jc w:val="left"/>
      </w:pPr>
      <w:r>
        <w:t xml:space="preserve"> </w:t>
      </w:r>
    </w:p>
    <w:p w:rsidR="007617AD" w:rsidRDefault="00EE75C8">
      <w:pPr>
        <w:spacing w:after="0" w:line="259" w:lineRule="auto"/>
        <w:ind w:left="704" w:firstLine="0"/>
        <w:jc w:val="left"/>
      </w:pPr>
      <w:r>
        <w:t xml:space="preserve"> </w:t>
      </w:r>
    </w:p>
    <w:p w:rsidR="007617AD" w:rsidRDefault="00EE75C8">
      <w:pPr>
        <w:spacing w:after="95" w:line="265" w:lineRule="auto"/>
        <w:ind w:left="1278"/>
        <w:jc w:val="center"/>
      </w:pPr>
      <w:r>
        <w:rPr>
          <w:b/>
        </w:rPr>
        <w:t xml:space="preserve">Fundamentos Jurídicos </w:t>
      </w:r>
      <w:r>
        <w:t xml:space="preserve">PRIMERO: </w:t>
      </w:r>
    </w:p>
    <w:p w:rsidR="007617AD" w:rsidRDefault="00EE75C8">
      <w:pPr>
        <w:spacing w:after="56"/>
        <w:ind w:left="703" w:right="62"/>
      </w:pPr>
      <w:r>
        <w:t>Resulta de aplicación la siguiente legislación:</w:t>
      </w:r>
      <w:r>
        <w:rPr>
          <w:rFonts w:ascii="Times New Roman" w:eastAsia="Times New Roman" w:hAnsi="Times New Roman" w:cs="Times New Roman"/>
          <w:sz w:val="24"/>
        </w:rPr>
        <w:t xml:space="preserve"> </w:t>
      </w:r>
    </w:p>
    <w:p w:rsidR="007617AD" w:rsidRDefault="00EE75C8">
      <w:pPr>
        <w:numPr>
          <w:ilvl w:val="0"/>
          <w:numId w:val="25"/>
        </w:numPr>
        <w:spacing w:after="11"/>
        <w:ind w:left="1048" w:right="62" w:hanging="355"/>
      </w:pPr>
      <w:r>
        <w:t xml:space="preserve">Ley 7/1985, de 2 abril, de Bases de Régimen Local.  </w:t>
      </w:r>
    </w:p>
    <w:p w:rsidR="007617AD" w:rsidRDefault="00EE75C8">
      <w:pPr>
        <w:numPr>
          <w:ilvl w:val="0"/>
          <w:numId w:val="25"/>
        </w:numPr>
        <w:spacing w:after="84"/>
        <w:ind w:left="1048" w:right="62" w:hanging="355"/>
      </w:pPr>
      <w:r>
        <w:t xml:space="preserve">Ley 7/2015, de 1 de abril, de los municipios de Canarias. </w:t>
      </w:r>
      <w:r>
        <w:rPr>
          <w:rFonts w:ascii="Calibri" w:eastAsia="Calibri" w:hAnsi="Calibri" w:cs="Calibri"/>
        </w:rPr>
        <w:t>-</w:t>
      </w:r>
      <w:r>
        <w:t xml:space="preserve"> </w:t>
      </w:r>
      <w:r>
        <w:tab/>
        <w:t>Ley 2/2011, de 4 de marzo, de Economía Sostenible.</w:t>
      </w:r>
      <w:r>
        <w:rPr>
          <w:rFonts w:ascii="Times New Roman" w:eastAsia="Times New Roman" w:hAnsi="Times New Roman" w:cs="Times New Roman"/>
          <w:sz w:val="24"/>
        </w:rPr>
        <w:t xml:space="preserve"> </w:t>
      </w:r>
    </w:p>
    <w:p w:rsidR="007617AD" w:rsidRDefault="00EE75C8">
      <w:pPr>
        <w:numPr>
          <w:ilvl w:val="0"/>
          <w:numId w:val="25"/>
        </w:numPr>
        <w:spacing w:after="238"/>
        <w:ind w:left="1048" w:right="62" w:hanging="355"/>
      </w:pPr>
      <w:r>
        <w:t xml:space="preserve">Ley 39/2015, de 1 de octubre del Procedimiento Administrativo Común de las Administraciones Públicas. </w:t>
      </w:r>
    </w:p>
    <w:p w:rsidR="007617AD" w:rsidRDefault="00EE75C8">
      <w:pPr>
        <w:spacing w:after="0"/>
        <w:ind w:left="703" w:right="62"/>
      </w:pPr>
      <w:r>
        <w:t>SEGUNDO: El art. 25 de la LBRL, atribuye</w:t>
      </w:r>
      <w:r>
        <w:t xml:space="preserve"> al municipio que para la gestión de sus intereses y en el ámbito de sus competencias, pueda promover actividades y prestar los servicios públicos que contribuyan a satisfacer las necesidades y aspiraciones de la comunidad vecinal y atendiendo a lo dispues</w:t>
      </w:r>
      <w:r>
        <w:t xml:space="preserve">to en el citado artículo apartado 2 g) El Municipio ejercerá en todo caso como competencia propia en materia de tráfico, estacionamiento de vehículos y movilidad, transporte colectivo urbano. </w:t>
      </w:r>
    </w:p>
    <w:p w:rsidR="007617AD" w:rsidRDefault="00EE75C8">
      <w:pPr>
        <w:spacing w:after="0" w:line="259" w:lineRule="auto"/>
        <w:ind w:left="704" w:firstLine="0"/>
        <w:jc w:val="left"/>
      </w:pPr>
      <w:r>
        <w:t xml:space="preserve"> </w:t>
      </w:r>
    </w:p>
    <w:p w:rsidR="007617AD" w:rsidRDefault="00EE75C8">
      <w:pPr>
        <w:spacing w:after="0"/>
        <w:ind w:left="703" w:right="62"/>
      </w:pPr>
      <w:r>
        <w:t>TERCERO: El art. 101 de la LES define los planes de movilidad</w:t>
      </w:r>
      <w:r>
        <w:t xml:space="preserve"> sostenible como un conjunto de actuaciones que tienen como objetivo la implantación de formas de desplazamiento más sostenibles en el ámbito geográfico que corresponda, priorizando la reducción del transporte individual en beneficio de los sistemas colect</w:t>
      </w:r>
      <w:r>
        <w:t>ivos y de otros modos no motorizados de transportes y desarrollando aquéllos que hagan compatibles crecimiento económico, cohesión social, seguridad vial y defensa del medio ambiente, garantizando, de esta forma, una mejor calidad de vida para los ciudadan</w:t>
      </w:r>
      <w:r>
        <w:t xml:space="preserve">os. Estos planes deberán dar cabida a soluciones e iniciativas novedosas, que reduzcan eficazmente el impacto medioambiental de la movilidad, al menor coste posible. </w:t>
      </w:r>
    </w:p>
    <w:p w:rsidR="007617AD" w:rsidRDefault="00EE75C8">
      <w:pPr>
        <w:spacing w:after="0" w:line="259" w:lineRule="auto"/>
        <w:ind w:left="704" w:firstLine="0"/>
        <w:jc w:val="left"/>
      </w:pPr>
      <w:r>
        <w:t xml:space="preserve"> </w:t>
      </w:r>
    </w:p>
    <w:p w:rsidR="007617AD" w:rsidRDefault="00EE75C8">
      <w:pPr>
        <w:spacing w:after="0"/>
        <w:ind w:left="703" w:right="62"/>
      </w:pPr>
      <w:r>
        <w:t xml:space="preserve">CUARTO: Considerando lo dispuesto en el art. 102 de la LES, relativo al fomento de los </w:t>
      </w:r>
      <w:r>
        <w:t xml:space="preserve">Planes de Movilidad Sostenible “ A partir del 1 de enero de 2014, la concesión de cualquier ayuda o subvención a las Administraciones autonómicas o Entidades locales incluida en la Ley de Presupuestos Generales del Estado y destinada al transporte público </w:t>
      </w:r>
      <w:r>
        <w:t xml:space="preserve">urbano o metropolitano, se condicionará a que la entidad beneficiaria disponga del correspondiente Plan de Movilidad Sostenible, y a su coherencia con la Estrategia Española de Movilidad Sostenible. </w:t>
      </w:r>
    </w:p>
    <w:p w:rsidR="007617AD" w:rsidRDefault="00EE75C8">
      <w:pPr>
        <w:spacing w:after="0" w:line="259" w:lineRule="auto"/>
        <w:ind w:left="704" w:firstLine="0"/>
        <w:jc w:val="left"/>
      </w:pPr>
      <w:r>
        <w:t xml:space="preserve"> </w:t>
      </w:r>
    </w:p>
    <w:p w:rsidR="007617AD" w:rsidRDefault="00EE75C8">
      <w:pPr>
        <w:spacing w:after="0"/>
        <w:ind w:left="703" w:right="62"/>
      </w:pPr>
      <w:r>
        <w:t>QUINTO: En cuanto al procedimiento para la elaboración</w:t>
      </w:r>
      <w:r>
        <w:t xml:space="preserve"> y revisión del Plan de Movilidad Urbana Sostenible, el art. 101.5 LES establece una exigencia de garantía de participación pública según lo previsto en la</w:t>
      </w:r>
      <w:r>
        <w:rPr>
          <w:u w:val="single" w:color="000000"/>
        </w:rPr>
        <w:t xml:space="preserve"> Ley 27/2006, de 18 de julio</w:t>
      </w:r>
      <w:r>
        <w:t>, que regula los derechos de acceso a la información, de participación pú</w:t>
      </w:r>
      <w:r>
        <w:t>blica y de acceso a la justicia en materia de medio ambiente.</w:t>
      </w:r>
      <w:r>
        <w:rPr>
          <w:rFonts w:ascii="Times New Roman" w:eastAsia="Times New Roman" w:hAnsi="Times New Roman" w:cs="Times New Roman"/>
          <w:sz w:val="24"/>
        </w:rPr>
        <w:t xml:space="preserve"> </w:t>
      </w:r>
    </w:p>
    <w:p w:rsidR="007617AD" w:rsidRDefault="00EE75C8">
      <w:pPr>
        <w:spacing w:after="0" w:line="259" w:lineRule="auto"/>
        <w:ind w:left="704" w:firstLine="0"/>
        <w:jc w:val="left"/>
      </w:pPr>
      <w:r>
        <w:t xml:space="preserve"> </w:t>
      </w:r>
    </w:p>
    <w:p w:rsidR="007617AD" w:rsidRDefault="00EE75C8">
      <w:pPr>
        <w:spacing w:after="486"/>
        <w:ind w:left="703" w:right="62"/>
      </w:pPr>
      <w:r>
        <w:t xml:space="preserve">SEXTO: La normativa estatal no establece ningún procedimiento específico para la aprobación de estos planes. </w:t>
      </w:r>
    </w:p>
    <w:p w:rsidR="007617AD" w:rsidRDefault="00EE75C8">
      <w:pPr>
        <w:spacing w:after="471"/>
        <w:ind w:left="703" w:right="62"/>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1795" name="Group 261795"/>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5758" name="Rectangle 1575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5759" name="Rectangle 15759"/>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66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1795" style="width:12.7031pt;height:280.02pt;position:absolute;mso-position-horizontal-relative:page;mso-position-horizontal:absolute;margin-left:682.278pt;mso-position-vertical-relative:page;margin-top:531.9pt;" coordsize="1613,35562">
                <v:rect id="Rectangle 1575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5759"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192 </w:t>
                        </w:r>
                      </w:p>
                    </w:txbxContent>
                  </v:textbox>
                </v:rect>
                <w10:wrap type="square"/>
              </v:group>
            </w:pict>
          </mc:Fallback>
        </mc:AlternateContent>
      </w:r>
      <w:r>
        <w:t xml:space="preserve">En base a los antecedentes y fundamentos de derecho expuestos </w:t>
      </w:r>
      <w:r>
        <w:t xml:space="preserve">se formula la siguiente, </w:t>
      </w:r>
    </w:p>
    <w:p w:rsidR="007617AD" w:rsidRDefault="00EE75C8">
      <w:pPr>
        <w:spacing w:after="11"/>
        <w:ind w:left="703" w:right="58"/>
      </w:pPr>
      <w:r>
        <w:rPr>
          <w:b/>
        </w:rPr>
        <w:t xml:space="preserve">Propuesta de Resolución </w:t>
      </w:r>
    </w:p>
    <w:p w:rsidR="007617AD" w:rsidRDefault="00EE75C8">
      <w:pPr>
        <w:spacing w:after="0"/>
        <w:ind w:left="703" w:right="62"/>
      </w:pPr>
      <w:r>
        <w:t xml:space="preserve">Primero: Aprobar por el Pleno Municipal, el Plan de Movilidad Urbana Sostenible del municipio de Candelaria de mayo de 2022, que obra en el presente expediente. </w:t>
      </w:r>
    </w:p>
    <w:p w:rsidR="007617AD" w:rsidRDefault="00EE75C8">
      <w:pPr>
        <w:spacing w:after="0" w:line="259" w:lineRule="auto"/>
        <w:ind w:left="704" w:firstLine="0"/>
        <w:jc w:val="left"/>
      </w:pPr>
      <w:r>
        <w:t xml:space="preserve">  </w:t>
      </w:r>
    </w:p>
    <w:p w:rsidR="007617AD" w:rsidRDefault="00EE75C8">
      <w:pPr>
        <w:spacing w:after="0"/>
        <w:ind w:left="703" w:right="62"/>
      </w:pPr>
      <w:r>
        <w:t>Segundo: Publicar el Plan de Movilidad U</w:t>
      </w:r>
      <w:r>
        <w:t xml:space="preserve">rbana Sostenible del municipio de Candelaria en el BOP y en la sede electrónica municipal. </w:t>
      </w:r>
    </w:p>
    <w:p w:rsidR="007617AD" w:rsidRDefault="00EE75C8">
      <w:pPr>
        <w:spacing w:after="0" w:line="259" w:lineRule="auto"/>
        <w:ind w:left="704" w:firstLine="0"/>
        <w:jc w:val="left"/>
      </w:pPr>
      <w:r>
        <w:t xml:space="preserve"> </w:t>
      </w:r>
    </w:p>
    <w:p w:rsidR="007617AD" w:rsidRDefault="00EE75C8">
      <w:pPr>
        <w:spacing w:after="27"/>
        <w:ind w:left="703" w:right="62"/>
      </w:pPr>
      <w:r>
        <w:t xml:space="preserve">Tercero: Dar traslado del acuerdo que se adopte a la Concejalía de agenda Urbana y Planificación y Gestión Ambiental.” </w:t>
      </w:r>
    </w:p>
    <w:p w:rsidR="007617AD" w:rsidRDefault="00EE75C8">
      <w:pPr>
        <w:spacing w:after="0" w:line="259" w:lineRule="auto"/>
        <w:ind w:left="704" w:firstLine="0"/>
        <w:jc w:val="left"/>
      </w:pPr>
      <w:r>
        <w:t xml:space="preserve"> </w:t>
      </w:r>
    </w:p>
    <w:p w:rsidR="007617AD" w:rsidRDefault="00EE75C8">
      <w:pPr>
        <w:spacing w:after="479" w:line="252" w:lineRule="auto"/>
        <w:ind w:left="993" w:right="348"/>
        <w:jc w:val="center"/>
      </w:pPr>
      <w:r>
        <w:t>No obstante, el Pleno acordará lo más pr</w:t>
      </w:r>
      <w:r>
        <w:t xml:space="preserve">ocedente. </w:t>
      </w:r>
    </w:p>
    <w:p w:rsidR="007617AD" w:rsidRDefault="00EE75C8">
      <w:pPr>
        <w:spacing w:after="491"/>
        <w:ind w:left="1695" w:right="58" w:hanging="502"/>
      </w:pPr>
      <w:r>
        <w:rPr>
          <w:b/>
        </w:rPr>
        <w:t xml:space="preserve">DICTAMEN FAVORABLE DE LA COMISIÓN INFORMATIVA DE P.G. URBANÍSTICA Y AMBIENTAL, OBRAS y SERVICIOS PÚBLICOS DE 27 DE JUNIO DE 2022. </w:t>
      </w:r>
    </w:p>
    <w:p w:rsidR="007617AD" w:rsidRDefault="00EE75C8">
      <w:pPr>
        <w:spacing w:after="486"/>
        <w:ind w:left="703" w:right="62"/>
      </w:pPr>
      <w:r>
        <w:t xml:space="preserve">Votos a favor: 4  </w:t>
      </w:r>
    </w:p>
    <w:p w:rsidR="007617AD" w:rsidRDefault="00EE75C8">
      <w:pPr>
        <w:spacing w:after="11"/>
        <w:ind w:left="703" w:right="62"/>
      </w:pPr>
      <w:r>
        <w:t xml:space="preserve">Los 4 concejales del Grupo Socialista: Don Reinaldo José Triviño Blanco, Don Jorge Baute Delgado, </w:t>
      </w:r>
    </w:p>
    <w:p w:rsidR="007617AD" w:rsidRDefault="00EE75C8">
      <w:pPr>
        <w:ind w:left="703" w:right="62"/>
      </w:pPr>
      <w:r>
        <w:t xml:space="preserve">Doña Hilaria Cecilia Otazo González y Don José Francisco Pinto Ramos </w:t>
      </w:r>
    </w:p>
    <w:p w:rsidR="007617AD" w:rsidRDefault="00EE75C8">
      <w:pPr>
        <w:spacing w:after="486"/>
        <w:ind w:left="703" w:right="62"/>
      </w:pPr>
      <w:r>
        <w:t xml:space="preserve">Votos en contra: 0. </w:t>
      </w:r>
    </w:p>
    <w:p w:rsidR="007617AD" w:rsidRDefault="00EE75C8">
      <w:pPr>
        <w:spacing w:after="486"/>
        <w:ind w:left="703" w:right="62"/>
      </w:pPr>
      <w:r>
        <w:t xml:space="preserve">Abstenciones: 2.  </w:t>
      </w:r>
    </w:p>
    <w:p w:rsidR="007617AD" w:rsidRDefault="00EE75C8">
      <w:pPr>
        <w:spacing w:after="486"/>
        <w:ind w:left="703" w:right="62"/>
      </w:pPr>
      <w:r>
        <w:t>Las dos concejales del Grupo Mixto: Doña Ángela</w:t>
      </w:r>
      <w:r>
        <w:t xml:space="preserve"> Cruz Perera (CC-PNC)  y Doña Lourdes del Carmen Mondéjar Rondón (SSP). </w:t>
      </w:r>
    </w:p>
    <w:p w:rsidR="007617AD" w:rsidRDefault="00EE75C8">
      <w:pPr>
        <w:spacing w:after="0" w:line="259" w:lineRule="auto"/>
        <w:ind w:left="708" w:firstLine="0"/>
        <w:jc w:val="left"/>
      </w:pPr>
      <w:r>
        <w:rPr>
          <w:b/>
        </w:rPr>
        <w:t xml:space="preserve"> </w:t>
      </w:r>
    </w:p>
    <w:p w:rsidR="007617AD" w:rsidRDefault="00EE75C8">
      <w:pPr>
        <w:spacing w:after="11"/>
        <w:ind w:left="703" w:right="58"/>
      </w:pPr>
      <w:r>
        <w:rPr>
          <w:b/>
        </w:rPr>
        <w:t xml:space="preserve">JUNTA DE PORTAVOCES DE 27 DE JUNIO DE 2022.  </w:t>
      </w:r>
    </w:p>
    <w:p w:rsidR="007617AD" w:rsidRDefault="00EE75C8">
      <w:pPr>
        <w:spacing w:after="11"/>
        <w:ind w:left="703" w:right="62"/>
      </w:pPr>
      <w:r>
        <w:t xml:space="preserve">Quedó oída.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11"/>
        <w:ind w:left="2137" w:right="58"/>
      </w:pPr>
      <w:r>
        <w:rPr>
          <w:b/>
        </w:rPr>
        <w:t xml:space="preserve">VOTACIÓN EN EL PLENO DE 30 DE JUNIO DE 2022. </w:t>
      </w:r>
    </w:p>
    <w:p w:rsidR="007617AD" w:rsidRDefault="00EE75C8">
      <w:pPr>
        <w:spacing w:after="0" w:line="259" w:lineRule="auto"/>
        <w:ind w:left="2127" w:firstLine="0"/>
        <w:jc w:val="left"/>
      </w:pPr>
      <w:r>
        <w:rPr>
          <w:b/>
        </w:rPr>
        <w:t xml:space="preserve"> </w:t>
      </w:r>
    </w:p>
    <w:p w:rsidR="007617AD" w:rsidRDefault="00EE75C8">
      <w:pPr>
        <w:spacing w:after="11"/>
        <w:ind w:left="703" w:right="62"/>
      </w:pPr>
      <w:r>
        <w:t xml:space="preserve">Votos a favor: 12. </w:t>
      </w:r>
    </w:p>
    <w:p w:rsidR="007617AD" w:rsidRDefault="00EE75C8">
      <w:pPr>
        <w:spacing w:after="0" w:line="259" w:lineRule="auto"/>
        <w:ind w:left="708" w:firstLine="0"/>
        <w:jc w:val="left"/>
      </w:pPr>
      <w:r>
        <w:t xml:space="preserve">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2171" name="Group 262171"/>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5861" name="Rectangle 1586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5862" name="Rectangle 15862"/>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67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2171" style="width:12.7031pt;height:280.02pt;position:absolute;mso-position-horizontal-relative:page;mso-position-horizontal:absolute;margin-left:682.278pt;mso-position-vertical-relative:page;margin-top:531.9pt;" coordsize="1613,35562">
                <v:rect id="Rectangle 1586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5862"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192 </w:t>
                        </w:r>
                      </w:p>
                    </w:txbxContent>
                  </v:textbox>
                </v:rect>
                <w10:wrap type="square"/>
              </v:group>
            </w:pict>
          </mc:Fallback>
        </mc:AlternateContent>
      </w:r>
      <w:r>
        <w:t>9 concejales del Grupo Socialista: Doña María Concepción Brito</w:t>
      </w:r>
      <w:r>
        <w:t xml:space="preserve"> Núñez, Doña Don Jorge Baute Delgado, Doña Olivia Concepción Pérez Díaz, Don José Francisco Pinto Ramos, Doña Hilaria Cecilia Otazo González, Don Airam Pérez Chinea, Don Manuel Alberto González Pestano, Don Olegario Francisco Alonso Bello y Don Reinaldo Jo</w:t>
      </w:r>
      <w:r>
        <w:t xml:space="preserve">sé Triviño Blanco. </w:t>
      </w:r>
    </w:p>
    <w:p w:rsidR="007617AD" w:rsidRDefault="00EE75C8">
      <w:pPr>
        <w:ind w:left="703" w:right="62"/>
      </w:pPr>
      <w:r>
        <w:t xml:space="preserve">1 del concejal del Grupo Popular, Don Jacobo López Fariña. </w:t>
      </w:r>
    </w:p>
    <w:p w:rsidR="007617AD" w:rsidRDefault="00EE75C8">
      <w:pPr>
        <w:ind w:left="703" w:right="62"/>
      </w:pPr>
      <w:r>
        <w:t xml:space="preserve">1 de la concejal del Grupo Mixto (CC-PNC): Doña Ángela Cruz Perera. </w:t>
      </w:r>
    </w:p>
    <w:p w:rsidR="007617AD" w:rsidRDefault="00EE75C8">
      <w:pPr>
        <w:numPr>
          <w:ilvl w:val="0"/>
          <w:numId w:val="26"/>
        </w:numPr>
        <w:ind w:left="877" w:right="62" w:hanging="184"/>
      </w:pPr>
      <w:r>
        <w:t xml:space="preserve">de la concejal del Grupo Mixto (VxC): Doña Alicia Mercedes Marrero Meneses. </w:t>
      </w:r>
    </w:p>
    <w:p w:rsidR="007617AD" w:rsidRDefault="00EE75C8">
      <w:pPr>
        <w:ind w:left="703" w:right="62"/>
      </w:pPr>
      <w:r>
        <w:t xml:space="preserve">Votos en contra: 2. </w:t>
      </w:r>
    </w:p>
    <w:p w:rsidR="007617AD" w:rsidRDefault="00EE75C8">
      <w:pPr>
        <w:numPr>
          <w:ilvl w:val="0"/>
          <w:numId w:val="26"/>
        </w:numPr>
        <w:ind w:left="877" w:right="62" w:hanging="184"/>
      </w:pPr>
      <w:r>
        <w:t>de los co</w:t>
      </w:r>
      <w:r>
        <w:t xml:space="preserve">ncejales del Grupo Mixto (SSP), Doña Lourdes del Carmen Mondéjar Rondón y Don Antonio Delgado García. </w:t>
      </w:r>
    </w:p>
    <w:p w:rsidR="007617AD" w:rsidRDefault="00EE75C8">
      <w:pPr>
        <w:ind w:left="703" w:right="62"/>
      </w:pPr>
      <w:r>
        <w:t xml:space="preserve">Abstenciones: 0. </w:t>
      </w:r>
    </w:p>
    <w:p w:rsidR="007617AD" w:rsidRDefault="00EE75C8">
      <w:pPr>
        <w:spacing w:after="95" w:line="259" w:lineRule="auto"/>
        <w:ind w:left="708" w:firstLine="0"/>
        <w:jc w:val="left"/>
      </w:pPr>
      <w:r>
        <w:t xml:space="preserve"> </w:t>
      </w:r>
    </w:p>
    <w:p w:rsidR="007617AD" w:rsidRDefault="00EE75C8">
      <w:pPr>
        <w:spacing w:after="0" w:line="259" w:lineRule="auto"/>
        <w:ind w:left="708" w:firstLine="0"/>
        <w:jc w:val="left"/>
      </w:pPr>
      <w:r>
        <w:rPr>
          <w:b/>
        </w:rPr>
        <w:t xml:space="preserve"> </w:t>
      </w:r>
    </w:p>
    <w:p w:rsidR="007617AD" w:rsidRDefault="00EE75C8">
      <w:pPr>
        <w:spacing w:after="11"/>
        <w:ind w:left="2137" w:right="58"/>
      </w:pPr>
      <w:r>
        <w:rPr>
          <w:b/>
        </w:rPr>
        <w:t xml:space="preserve">ACUERDO DEL PLENO DE 30 DE JUNIO DE 2022. </w:t>
      </w:r>
    </w:p>
    <w:p w:rsidR="007617AD" w:rsidRDefault="00EE75C8">
      <w:pPr>
        <w:spacing w:after="0" w:line="259" w:lineRule="auto"/>
        <w:ind w:left="708" w:firstLine="0"/>
        <w:jc w:val="left"/>
      </w:pPr>
      <w:r>
        <w:rPr>
          <w:b/>
        </w:rPr>
        <w:t xml:space="preserve"> </w:t>
      </w:r>
    </w:p>
    <w:p w:rsidR="007617AD" w:rsidRDefault="00EE75C8">
      <w:pPr>
        <w:spacing w:after="0"/>
        <w:ind w:left="693" w:right="58" w:firstLine="713"/>
      </w:pPr>
      <w:r>
        <w:rPr>
          <w:b/>
        </w:rPr>
        <w:t xml:space="preserve">Primero: Aprobar por el Pleno Municipal, el Plan de Movilidad Urbana Sostenible del municipio de Candelaria de mayo de 2022, que obra en el presente expediente. </w:t>
      </w:r>
    </w:p>
    <w:p w:rsidR="007617AD" w:rsidRDefault="00EE75C8">
      <w:pPr>
        <w:spacing w:after="0" w:line="259" w:lineRule="auto"/>
        <w:ind w:left="704" w:firstLine="0"/>
        <w:jc w:val="left"/>
      </w:pPr>
      <w:r>
        <w:rPr>
          <w:b/>
        </w:rPr>
        <w:t xml:space="preserve">  </w:t>
      </w:r>
    </w:p>
    <w:p w:rsidR="007617AD" w:rsidRDefault="00EE75C8">
      <w:pPr>
        <w:spacing w:after="0"/>
        <w:ind w:left="693" w:right="58" w:firstLine="713"/>
      </w:pPr>
      <w:r>
        <w:rPr>
          <w:b/>
        </w:rPr>
        <w:t xml:space="preserve">Segundo: Publicar el Plan de Movilidad Urbana Sostenible del municipio de Candelaria en el </w:t>
      </w:r>
      <w:r>
        <w:rPr>
          <w:b/>
        </w:rPr>
        <w:t xml:space="preserve">BOP y en la sede electrónica municipal. </w:t>
      </w:r>
    </w:p>
    <w:p w:rsidR="007617AD" w:rsidRDefault="00EE75C8">
      <w:pPr>
        <w:spacing w:after="0" w:line="259" w:lineRule="auto"/>
        <w:ind w:left="704" w:firstLine="0"/>
        <w:jc w:val="left"/>
      </w:pPr>
      <w:r>
        <w:rPr>
          <w:b/>
        </w:rPr>
        <w:t xml:space="preserve"> </w:t>
      </w:r>
    </w:p>
    <w:p w:rsidR="007617AD" w:rsidRDefault="00EE75C8">
      <w:pPr>
        <w:spacing w:after="0"/>
        <w:ind w:left="693" w:right="58" w:firstLine="713"/>
      </w:pPr>
      <w:r>
        <w:rPr>
          <w:b/>
        </w:rPr>
        <w:t xml:space="preserve">Tercero: Dar traslado del acuerdo que se adopte a la Concejalía de agenda Urbana y Planificación y Gestión Ambiental.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101" w:line="241" w:lineRule="auto"/>
        <w:ind w:left="703" w:right="56"/>
      </w:pPr>
      <w:r>
        <w:rPr>
          <w:b/>
          <w:sz w:val="24"/>
        </w:rPr>
        <w:t xml:space="preserve">5.- Expediente 9852/2020. Propuesta de la Alcaldesa-Presidenta de fecha 21 de junio de </w:t>
      </w:r>
      <w:r>
        <w:rPr>
          <w:b/>
          <w:sz w:val="24"/>
        </w:rPr>
        <w:t>2022 al Pleno de aprobación del convenio entre el Consejo Insular de Aguas (CIATF) y los Ayuntamientos de Arafo, Candelaria y Güimar para la gestión de las infraestructuras de depuración y vertido de las aguas residuales, urbanas e industriales, del Polígo</w:t>
      </w:r>
      <w:r>
        <w:rPr>
          <w:b/>
          <w:sz w:val="24"/>
        </w:rPr>
        <w:t xml:space="preserve">no Industrial del Valle de Güimar. </w:t>
      </w:r>
    </w:p>
    <w:p w:rsidR="007617AD" w:rsidRDefault="00EE75C8">
      <w:pPr>
        <w:spacing w:after="95" w:line="259" w:lineRule="auto"/>
        <w:ind w:left="708" w:firstLine="0"/>
        <w:jc w:val="left"/>
      </w:pPr>
      <w:r>
        <w:t xml:space="preserve"> </w:t>
      </w:r>
    </w:p>
    <w:p w:rsidR="007617AD" w:rsidRDefault="00EE75C8">
      <w:pPr>
        <w:spacing w:after="100" w:line="259" w:lineRule="auto"/>
        <w:ind w:left="708" w:firstLine="0"/>
        <w:jc w:val="left"/>
      </w:pPr>
      <w:r>
        <w:rPr>
          <w:b/>
        </w:rPr>
        <w:t xml:space="preserve"> </w:t>
      </w:r>
    </w:p>
    <w:p w:rsidR="007617AD" w:rsidRDefault="00EE75C8">
      <w:pPr>
        <w:ind w:left="703" w:right="58"/>
      </w:pPr>
      <w:r>
        <w:rPr>
          <w:b/>
        </w:rPr>
        <w:t>Consta en el expediente Informe Jurídico emitido por Don Octavio Manuel Fernández Hernández, que desempeña el puesto de trabajo de Secretario General, de 21 de junio de 2022, del siguiente tenor literal:</w:t>
      </w:r>
      <w:r>
        <w:t xml:space="preserve"> </w:t>
      </w:r>
    </w:p>
    <w:p w:rsidR="007617AD" w:rsidRDefault="00EE75C8">
      <w:pPr>
        <w:spacing w:after="98" w:line="259" w:lineRule="auto"/>
        <w:ind w:left="708" w:firstLine="0"/>
        <w:jc w:val="left"/>
      </w:pPr>
      <w:r>
        <w:rPr>
          <w:b/>
        </w:rPr>
        <w:t xml:space="preserve"> </w:t>
      </w:r>
    </w:p>
    <w:p w:rsidR="007617AD" w:rsidRDefault="00EE75C8">
      <w:pPr>
        <w:spacing w:after="139" w:line="259" w:lineRule="auto"/>
        <w:ind w:left="708" w:firstLine="0"/>
        <w:jc w:val="left"/>
      </w:pPr>
      <w:r>
        <w:rPr>
          <w:b/>
        </w:rPr>
        <w:t xml:space="preserve"> </w:t>
      </w:r>
    </w:p>
    <w:p w:rsidR="007617AD" w:rsidRDefault="00EE75C8">
      <w:pPr>
        <w:spacing w:after="95" w:line="265" w:lineRule="auto"/>
        <w:ind w:left="905" w:right="78"/>
        <w:jc w:val="center"/>
      </w:pPr>
      <w:r>
        <w:rPr>
          <w:b/>
        </w:rPr>
        <w:t>“INFORME JURÍDICO DE SECRETARÍA GENERAL</w:t>
      </w:r>
      <w:r>
        <w:t xml:space="preserve"> </w:t>
      </w:r>
    </w:p>
    <w:p w:rsidR="007617AD" w:rsidRDefault="00EE75C8">
      <w:pPr>
        <w:spacing w:after="101" w:line="259" w:lineRule="auto"/>
        <w:ind w:left="1140" w:firstLine="0"/>
        <w:jc w:val="left"/>
      </w:pPr>
      <w:r>
        <w:rPr>
          <w:b/>
        </w:rPr>
        <w:t xml:space="preserve"> </w:t>
      </w:r>
    </w:p>
    <w:p w:rsidR="007617AD" w:rsidRDefault="00EE75C8">
      <w:pPr>
        <w:pStyle w:val="Ttulo2"/>
        <w:spacing w:after="95" w:line="265" w:lineRule="auto"/>
        <w:ind w:left="905"/>
        <w:jc w:val="center"/>
      </w:pPr>
      <w:r>
        <w:rPr>
          <w:rFonts w:ascii="Arial" w:eastAsia="Arial" w:hAnsi="Arial" w:cs="Arial"/>
          <w:sz w:val="22"/>
          <w:u w:val="none"/>
        </w:rPr>
        <w:t xml:space="preserve">ANTECEDENTES DE HECHO </w:t>
      </w:r>
    </w:p>
    <w:p w:rsidR="007617AD" w:rsidRDefault="00EE75C8">
      <w:pPr>
        <w:spacing w:after="100" w:line="259" w:lineRule="auto"/>
        <w:ind w:left="1140" w:firstLine="0"/>
        <w:jc w:val="left"/>
      </w:pPr>
      <w:r>
        <w:rPr>
          <w:b/>
        </w:rPr>
        <w:t xml:space="preserve"> </w:t>
      </w:r>
    </w:p>
    <w:p w:rsidR="007617AD" w:rsidRDefault="00EE75C8">
      <w:pPr>
        <w:ind w:left="693" w:right="58" w:firstLine="432"/>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2677" name="Group 26267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5984" name="Rectangle 1598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5985" name="Rectangle 15985"/>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plataforma esPublico Gestiona | Página 68</w:t>
                              </w:r>
                              <w:r>
                                <w:rPr>
                                  <w:sz w:val="12"/>
                                </w:rPr>
                                <w:t xml:space="preserve">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2677" style="width:12.7031pt;height:280.02pt;position:absolute;mso-position-horizontal-relative:page;mso-position-horizontal:absolute;margin-left:682.278pt;mso-position-vertical-relative:page;margin-top:531.9pt;" coordsize="1613,35562">
                <v:rect id="Rectangle 1598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5985"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192 </w:t>
                        </w:r>
                      </w:p>
                    </w:txbxContent>
                  </v:textbox>
                </v:rect>
                <w10:wrap type="square"/>
              </v:group>
            </w:pict>
          </mc:Fallback>
        </mc:AlternateContent>
      </w:r>
      <w:r>
        <w:rPr>
          <w:b/>
        </w:rPr>
        <w:t>PRIMERO.- Vistas las sucesivas reuniones celebradas en el Consejo Insular de Aguas de Tenerife entre la Secretaria del Consejo Insular de Aguas, la Técnico de Administración General del Consejo Insular de Aguas de Tenerife, la Secretaria del Ayunt</w:t>
      </w:r>
      <w:r>
        <w:rPr>
          <w:b/>
        </w:rPr>
        <w:t>amiento de Arafo y el Secretario del Ayuntamiento de Candelaria</w:t>
      </w:r>
      <w:r>
        <w:t xml:space="preserve"> relativas a la supervisión jurídica del presente convenio CIATF-Arafo-Candelaria-Güimar para la gestión de las infraestructuras de depuración y vertido de las aguas residuales urbanas e indust</w:t>
      </w:r>
      <w:r>
        <w:t xml:space="preserve">riales del Polígono Industrial durante los meses desde junio de 2021 hasta abril de 2022. </w:t>
      </w:r>
    </w:p>
    <w:p w:rsidR="007617AD" w:rsidRDefault="00EE75C8">
      <w:pPr>
        <w:spacing w:after="100" w:line="259" w:lineRule="auto"/>
        <w:ind w:left="1140" w:firstLine="0"/>
        <w:jc w:val="left"/>
      </w:pPr>
      <w:r>
        <w:rPr>
          <w:b/>
        </w:rPr>
        <w:t xml:space="preserve"> </w:t>
      </w:r>
    </w:p>
    <w:p w:rsidR="007617AD" w:rsidRDefault="00EE75C8">
      <w:pPr>
        <w:ind w:left="693" w:right="58" w:firstLine="432"/>
      </w:pPr>
      <w:r>
        <w:rPr>
          <w:b/>
        </w:rPr>
        <w:t xml:space="preserve">SEGUNDO. - </w:t>
      </w:r>
      <w:r>
        <w:rPr>
          <w:b/>
        </w:rPr>
        <w:t xml:space="preserve">Los instrumentos jurídicos en forma de convenios que se han aprobado por las cuatro administraciones sobre el saneamiento del Valle de Güimar han sido los siguientes: </w:t>
      </w:r>
    </w:p>
    <w:p w:rsidR="007617AD" w:rsidRDefault="00EE75C8">
      <w:pPr>
        <w:ind w:left="693" w:right="62" w:firstLine="432"/>
      </w:pPr>
      <w:r>
        <w:t>1.-Convenio entre el Cabildo Insular de Tenerife, el Consejo Insular de Aguas de Tenerif</w:t>
      </w:r>
      <w:r>
        <w:t>e y los Ayuntamientos de Arafo, Candelaria y Güimar formalizado el 31 de julio de 2017, para la tramitación de la autorización administrativa de vertido al mar y la concesión de la ocupación de los  bienes del dominio público marítimo terrestre con destino</w:t>
      </w:r>
      <w:r>
        <w:t xml:space="preserve"> a un emisario submarino en el Polígono Industrial del Valle de Güimar por el que se encomienda al CIATF a elaborar la documentación técnica requerida para dicha autorización.</w:t>
      </w:r>
      <w:r>
        <w:rPr>
          <w:b/>
        </w:rPr>
        <w:t xml:space="preserve"> </w:t>
      </w:r>
      <w:r>
        <w:t xml:space="preserve"> </w:t>
      </w:r>
    </w:p>
    <w:p w:rsidR="007617AD" w:rsidRDefault="00EE75C8">
      <w:pPr>
        <w:ind w:left="693" w:right="62" w:firstLine="432"/>
      </w:pPr>
      <w:r>
        <w:t>2.-Acuerdos de los Plenos de los Ayuntamientos de Arafo, Candelaria y Güimar d</w:t>
      </w:r>
      <w:r>
        <w:t>urante los meses de julio, agosto y septiembre de 2018 por los que se aprobó el Plan de Etapas en el marco del expediente 2017/11106 relativo al emisario del Polígono Industrial del Valle de Güimar y las posteriores modificaciones de dicho plan de etapas i</w:t>
      </w:r>
      <w:r>
        <w:t xml:space="preserve">gualmente aprobadas por los plenos municipales durante los años 2020 y 2021. </w:t>
      </w:r>
    </w:p>
    <w:p w:rsidR="007617AD" w:rsidRDefault="00EE75C8">
      <w:pPr>
        <w:spacing w:after="5" w:line="265" w:lineRule="auto"/>
        <w:ind w:left="10" w:right="62"/>
        <w:jc w:val="right"/>
      </w:pPr>
      <w:r>
        <w:t xml:space="preserve">3.-Convenio de colaboración entre el CIATF, el Cabildo Insular de Tenerife y los Ayuntamientos </w:t>
      </w:r>
    </w:p>
    <w:p w:rsidR="007617AD" w:rsidRDefault="00EE75C8">
      <w:pPr>
        <w:ind w:left="703" w:right="62"/>
      </w:pPr>
      <w:r>
        <w:t>de Arafo, Candelaria y Güímar aprobado por el Ayuntamiento de Candelaria en el Ple</w:t>
      </w:r>
      <w:r>
        <w:t xml:space="preserve">no ordinario de 27 de marzo de 2019 y por los Ayuntamientos de Arafo y Güimar en el mes de mayo de 2019 y formalizado por todas las partes intervinientes el día 10 de junio de 2019. </w:t>
      </w:r>
    </w:p>
    <w:p w:rsidR="007617AD" w:rsidRDefault="00EE75C8">
      <w:pPr>
        <w:ind w:left="693" w:right="62" w:firstLine="432"/>
      </w:pPr>
      <w:r>
        <w:t>4.-Resolución del Viceconsejero de Lucha Contra el Cambio Climático del G</w:t>
      </w:r>
      <w:r>
        <w:t>obierno de Canarias de 18 de septiembre de 2019, por la que se autoriza al Ayuntamiento de Arafo en su propio nombre y en representación de los Ayuntamientos de Candelaria y Güimar al vertido de aguas residuales urbanas e industriales depuradas a través de</w:t>
      </w:r>
      <w:r>
        <w:t xml:space="preserve">l emisario submarino del Polígono Industrial del Valle de Güimar, ubicado en el término municipal de Arafo (VM-013-TF). </w:t>
      </w:r>
    </w:p>
    <w:p w:rsidR="007617AD" w:rsidRDefault="00EE75C8">
      <w:pPr>
        <w:ind w:left="693" w:right="62" w:firstLine="432"/>
      </w:pPr>
      <w:r>
        <w:t>5.-Resolución de la Dirección General de Sostenibilidad y del Mar del Ministerio para la Transición Ecológica de fecha 19 de septiembre</w:t>
      </w:r>
      <w:r>
        <w:t xml:space="preserve"> de 2019 por el que se otorga al Ayuntamiento de Arafo la concesión de ocupación de 803 metros cuadrados de dominio público marítimo terrestre con destino a conducción principal de vertido y conducción de aliviadero de emergencia de aguas procedentes del P</w:t>
      </w:r>
      <w:r>
        <w:t xml:space="preserve">olígono Industrial de Güimar, en el término municipal de Arafo, isla de Tenerife (Santa Cruz de Tenerife). </w:t>
      </w:r>
    </w:p>
    <w:p w:rsidR="007617AD" w:rsidRDefault="00EE75C8">
      <w:pPr>
        <w:ind w:left="693" w:right="62" w:firstLine="432"/>
      </w:pPr>
      <w:r>
        <w:t>6.-</w:t>
      </w:r>
      <w:r>
        <w:t xml:space="preserve">Resolución del Viceconsejero de Lucha contra el Cambio Climático del Gobierno de Canarias nº 207/202 de fecha 30 de septiembre de 2020 por la que se modifica la autorización de vertido desde tierra a mar referida en el punto anterior. </w:t>
      </w:r>
    </w:p>
    <w:p w:rsidR="007617AD" w:rsidRDefault="00EE75C8">
      <w:pPr>
        <w:ind w:left="693" w:right="62" w:firstLine="432"/>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2860" name="Group 26286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6107" name="Rectangle 1610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w:t>
                              </w:r>
                              <w:r>
                                <w:rPr>
                                  <w:sz w:val="12"/>
                                </w:rPr>
                                <w:t xml:space="preserve">6ZZKGX4GJD4WS6MQ5AJX5N2EM | Verificación: https://candelaria.sedelectronica.es/ </w:t>
                              </w:r>
                            </w:p>
                          </w:txbxContent>
                        </wps:txbx>
                        <wps:bodyPr horzOverflow="overflow" vert="horz" lIns="0" tIns="0" rIns="0" bIns="0" rtlCol="0">
                          <a:noAutofit/>
                        </wps:bodyPr>
                      </wps:wsp>
                      <wps:wsp>
                        <wps:cNvPr id="16108" name="Rectangle 16108"/>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69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2860" style="width:12.7031pt;height:280.02pt;position:absolute;mso-position-horizontal-relative:page;mso-position-horizontal:absolute;margin-left:682.278pt;mso-position-vertical-relative:page;margin-top:531.9pt;" coordsize="1613,35562">
                <v:rect id="Rectangle 1610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6108"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192 </w:t>
                        </w:r>
                      </w:p>
                    </w:txbxContent>
                  </v:textbox>
                </v:rect>
                <w10:wrap type="square"/>
              </v:group>
            </w:pict>
          </mc:Fallback>
        </mc:AlternateContent>
      </w:r>
      <w:r>
        <w:t>7.-Resolución de la Viceconsejería de Lucha contra el Cambio Climático y Transi</w:t>
      </w:r>
      <w:r>
        <w:t>ción Ecológica del Gobierno de Canarias Nº 312 de 02 de noviembre de 2021 por la que se modifica la autorización otorgada al Ayuntamiento de Arafo, en su propio nombre y en representación de los Ayuntamientos de Candelaria y Güimar, para el vertido de agua</w:t>
      </w:r>
      <w:r>
        <w:t xml:space="preserve">s residuales urbanas e industriales depuradas a través del emisario submarino del Polígono Industrial del Valle de Güimar, ubicado en el término municipal de Arafo (VM-013-TF) y sucesivas modificaciones posteriores.  </w:t>
      </w:r>
    </w:p>
    <w:p w:rsidR="007617AD" w:rsidRDefault="00EE75C8">
      <w:pPr>
        <w:ind w:left="693" w:right="62" w:firstLine="432"/>
      </w:pPr>
      <w:r>
        <w:t>8.- Modificación del Plan de Etapas qu</w:t>
      </w:r>
      <w:r>
        <w:t xml:space="preserve">e se han realizado durante los meses de febrero y marzo de 2022 por los Plenos de los Ayuntamientos de Arafo, Candelaria y Güimar. </w:t>
      </w:r>
    </w:p>
    <w:p w:rsidR="007617AD" w:rsidRDefault="00EE75C8">
      <w:pPr>
        <w:spacing w:after="98" w:line="259" w:lineRule="auto"/>
        <w:ind w:left="708" w:firstLine="0"/>
        <w:jc w:val="left"/>
      </w:pPr>
      <w:r>
        <w:t xml:space="preserve"> </w:t>
      </w:r>
    </w:p>
    <w:p w:rsidR="007617AD" w:rsidRDefault="00EE75C8">
      <w:pPr>
        <w:ind w:left="693" w:right="58" w:firstLine="432"/>
      </w:pPr>
      <w:r>
        <w:rPr>
          <w:b/>
        </w:rPr>
        <w:t xml:space="preserve">TERCERO. - Visto el informe técnico de fecha 22 de octubre de 2021 que transcrito literalmente dice: </w:t>
      </w:r>
    </w:p>
    <w:p w:rsidR="007617AD" w:rsidRDefault="00EE75C8">
      <w:pPr>
        <w:spacing w:after="110" w:line="248" w:lineRule="auto"/>
        <w:ind w:left="693" w:right="59" w:firstLine="432"/>
      </w:pPr>
      <w:r>
        <w:rPr>
          <w:i/>
        </w:rPr>
        <w:t>“Visto el expediente antedicho, el funcionario, Don Daniel Espejo Cómez, que desempeña el puesto de trabajo de Ingeniero Técnico Industrial, en la Oficina Técnica de la Concejalía de Planificación y Gestión Urbanística y Ambiental, emite el siguiente infor</w:t>
      </w:r>
      <w:r>
        <w:rPr>
          <w:i/>
        </w:rPr>
        <w:t xml:space="preserve">me: </w:t>
      </w:r>
    </w:p>
    <w:p w:rsidR="007617AD" w:rsidRDefault="00EE75C8">
      <w:pPr>
        <w:spacing w:after="112" w:line="259" w:lineRule="auto"/>
        <w:ind w:left="1140" w:firstLine="0"/>
        <w:jc w:val="left"/>
      </w:pPr>
      <w:r>
        <w:rPr>
          <w:i/>
        </w:rPr>
        <w:t xml:space="preserve"> </w:t>
      </w:r>
    </w:p>
    <w:p w:rsidR="007617AD" w:rsidRDefault="00EE75C8">
      <w:pPr>
        <w:shd w:val="clear" w:color="auto" w:fill="E0E0E0"/>
        <w:spacing w:after="200" w:line="259" w:lineRule="auto"/>
        <w:ind w:left="651" w:right="3"/>
        <w:jc w:val="center"/>
      </w:pPr>
      <w:r>
        <w:rPr>
          <w:i/>
        </w:rPr>
        <w:t>ANTECEDENTES DE HECHO</w:t>
      </w:r>
      <w:r>
        <w:rPr>
          <w:rFonts w:ascii="Times New Roman" w:eastAsia="Times New Roman" w:hAnsi="Times New Roman" w:cs="Times New Roman"/>
          <w:sz w:val="24"/>
        </w:rPr>
        <w:t xml:space="preserve"> </w:t>
      </w:r>
    </w:p>
    <w:p w:rsidR="007617AD" w:rsidRDefault="00EE75C8">
      <w:pPr>
        <w:spacing w:after="110" w:line="248" w:lineRule="auto"/>
        <w:ind w:left="693" w:right="59" w:firstLine="432"/>
      </w:pPr>
      <w:r>
        <w:rPr>
          <w:i/>
        </w:rPr>
        <w:t>Primero. – En el Valle de Güímar presenta en la actualidad incumplimientos de la Directiva 91/271/CEE, de 21 de mayo de 1991, sobre el tratamiento de las aguas residuales urbanas, transpuesta al ordenamiento jurídico español m</w:t>
      </w:r>
      <w:r>
        <w:rPr>
          <w:i/>
        </w:rPr>
        <w:t xml:space="preserve">ediante el RD-Ley 11/1995 por el que se establecen las normas aplicables al tratamiento de las aguas residuales urbanas y al RD 509/1996 que desarrolla el anterior.  </w:t>
      </w:r>
    </w:p>
    <w:p w:rsidR="007617AD" w:rsidRDefault="00EE75C8">
      <w:pPr>
        <w:spacing w:after="110" w:line="248" w:lineRule="auto"/>
        <w:ind w:left="693" w:right="59" w:firstLine="432"/>
      </w:pPr>
      <w:r>
        <w:rPr>
          <w:i/>
        </w:rPr>
        <w:t>En respuesta a la situación descrita, el CIATF promueve actualmente la ejecución de infra</w:t>
      </w:r>
      <w:r>
        <w:rPr>
          <w:i/>
        </w:rPr>
        <w:t>estructuras esenciales para la configuración de sistemas de saneamiento de interés comarcal, cuya gestión se asignaría a dicho Organismo mediante la suscripción del correspondiente convenio de colaboración con los Ayuntamientos de Candelaria, Arafo y Güíma</w:t>
      </w:r>
      <w:r>
        <w:rPr>
          <w:i/>
        </w:rPr>
        <w:t xml:space="preserve">r. </w:t>
      </w:r>
    </w:p>
    <w:p w:rsidR="007617AD" w:rsidRDefault="00EE75C8">
      <w:pPr>
        <w:spacing w:after="110" w:line="248" w:lineRule="auto"/>
        <w:ind w:left="693" w:right="59" w:firstLine="432"/>
      </w:pPr>
      <w:r>
        <w:rPr>
          <w:i/>
        </w:rPr>
        <w:t>Segundo. – Con fecha 20 noviembre de 2020 y registro de entrada nº 2020-E-RC-14179, en este Ayuntamiento, mediante oficio del Ayuntamiento de Arafo remite el “BORRADOR (V1) DEL CONVENIO DE COLABORACIÓN ENTRE EL CONSEJO INSULAR DE AGUAS DE TENERIFE Y LO</w:t>
      </w:r>
      <w:r>
        <w:rPr>
          <w:i/>
        </w:rPr>
        <w:t>S AYUNTAMIENTOS DE CANDELARIA, ARAFO Y</w:t>
      </w:r>
      <w:r>
        <w:rPr>
          <w:b/>
        </w:rPr>
        <w:t xml:space="preserve"> </w:t>
      </w:r>
      <w:r>
        <w:rPr>
          <w:i/>
        </w:rPr>
        <w:t>GÜÍMAR, PARA LA GESTIÓN DE LAS INFRAESTRUCTURAS DE DEPURACIÓN Y VERTIDO DE LAS AGUAS RESIDUALES, URBANAS E INDUSTRIALES, DE LOS SISTEMAS TERRITORIALES DEL VALLE DE GÜIMAR Y POLÍGONO INDUSTRIAL DE GÜÍMAR., para que sea</w:t>
      </w:r>
      <w:r>
        <w:rPr>
          <w:i/>
        </w:rPr>
        <w:t xml:space="preserve"> revisado, y se emitan las observaciones oportunas, a los efectos de que esté aprobado y rubricado por las cuatro Administraciones participantes antes de la puesta en servicio de la primera infraestructura, la EDARU, prevista para el primer trimestre de 20</w:t>
      </w:r>
      <w:r>
        <w:rPr>
          <w:i/>
        </w:rPr>
        <w:t>21.</w:t>
      </w:r>
      <w:r>
        <w:t xml:space="preserve"> </w:t>
      </w:r>
    </w:p>
    <w:p w:rsidR="007617AD" w:rsidRDefault="00EE75C8">
      <w:pPr>
        <w:spacing w:after="21" w:line="248" w:lineRule="auto"/>
        <w:ind w:left="693" w:right="59" w:firstLine="432"/>
      </w:pPr>
      <w:r>
        <w:rPr>
          <w:i/>
        </w:rPr>
        <w:t xml:space="preserve">Tercero. – Con fecha 29 de enero de 2021 el técnico que suscribe emite informe del antecedente de hecho anterior, cito conclusiones: “Por todo lo cual, el presente técnico informa </w:t>
      </w:r>
      <w:r>
        <w:rPr>
          <w:i/>
          <w:u w:val="single" w:color="000000"/>
        </w:rPr>
        <w:t>FAVORABLE</w:t>
      </w:r>
      <w:r>
        <w:rPr>
          <w:i/>
        </w:rPr>
        <w:t xml:space="preserve"> al “BORRADOR (V1) DEL CONVENIO DE COLABORACIÓN ENTRE EL CONSE</w:t>
      </w:r>
      <w:r>
        <w:rPr>
          <w:i/>
        </w:rPr>
        <w:t xml:space="preserve">JO INSULAR DE AGUAS DE TENERIFE Y LOS AYUNTAMIENTOS DE CANDELARIA, ARAFO Y GÜÍMAR, PARA LA GESTIÓN DE LAS INFRAESTRUCTURAS DE DEPURACIÓN Y VERTIDO DE LAS AGUAS RESIDUALES, URBANAS E INDUSTRIALES, DE LOS SISTEMAS TERRITORIALES </w:t>
      </w:r>
    </w:p>
    <w:p w:rsidR="007617AD" w:rsidRDefault="00EE75C8">
      <w:pPr>
        <w:spacing w:after="113" w:line="248" w:lineRule="auto"/>
        <w:ind w:left="703" w:right="58"/>
      </w:pPr>
      <w:r>
        <w:rPr>
          <w:i/>
        </w:rPr>
        <w:t>DEL VALLE DE GÜIMAR Y POLÍGON</w:t>
      </w:r>
      <w:r>
        <w:rPr>
          <w:i/>
        </w:rPr>
        <w:t xml:space="preserve">O INDUSTRIAL DE GÜÍMAR”, </w:t>
      </w:r>
      <w:r>
        <w:rPr>
          <w:i/>
          <w:u w:val="single" w:color="000000"/>
        </w:rPr>
        <w:t>condicionado a que se</w:t>
      </w:r>
      <w:r>
        <w:rPr>
          <w:i/>
        </w:rPr>
        <w:t xml:space="preserve"> </w:t>
      </w:r>
      <w:r>
        <w:rPr>
          <w:i/>
          <w:u w:val="single" w:color="000000"/>
        </w:rPr>
        <w:t>determine la solución prevista para la medición de los caudales de aguas residuales industriales</w:t>
      </w:r>
      <w:r>
        <w:rPr>
          <w:i/>
        </w:rPr>
        <w:t xml:space="preserve"> </w:t>
      </w:r>
      <w:r>
        <w:rPr>
          <w:i/>
          <w:u w:val="single" w:color="000000"/>
        </w:rPr>
        <w:t>aportados por cada Ayuntamiento y como se garantizará la calidad de las aguas a verter en la red</w:t>
      </w:r>
      <w:r>
        <w:rPr>
          <w:i/>
        </w:rPr>
        <w:t xml:space="preserve"> </w:t>
      </w:r>
      <w:r>
        <w:rPr>
          <w:i/>
          <w:u w:val="single" w:color="000000"/>
        </w:rPr>
        <w:t>Polígono</w:t>
      </w:r>
      <w:r>
        <w:rPr>
          <w:i/>
        </w:rPr>
        <w:t>.”</w:t>
      </w:r>
      <w:r>
        <w:t xml:space="preserve"> </w:t>
      </w:r>
    </w:p>
    <w:p w:rsidR="007617AD" w:rsidRDefault="00EE75C8">
      <w:pPr>
        <w:spacing w:after="11" w:line="248" w:lineRule="auto"/>
        <w:ind w:left="1150" w:right="59"/>
      </w:pPr>
      <w:r>
        <w:rPr>
          <w:i/>
        </w:rPr>
        <w:t>Cua</w:t>
      </w:r>
      <w:r>
        <w:rPr>
          <w:i/>
        </w:rPr>
        <w:t xml:space="preserve">rto. – Con fecha 11 de octubre de 2021 y registro de entrada 2021-E-RR-12314, en este </w:t>
      </w:r>
    </w:p>
    <w:p w:rsidR="007617AD" w:rsidRDefault="00EE75C8">
      <w:pPr>
        <w:spacing w:after="110" w:line="248" w:lineRule="auto"/>
        <w:ind w:left="703" w:right="59"/>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3300" name="Group 26330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6242" name="Rectangle 1624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6243" name="Rectangle 16243"/>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70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3300" style="width:12.7031pt;height:280.02pt;position:absolute;mso-position-horizontal-relative:page;mso-position-horizontal:absolute;margin-left:682.278pt;mso-position-vertical-relative:page;margin-top:531.9pt;" coordsize="1613,35562">
                <v:rect id="Rectangle 1624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6243"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192 </w:t>
                        </w:r>
                      </w:p>
                    </w:txbxContent>
                  </v:textbox>
                </v:rect>
                <w10:wrap type="square"/>
              </v:group>
            </w:pict>
          </mc:Fallback>
        </mc:AlternateContent>
      </w:r>
      <w:r>
        <w:rPr>
          <w:i/>
        </w:rPr>
        <w:t>Ayuntamiento, mediante oficio del Ayuntamiento de Arafo remite el “Traslado comunicación del CIATF y Borrador final (v8) texto Convenio CIATF y Aytos Arafo, Güíma</w:t>
      </w:r>
      <w:r>
        <w:rPr>
          <w:i/>
        </w:rPr>
        <w:t>r y Candelaria para la gestión de las infraestructuras de depuración y vertido de aguas residuales de los sistemas territoriales del Valle de Güímar 3138/2021” para que sea revisado, y se emitan las observaciones oportunas, a los efectos de que esté aproba</w:t>
      </w:r>
      <w:r>
        <w:rPr>
          <w:i/>
        </w:rPr>
        <w:t xml:space="preserve">do y rubricado por las cuatro Administraciones participantes. </w:t>
      </w:r>
    </w:p>
    <w:p w:rsidR="007617AD" w:rsidRDefault="00EE75C8">
      <w:pPr>
        <w:spacing w:after="100" w:line="259" w:lineRule="auto"/>
        <w:ind w:left="1140" w:firstLine="0"/>
        <w:jc w:val="left"/>
      </w:pPr>
      <w:r>
        <w:rPr>
          <w:i/>
        </w:rPr>
        <w:t xml:space="preserve"> </w:t>
      </w:r>
    </w:p>
    <w:p w:rsidR="007617AD" w:rsidRDefault="00EE75C8">
      <w:pPr>
        <w:shd w:val="clear" w:color="auto" w:fill="E0E0E0"/>
        <w:spacing w:after="200" w:line="259" w:lineRule="auto"/>
        <w:ind w:left="651"/>
        <w:jc w:val="center"/>
      </w:pPr>
      <w:r>
        <w:rPr>
          <w:i/>
        </w:rPr>
        <w:t xml:space="preserve">INFORME </w:t>
      </w:r>
    </w:p>
    <w:p w:rsidR="007617AD" w:rsidRDefault="00EE75C8">
      <w:pPr>
        <w:spacing w:after="0" w:line="248" w:lineRule="auto"/>
        <w:ind w:left="693" w:right="59" w:firstLine="432"/>
      </w:pPr>
      <w:r>
        <w:rPr>
          <w:i/>
        </w:rPr>
        <w:t>Visto el borrador ante dicho remitido el 11 de octubre de 2021, queda determinado las soluciones previstas para la medición de los caudales de aguas residuales industriales aportados</w:t>
      </w:r>
      <w:r>
        <w:rPr>
          <w:i/>
        </w:rPr>
        <w:t xml:space="preserve"> por cada Ayuntamiento y la calidad de las aguas a verter, como queda reflejado clausula Segunda. </w:t>
      </w:r>
    </w:p>
    <w:p w:rsidR="007617AD" w:rsidRDefault="00EE75C8">
      <w:pPr>
        <w:spacing w:after="110" w:line="248" w:lineRule="auto"/>
        <w:ind w:left="703" w:right="59"/>
      </w:pPr>
      <w:r>
        <w:rPr>
          <w:i/>
        </w:rPr>
        <w:t xml:space="preserve">– OBLIGACIONES DEL CONSEJO INSULAR DE AGUAS DE TENERIFE </w:t>
      </w:r>
    </w:p>
    <w:p w:rsidR="007617AD" w:rsidRDefault="00EE75C8">
      <w:pPr>
        <w:numPr>
          <w:ilvl w:val="0"/>
          <w:numId w:val="27"/>
        </w:numPr>
        <w:spacing w:after="110" w:line="248" w:lineRule="auto"/>
        <w:ind w:right="59" w:firstLine="432"/>
      </w:pPr>
      <w:r>
        <w:rPr>
          <w:i/>
        </w:rPr>
        <w:t xml:space="preserve">Salvo acuerdo expreso y unánime en contrario, la recepción de las aguas residuales brutas de origen </w:t>
      </w:r>
      <w:r>
        <w:rPr>
          <w:i/>
        </w:rPr>
        <w:t>industrial se efectuará en los puntos determinados en el plano del anexo II, así como en los nuevos puntos por desarrollar, que sean determinados previa conformidad de las partes, y que deberán plasmarse en la correspondiente Adenda, en la que se detallará</w:t>
      </w:r>
      <w:r>
        <w:rPr>
          <w:i/>
        </w:rPr>
        <w:t xml:space="preserve">n las infraestructuras. A tal efecto el volumen de caudal que corresponda a cada Ayuntamiento, </w:t>
      </w:r>
      <w:r>
        <w:rPr>
          <w:i/>
          <w:u w:val="single" w:color="000000"/>
        </w:rPr>
        <w:t>vendrá determinado por las lecturas de los caudalímetros a implantar</w:t>
      </w:r>
      <w:r>
        <w:rPr>
          <w:i/>
        </w:rPr>
        <w:t>. Transitoriamente, hasta la instalación de estos caudalímetros, los volúmenes serán estimados por el CIATF de acuerdo con los Ayuntamientos</w:t>
      </w:r>
      <w:r>
        <w:t xml:space="preserve"> </w:t>
      </w:r>
    </w:p>
    <w:p w:rsidR="007617AD" w:rsidRDefault="00EE75C8">
      <w:pPr>
        <w:spacing w:after="98" w:line="259" w:lineRule="auto"/>
        <w:ind w:left="1140" w:firstLine="0"/>
        <w:jc w:val="left"/>
      </w:pPr>
      <w:r>
        <w:t xml:space="preserve"> </w:t>
      </w:r>
    </w:p>
    <w:p w:rsidR="007617AD" w:rsidRDefault="00EE75C8">
      <w:pPr>
        <w:numPr>
          <w:ilvl w:val="0"/>
          <w:numId w:val="27"/>
        </w:numPr>
        <w:spacing w:after="113" w:line="248" w:lineRule="auto"/>
        <w:ind w:right="59" w:firstLine="432"/>
      </w:pPr>
      <w:r>
        <w:rPr>
          <w:i/>
        </w:rPr>
        <w:t xml:space="preserve">El </w:t>
      </w:r>
      <w:r>
        <w:rPr>
          <w:i/>
          <w:u w:val="single" w:color="000000"/>
        </w:rPr>
        <w:t>servicio de control de vertidos</w:t>
      </w:r>
      <w:r>
        <w:rPr>
          <w:i/>
        </w:rPr>
        <w:t xml:space="preserve"> </w:t>
      </w:r>
      <w:r>
        <w:rPr>
          <w:i/>
        </w:rPr>
        <w:t xml:space="preserve">al Sistema se incluirá entre sus costes mediante el correspondiente contrato específico que se formalizará una vez se disponga de los datos de explotación de la Estación Depuradora de Aguas Residuales Industriales (EDARi) durante el período de un año. </w:t>
      </w:r>
      <w:r>
        <w:rPr>
          <w:i/>
          <w:u w:val="single" w:color="000000"/>
        </w:rPr>
        <w:t>La e</w:t>
      </w:r>
      <w:r>
        <w:rPr>
          <w:i/>
          <w:u w:val="single" w:color="000000"/>
        </w:rPr>
        <w:t>laboración de los criterios de control privilegiará la trazabilidad de los</w:t>
      </w:r>
      <w:r>
        <w:rPr>
          <w:i/>
        </w:rPr>
        <w:t xml:space="preserve"> </w:t>
      </w:r>
      <w:r>
        <w:rPr>
          <w:i/>
          <w:u w:val="single" w:color="000000"/>
        </w:rPr>
        <w:t>posibles incumplimientos a través de las lecturas de los sensores especializados que se</w:t>
      </w:r>
      <w:r>
        <w:rPr>
          <w:i/>
        </w:rPr>
        <w:t xml:space="preserve"> </w:t>
      </w:r>
      <w:r>
        <w:rPr>
          <w:i/>
          <w:u w:val="single" w:color="000000"/>
        </w:rPr>
        <w:t>dispondrán en la línea de proceso y de los diagnósticos que se operarán en las redes</w:t>
      </w:r>
      <w:r>
        <w:rPr>
          <w:i/>
        </w:rPr>
        <w:t xml:space="preserve"> </w:t>
      </w:r>
      <w:r>
        <w:rPr>
          <w:i/>
          <w:u w:val="single" w:color="000000"/>
        </w:rPr>
        <w:t>municipa</w:t>
      </w:r>
      <w:r>
        <w:rPr>
          <w:i/>
          <w:u w:val="single" w:color="000000"/>
        </w:rPr>
        <w:t>les</w:t>
      </w:r>
      <w:r>
        <w:rPr>
          <w:i/>
        </w:rPr>
        <w:t>.</w:t>
      </w:r>
      <w:r>
        <w:t xml:space="preserve"> </w:t>
      </w:r>
    </w:p>
    <w:p w:rsidR="007617AD" w:rsidRDefault="00EE75C8">
      <w:pPr>
        <w:spacing w:after="100" w:line="259" w:lineRule="auto"/>
        <w:ind w:left="1140" w:firstLine="0"/>
        <w:jc w:val="left"/>
      </w:pPr>
      <w:r>
        <w:rPr>
          <w:i/>
        </w:rPr>
        <w:t xml:space="preserve"> </w:t>
      </w:r>
    </w:p>
    <w:p w:rsidR="007617AD" w:rsidRDefault="00EE75C8">
      <w:pPr>
        <w:shd w:val="clear" w:color="auto" w:fill="E0E0E0"/>
        <w:spacing w:after="231" w:line="259" w:lineRule="auto"/>
        <w:ind w:left="651" w:right="3"/>
        <w:jc w:val="center"/>
      </w:pPr>
      <w:r>
        <w:rPr>
          <w:i/>
        </w:rPr>
        <w:t xml:space="preserve">CONCLUSIONES </w:t>
      </w:r>
    </w:p>
    <w:p w:rsidR="007617AD" w:rsidRDefault="00EE75C8">
      <w:pPr>
        <w:spacing w:after="151" w:line="248" w:lineRule="auto"/>
        <w:ind w:left="693" w:right="59" w:firstLine="432"/>
      </w:pPr>
      <w:r>
        <w:rPr>
          <w:i/>
        </w:rPr>
        <w:t xml:space="preserve">Por todo lo cual, el presente técnico informa </w:t>
      </w:r>
      <w:r>
        <w:rPr>
          <w:i/>
          <w:u w:val="single" w:color="000000"/>
        </w:rPr>
        <w:t>FAVORABLE</w:t>
      </w:r>
      <w:r>
        <w:rPr>
          <w:i/>
        </w:rPr>
        <w:t xml:space="preserve"> al “BORRADOR (V8) DEL CONVENIO DE COLABORACIÓN ENTRE EL CONSEJO INSULAR DE AGUAS DE TENERIFE Y LOS AYUNTAMIENTOS DE CANDELARIA, ARAFO Y GÜÍMAR, PARA LA GESTIÓN DE LAS INFRAESTRUC</w:t>
      </w:r>
      <w:r>
        <w:rPr>
          <w:i/>
        </w:rPr>
        <w:t>TURAS DE DEPURACIÓN Y VERTIDO DE LAS AGUAS RESIDUALES, URBANAS E INDUSTRIALES, DE LOS SISTEMAS TERRITORIALES DEL VALLE DE GÜIMAR Y POLÍGONO INDUSTRIAL DE GÜÍMAR”.</w:t>
      </w:r>
      <w:r>
        <w:t xml:space="preserve"> </w:t>
      </w:r>
    </w:p>
    <w:p w:rsidR="007617AD" w:rsidRDefault="00EE75C8">
      <w:pPr>
        <w:spacing w:after="110" w:line="248" w:lineRule="auto"/>
        <w:ind w:left="703" w:right="59"/>
      </w:pPr>
      <w:r>
        <w:rPr>
          <w:i/>
        </w:rPr>
        <w:t xml:space="preserve">Es cuanto se tiene que informar al respecto para los efectos que se estimen oportunos”. </w:t>
      </w:r>
    </w:p>
    <w:p w:rsidR="007617AD" w:rsidRDefault="00EE75C8">
      <w:pPr>
        <w:spacing w:after="98" w:line="259" w:lineRule="auto"/>
        <w:ind w:left="1140" w:firstLine="0"/>
        <w:jc w:val="left"/>
      </w:pPr>
      <w:r>
        <w:rPr>
          <w:b/>
        </w:rPr>
        <w:t xml:space="preserve"> </w:t>
      </w:r>
    </w:p>
    <w:p w:rsidR="007617AD" w:rsidRDefault="00EE75C8">
      <w:pPr>
        <w:spacing w:after="110" w:line="248" w:lineRule="auto"/>
        <w:ind w:left="693" w:right="59" w:firstLine="432"/>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3959" name="Group 26395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6349" name="Rectangle 1634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6350" name="Rectangle 16350"/>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71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3959" style="width:12.7031pt;height:280.02pt;position:absolute;mso-position-horizontal-relative:page;mso-position-horizontal:absolute;margin-left:682.278pt;mso-position-vertical-relative:page;margin-top:531.9pt;" coordsize="1613,35562">
                <v:rect id="Rectangle 1634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6350"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192 </w:t>
                        </w:r>
                      </w:p>
                    </w:txbxContent>
                  </v:textbox>
                </v:rect>
                <w10:wrap type="square"/>
              </v:group>
            </w:pict>
          </mc:Fallback>
        </mc:AlternateContent>
      </w:r>
      <w:r>
        <w:rPr>
          <w:b/>
        </w:rPr>
        <w:t xml:space="preserve">CUARTO.- </w:t>
      </w:r>
      <w:r>
        <w:rPr>
          <w:b/>
        </w:rPr>
        <w:t>Visto el borrador final de 22 de abril  de 2022 remitido por el Gerente del Consejo Insular de Aguas de Tenerife del texto del convenio de colaboración a suscribir entre el Consejo Insular de Aguas de Tenerife y los Ayuntamientos de Candelaria, Arafo y Güi</w:t>
      </w:r>
      <w:r>
        <w:rPr>
          <w:b/>
        </w:rPr>
        <w:t>mar para la gestión de las infraestructuras de depuración y vertido de aguas residuales, urbanas e industriales, de los sistemas territoriales del Valle de Güimar y Polígono Industrial de Güimar, remitido por el Consejo Insular de Aguas de Tenerife al Ayun</w:t>
      </w:r>
      <w:r>
        <w:rPr>
          <w:b/>
        </w:rPr>
        <w:t xml:space="preserve">tamiento de Candelaria el día 25 de abril de 2022 que en el texto del oficio de remisión se dispone: </w:t>
      </w:r>
      <w:r>
        <w:rPr>
          <w:i/>
        </w:rPr>
        <w:t>“En relación al convenio al que se refiere el asunto, una vez consensuado el texto a nivel técnico y jurídico, adjunto se remite el borrador final (versión</w:t>
      </w:r>
      <w:r>
        <w:rPr>
          <w:i/>
        </w:rPr>
        <w:t xml:space="preserve"> 10 de fecha 18 de abril de 2022) a los efectos de que se proceda a dar inicio a su tramitación administrativa y aprobación por el órgano municipal competente, de conformidad con los compromisos asumidos por los representantes de los Ayuntamientos de Cande</w:t>
      </w:r>
      <w:r>
        <w:rPr>
          <w:i/>
        </w:rPr>
        <w:t>laria, Arafo y Güímar y del Consejo Insular de Aguas de Tenerife en la reunión mantenida en fecha de 21 de abril de 2022 en cumplimiento del convenio formalizado el 10 de junio de 2019 para el desarrollo Plan de Etapas en el marco del expediente 2017/11106</w:t>
      </w:r>
      <w:r>
        <w:rPr>
          <w:i/>
        </w:rPr>
        <w:t xml:space="preserve"> relativo al Emisario Submarino del Polígono Industrial del Valle de Güímar, cuyo expositivo 16 establece lo siguiente (la negrita es añadida)</w:t>
      </w:r>
      <w:r>
        <w:t xml:space="preserve"> </w:t>
      </w:r>
    </w:p>
    <w:p w:rsidR="007617AD" w:rsidRDefault="00EE75C8">
      <w:pPr>
        <w:spacing w:after="110" w:line="248" w:lineRule="auto"/>
        <w:ind w:left="693" w:right="59" w:firstLine="432"/>
      </w:pPr>
      <w:r>
        <w:rPr>
          <w:i/>
        </w:rPr>
        <w:t>16.- Finalmente, los tres Ayuntamientos firmantes consideran que, una vez ejecutada la EDARi del Polígono Indust</w:t>
      </w:r>
      <w:r>
        <w:rPr>
          <w:i/>
        </w:rPr>
        <w:t>rial del Valle de Güímar, su gestión y operación debe ser realizada por el Consejo Insular de Aguas de Tenerife, quedando así articulado un sistema integral de saneamiento para el Valle de Güímar en el que se integren los subsistemas de depuración industri</w:t>
      </w:r>
      <w:r>
        <w:rPr>
          <w:i/>
        </w:rPr>
        <w:t xml:space="preserve">al y de depuración urbana, toda vez que la Administración Hidráulica también se encuentra ejecutando una Estación Depuradora de Aguas Residuales para el tratamiento de los efluentes urbanos.  </w:t>
      </w:r>
    </w:p>
    <w:p w:rsidR="007617AD" w:rsidRDefault="00EE75C8">
      <w:pPr>
        <w:spacing w:after="110" w:line="248" w:lineRule="auto"/>
        <w:ind w:left="693" w:right="59" w:firstLine="432"/>
      </w:pPr>
      <w:r>
        <w:rPr>
          <w:i/>
        </w:rPr>
        <w:t>Las Corporaciones Municipales, por su parte, desarrollarán toda</w:t>
      </w:r>
      <w:r>
        <w:rPr>
          <w:i/>
        </w:rPr>
        <w:t xml:space="preserve">s las facultades propias de la prestación de un servicio público, especialmente, la reglamentación y el cobro de tasas por su prestación. La gestión del servicio será objeto de un Convenio específico, previo cumplimiento de los trámites procedentes, entre </w:t>
      </w:r>
      <w:r>
        <w:rPr>
          <w:i/>
        </w:rPr>
        <w:t>el Consejo Insular de Aguas de Tenerife, como gestor del servicio, y los Ayuntamientos de Candelaria, Arafo y Güímar, como titulares del mismo. En esta gestión se deberá respetar los siguientes principios:</w:t>
      </w:r>
      <w:r>
        <w:t xml:space="preserve"> </w:t>
      </w:r>
    </w:p>
    <w:p w:rsidR="007617AD" w:rsidRDefault="00EE75C8">
      <w:pPr>
        <w:spacing w:after="100" w:line="259" w:lineRule="auto"/>
        <w:ind w:left="1140" w:firstLine="0"/>
        <w:jc w:val="left"/>
      </w:pPr>
      <w:r>
        <w:t xml:space="preserve"> </w:t>
      </w:r>
    </w:p>
    <w:p w:rsidR="007617AD" w:rsidRDefault="00EE75C8">
      <w:pPr>
        <w:spacing w:after="110" w:line="248" w:lineRule="auto"/>
        <w:ind w:left="693" w:right="59" w:firstLine="432"/>
      </w:pPr>
      <w:r>
        <w:rPr>
          <w:i/>
        </w:rPr>
        <w:t>Primero. - El de repercusión de todos los coste</w:t>
      </w:r>
      <w:r>
        <w:rPr>
          <w:i/>
        </w:rPr>
        <w:t xml:space="preserve">s del servicio, incluyendo los costes ambientales, a los usuarios del mismo, en aplicación de lo mandatado por la Directiva Marco del Agua.  </w:t>
      </w:r>
    </w:p>
    <w:p w:rsidR="007617AD" w:rsidRDefault="00EE75C8">
      <w:pPr>
        <w:spacing w:after="110" w:line="248" w:lineRule="auto"/>
        <w:ind w:left="693" w:right="59" w:firstLine="432"/>
      </w:pPr>
      <w:r>
        <w:rPr>
          <w:i/>
        </w:rPr>
        <w:t>Segundo. - El de autofinanciación del servicio, por lo que todos los costes generados (funcionamiento, conservació</w:t>
      </w:r>
      <w:r>
        <w:rPr>
          <w:i/>
        </w:rPr>
        <w:t xml:space="preserve">n, administración, inversión) se repercutirán, en las proporciones y cuantías que se determinen, entre los usuarios del Sistema.  </w:t>
      </w:r>
    </w:p>
    <w:p w:rsidR="007617AD" w:rsidRDefault="00EE75C8">
      <w:pPr>
        <w:spacing w:after="110" w:line="248" w:lineRule="auto"/>
        <w:ind w:left="693" w:right="59" w:firstLine="432"/>
      </w:pPr>
      <w:r>
        <w:rPr>
          <w:i/>
        </w:rPr>
        <w:t>Tercero- El de equidad insular, por lo que no podrán existir diferencias sustanciales entre el coste del servicio en el Políg</w:t>
      </w:r>
      <w:r>
        <w:rPr>
          <w:i/>
        </w:rPr>
        <w:t xml:space="preserve">ono Industrial del Valle de Güímar y en otras zonas donde el Consejo Insular de Aguas pudiera asumir competencias similares. </w:t>
      </w:r>
    </w:p>
    <w:p w:rsidR="007617AD" w:rsidRDefault="00EE75C8">
      <w:pPr>
        <w:spacing w:after="98" w:line="259" w:lineRule="auto"/>
        <w:ind w:left="1140" w:firstLine="0"/>
        <w:jc w:val="left"/>
      </w:pPr>
      <w:r>
        <w:rPr>
          <w:i/>
        </w:rPr>
        <w:t xml:space="preserve"> </w:t>
      </w:r>
    </w:p>
    <w:p w:rsidR="007617AD" w:rsidRDefault="00EE75C8">
      <w:pPr>
        <w:spacing w:after="110" w:line="248" w:lineRule="auto"/>
        <w:ind w:left="693" w:right="59" w:firstLine="432"/>
      </w:pPr>
      <w:r>
        <w:rPr>
          <w:i/>
        </w:rPr>
        <w:t>Se solicita la colaboración de los Ayuntamientos en la agilización de los trámites que conduzcan a la aprobación del texto adjun</w:t>
      </w:r>
      <w:r>
        <w:rPr>
          <w:i/>
        </w:rPr>
        <w:t xml:space="preserve">to que se remite, previa tramitación del correspondiente procedimiento y emisión de los informes que resulten preceptivos.  </w:t>
      </w:r>
    </w:p>
    <w:p w:rsidR="007617AD" w:rsidRDefault="00EE75C8">
      <w:pPr>
        <w:spacing w:after="98" w:line="259" w:lineRule="auto"/>
        <w:ind w:left="1140" w:firstLine="0"/>
        <w:jc w:val="left"/>
      </w:pPr>
      <w:r>
        <w:rPr>
          <w:i/>
        </w:rPr>
        <w:t xml:space="preserve"> </w:t>
      </w:r>
    </w:p>
    <w:p w:rsidR="007617AD" w:rsidRDefault="00EE75C8">
      <w:pPr>
        <w:spacing w:after="110" w:line="248" w:lineRule="auto"/>
        <w:ind w:left="693" w:right="59" w:firstLine="432"/>
      </w:pPr>
      <w:r>
        <w:rPr>
          <w:i/>
        </w:rPr>
        <w:t>Para mayor facilidad en su tramitación se pone a su disposición en la siguiente dirección electrónica este borrador en formato ab</w:t>
      </w:r>
      <w:r>
        <w:rPr>
          <w:i/>
        </w:rPr>
        <w:t xml:space="preserve">ierto, acompañado de los siguientes documentos que se adjuntan también al presente escrito: </w:t>
      </w:r>
    </w:p>
    <w:p w:rsidR="007617AD" w:rsidRDefault="00EE75C8">
      <w:pPr>
        <w:spacing w:after="100" w:line="259" w:lineRule="auto"/>
        <w:ind w:left="1140" w:firstLine="0"/>
        <w:jc w:val="left"/>
      </w:pPr>
      <w:r>
        <w:rPr>
          <w:i/>
        </w:rPr>
        <w:t xml:space="preserve"> </w:t>
      </w:r>
    </w:p>
    <w:p w:rsidR="007617AD" w:rsidRDefault="00EE75C8">
      <w:pPr>
        <w:spacing w:after="110" w:line="248" w:lineRule="auto"/>
        <w:ind w:left="693" w:right="59" w:firstLine="432"/>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3914" name="Group 26391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6470" name="Rectangle 1647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6471" name="Rectangle 16471"/>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plataforma esP</w:t>
                              </w:r>
                              <w:r>
                                <w:rPr>
                                  <w:sz w:val="12"/>
                                </w:rPr>
                                <w:t xml:space="preserve">ublico Gestiona | Página 72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3914" style="width:12.7031pt;height:280.02pt;position:absolute;mso-position-horizontal-relative:page;mso-position-horizontal:absolute;margin-left:682.278pt;mso-position-vertical-relative:page;margin-top:531.9pt;" coordsize="1613,35562">
                <v:rect id="Rectangle 1647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6471"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192 </w:t>
                        </w:r>
                      </w:p>
                    </w:txbxContent>
                  </v:textbox>
                </v:rect>
                <w10:wrap type="square"/>
              </v:group>
            </w:pict>
          </mc:Fallback>
        </mc:AlternateContent>
      </w:r>
      <w:r>
        <w:rPr>
          <w:i/>
        </w:rPr>
        <w:t>Versión 10 (18/04/2022) del texto del convenio de cooperación interadministrativa entre el Consejo Insular de Aguas de Tenerife y los Ayuntamientos de Candelaria, Arafo y Güímar para la gestión de las infraestructuras de</w:t>
      </w:r>
      <w:r>
        <w:rPr>
          <w:i/>
        </w:rPr>
        <w:t xml:space="preserve"> depuración y vertido de aguas residuales, urbanas e industriales, de los Sistemas Territoriales del Valle de Güímar y Polígono Industrial del Valle de Güímar. </w:t>
      </w:r>
    </w:p>
    <w:p w:rsidR="007617AD" w:rsidRDefault="00EE75C8">
      <w:pPr>
        <w:numPr>
          <w:ilvl w:val="0"/>
          <w:numId w:val="28"/>
        </w:numPr>
        <w:spacing w:after="110" w:line="248" w:lineRule="auto"/>
        <w:ind w:left="1267" w:right="59" w:hanging="127"/>
      </w:pPr>
      <w:r>
        <w:rPr>
          <w:i/>
        </w:rPr>
        <w:t xml:space="preserve">Anexo I. Plano de puntos de recepción de las aguas residuales brutas de origen urbano. </w:t>
      </w:r>
    </w:p>
    <w:p w:rsidR="007617AD" w:rsidRDefault="00EE75C8">
      <w:pPr>
        <w:numPr>
          <w:ilvl w:val="0"/>
          <w:numId w:val="28"/>
        </w:numPr>
        <w:spacing w:after="110" w:line="248" w:lineRule="auto"/>
        <w:ind w:left="1267" w:right="59" w:hanging="127"/>
      </w:pPr>
      <w:r>
        <w:rPr>
          <w:i/>
        </w:rPr>
        <w:t xml:space="preserve">Anexo II. Plano de puntos de recepción de las aguas residuales brutas de origen industrial. </w:t>
      </w:r>
    </w:p>
    <w:p w:rsidR="007617AD" w:rsidRDefault="00EE75C8">
      <w:pPr>
        <w:numPr>
          <w:ilvl w:val="0"/>
          <w:numId w:val="28"/>
        </w:numPr>
        <w:spacing w:after="110" w:line="248" w:lineRule="auto"/>
        <w:ind w:left="1267" w:right="59" w:hanging="127"/>
      </w:pPr>
      <w:r>
        <w:rPr>
          <w:i/>
        </w:rPr>
        <w:t xml:space="preserve">Anexo III. Cronograma de Inversiones. </w:t>
      </w:r>
    </w:p>
    <w:p w:rsidR="007617AD" w:rsidRDefault="00EE75C8">
      <w:pPr>
        <w:numPr>
          <w:ilvl w:val="0"/>
          <w:numId w:val="28"/>
        </w:numPr>
        <w:spacing w:after="110" w:line="248" w:lineRule="auto"/>
        <w:ind w:left="1267" w:right="59" w:hanging="127"/>
      </w:pPr>
      <w:r>
        <w:rPr>
          <w:i/>
        </w:rPr>
        <w:t xml:space="preserve">Anexo IV. Costes estimados del convenio. </w:t>
      </w:r>
    </w:p>
    <w:p w:rsidR="007617AD" w:rsidRDefault="00EE75C8">
      <w:pPr>
        <w:spacing w:after="98" w:line="259" w:lineRule="auto"/>
        <w:ind w:left="708" w:firstLine="0"/>
        <w:jc w:val="left"/>
      </w:pPr>
      <w:r>
        <w:rPr>
          <w:b/>
        </w:rPr>
        <w:t xml:space="preserve"> </w:t>
      </w:r>
    </w:p>
    <w:p w:rsidR="007617AD" w:rsidRDefault="00EE75C8">
      <w:pPr>
        <w:spacing w:after="100" w:line="259" w:lineRule="auto"/>
        <w:ind w:left="708" w:firstLine="0"/>
        <w:jc w:val="left"/>
      </w:pPr>
      <w:r>
        <w:rPr>
          <w:b/>
        </w:rPr>
        <w:t xml:space="preserve"> </w:t>
      </w:r>
    </w:p>
    <w:p w:rsidR="007617AD" w:rsidRDefault="00EE75C8">
      <w:pPr>
        <w:ind w:left="2986" w:right="58"/>
      </w:pPr>
      <w:r>
        <w:rPr>
          <w:b/>
        </w:rPr>
        <w:t xml:space="preserve">               FUNDAMENTOS DE DERECHO </w:t>
      </w:r>
      <w:r>
        <w:t xml:space="preserve"> </w:t>
      </w:r>
    </w:p>
    <w:p w:rsidR="007617AD" w:rsidRDefault="00EE75C8">
      <w:pPr>
        <w:spacing w:after="98" w:line="259" w:lineRule="auto"/>
        <w:ind w:left="708" w:firstLine="0"/>
        <w:jc w:val="left"/>
      </w:pPr>
      <w:r>
        <w:rPr>
          <w:b/>
        </w:rPr>
        <w:t xml:space="preserve"> </w:t>
      </w:r>
    </w:p>
    <w:p w:rsidR="007617AD" w:rsidRDefault="00EE75C8">
      <w:pPr>
        <w:spacing w:after="0"/>
        <w:ind w:left="693" w:right="58" w:firstLine="1133"/>
      </w:pPr>
      <w:r>
        <w:rPr>
          <w:b/>
        </w:rPr>
        <w:t xml:space="preserve">PRIMERO. -  EL MARCO COMUNITARIO EN </w:t>
      </w:r>
      <w:r>
        <w:rPr>
          <w:b/>
        </w:rPr>
        <w:t xml:space="preserve">MATERIA DE SANEAMIENTO Y DEPURACIÓN DE AGUAS RESIDUALES. </w:t>
      </w:r>
    </w:p>
    <w:p w:rsidR="007617AD" w:rsidRDefault="00EE75C8">
      <w:pPr>
        <w:spacing w:after="0" w:line="259" w:lineRule="auto"/>
        <w:ind w:left="708" w:firstLine="0"/>
        <w:jc w:val="left"/>
      </w:pPr>
      <w:r>
        <w:rPr>
          <w:b/>
        </w:rPr>
        <w:t xml:space="preserve"> </w:t>
      </w:r>
    </w:p>
    <w:p w:rsidR="007617AD" w:rsidRDefault="00EE75C8">
      <w:pPr>
        <w:spacing w:after="5" w:line="265" w:lineRule="auto"/>
        <w:ind w:left="10" w:right="62"/>
        <w:jc w:val="right"/>
      </w:pPr>
      <w:r>
        <w:t xml:space="preserve">La Directiva 91/271/CEE, de 21 de mayo de 1991, sobre el tratamiento de las aguas </w:t>
      </w:r>
    </w:p>
    <w:p w:rsidR="007617AD" w:rsidRDefault="00EE75C8">
      <w:pPr>
        <w:ind w:left="703" w:right="62"/>
      </w:pPr>
      <w:r>
        <w:t>residuales urbanas (en lo sucesivo Directiva 91/271) - la  cual tiene por objeto la recogida, el tratamiento y el</w:t>
      </w:r>
      <w:r>
        <w:t xml:space="preserve"> vertido de las aguas residuales urbanas y el tratamiento y vertido de las aguas residuales procedentes de determinados sectores industriales, fue traspuesta a nuestro ordenamiento jurídico en virtud del Real Decreto Ley 11/1995, de 28 de diciembre, por el</w:t>
      </w:r>
      <w:r>
        <w:t xml:space="preserve"> que se aprueban las normas aplicables al tratamiento de las aguas residuales urbanas. </w:t>
      </w:r>
      <w:r>
        <w:rPr>
          <w:rFonts w:ascii="Times New Roman" w:eastAsia="Times New Roman" w:hAnsi="Times New Roman" w:cs="Times New Roman"/>
          <w:sz w:val="24"/>
        </w:rPr>
        <w:t xml:space="preserve"> </w:t>
      </w:r>
    </w:p>
    <w:p w:rsidR="007617AD" w:rsidRDefault="00EE75C8">
      <w:pPr>
        <w:spacing w:after="4"/>
        <w:ind w:left="703" w:right="62"/>
      </w:pPr>
      <w:r>
        <w:t xml:space="preserve">  El RD Ley 11/95 estableció la obligación de realizar un tratamiento previo al vertido de las aguas residuales industriales que, entre otros requisitos, sea suficient</w:t>
      </w:r>
      <w:r>
        <w:t xml:space="preserve">e para “garantizar que los vertidos de las instalaciones de tratamiento no tengan efectos nocivos sobre el medio ambiente y no impidan que las aguas receptoras cumplan los objetivos de calidad de la normativa vigente” (art. </w:t>
      </w:r>
    </w:p>
    <w:p w:rsidR="007617AD" w:rsidRDefault="00EE75C8">
      <w:pPr>
        <w:ind w:left="703" w:right="62"/>
      </w:pPr>
      <w:r>
        <w:t xml:space="preserve">8). </w:t>
      </w:r>
      <w:r>
        <w:rPr>
          <w:rFonts w:ascii="Times New Roman" w:eastAsia="Times New Roman" w:hAnsi="Times New Roman" w:cs="Times New Roman"/>
          <w:sz w:val="24"/>
        </w:rPr>
        <w:t xml:space="preserve"> </w:t>
      </w:r>
    </w:p>
    <w:p w:rsidR="007617AD" w:rsidRDefault="00EE75C8">
      <w:pPr>
        <w:spacing w:after="169"/>
        <w:ind w:left="693" w:right="62" w:firstLine="1133"/>
      </w:pPr>
      <w:r>
        <w:t>Además, esta norma reguló el tipo de tratamiento requerido para las aguas residuales (tratamiento primario vs. tratamiento secundario) en función del número de habitantes equivalentes (h-e) que llegan a la instalación. En los casos de vertido al mar, y has</w:t>
      </w:r>
      <w:r>
        <w:t xml:space="preserve">ta un máximo de 10.000 h – e es admisible un tratamiento primario (estación de tratamiento adecuado, ETAR) y, una vez superado dicho umbral, se requiere el sometimiento del agua residual a un tratamiento secundario (estación depuradora, EDAR).  </w:t>
      </w:r>
    </w:p>
    <w:p w:rsidR="007617AD" w:rsidRDefault="00EE75C8">
      <w:pPr>
        <w:spacing w:after="0" w:line="259" w:lineRule="auto"/>
        <w:ind w:left="708" w:firstLine="0"/>
        <w:jc w:val="left"/>
      </w:pPr>
      <w:r>
        <w:rPr>
          <w:rFonts w:ascii="Times New Roman" w:eastAsia="Times New Roman" w:hAnsi="Times New Roman" w:cs="Times New Roman"/>
          <w:b/>
          <w:sz w:val="24"/>
        </w:rPr>
        <w:t xml:space="preserve"> </w:t>
      </w:r>
    </w:p>
    <w:p w:rsidR="007617AD" w:rsidRDefault="00EE75C8">
      <w:pPr>
        <w:spacing w:after="0" w:line="259" w:lineRule="auto"/>
        <w:ind w:left="1841" w:firstLine="0"/>
        <w:jc w:val="left"/>
      </w:pPr>
      <w:r>
        <w:rPr>
          <w:rFonts w:ascii="Times New Roman" w:eastAsia="Times New Roman" w:hAnsi="Times New Roman" w:cs="Times New Roman"/>
          <w:b/>
          <w:sz w:val="24"/>
        </w:rPr>
        <w:t xml:space="preserve"> </w:t>
      </w:r>
    </w:p>
    <w:p w:rsidR="007617AD" w:rsidRDefault="00EE75C8">
      <w:pPr>
        <w:spacing w:after="13"/>
        <w:ind w:left="693" w:right="58" w:firstLine="1133"/>
      </w:pPr>
      <w:r>
        <w:rPr>
          <w:b/>
        </w:rPr>
        <w:t>SEGUND</w:t>
      </w:r>
      <w:r>
        <w:rPr>
          <w:b/>
        </w:rPr>
        <w:t xml:space="preserve">O. - COMPETENCIAS MUNICIPALES: AYUNTAMIENTO DE ARAFO, CANDELARIA Y GÜIMAR. </w:t>
      </w:r>
    </w:p>
    <w:p w:rsidR="007617AD" w:rsidRDefault="00EE75C8">
      <w:pPr>
        <w:spacing w:after="0" w:line="259" w:lineRule="auto"/>
        <w:ind w:left="1841" w:firstLine="0"/>
        <w:jc w:val="left"/>
      </w:pPr>
      <w:r>
        <w:rPr>
          <w:rFonts w:ascii="Times New Roman" w:eastAsia="Times New Roman" w:hAnsi="Times New Roman" w:cs="Times New Roman"/>
          <w:b/>
          <w:sz w:val="24"/>
        </w:rPr>
        <w:t xml:space="preserve"> </w:t>
      </w:r>
    </w:p>
    <w:p w:rsidR="007617AD" w:rsidRDefault="00EE75C8">
      <w:pPr>
        <w:spacing w:after="230"/>
        <w:ind w:left="693" w:right="62" w:firstLine="1133"/>
      </w:pPr>
      <w:r>
        <w:t xml:space="preserve">El art. 7.2 LRBRL dispone que “Las competencias propias de los Municipios, las Provincias, las Islas y demás Entidades Locales territoriales solo podrán ser determinadas por Ley </w:t>
      </w:r>
      <w:r>
        <w:t xml:space="preserve">y se ejercen en régimen de autonomía y bajo la propia responsabilidad, atendiendo siempre a la debida coordinación en su programación y ejecución con las demás Administraciones Públicas”.  </w:t>
      </w:r>
    </w:p>
    <w:p w:rsidR="007617AD" w:rsidRDefault="00EE75C8">
      <w:pPr>
        <w:spacing w:after="11"/>
        <w:ind w:left="1851" w:right="62"/>
      </w:pPr>
      <w:r>
        <w:t>En este sentido conforme al art. 25.2 LRBRL el municipio ejercerá,</w:t>
      </w:r>
      <w:r>
        <w:t xml:space="preserve"> en todo caso, </w:t>
      </w:r>
    </w:p>
    <w:p w:rsidR="007617AD" w:rsidRDefault="00EE75C8">
      <w:pPr>
        <w:spacing w:after="210"/>
        <w:ind w:left="703" w:right="62"/>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3797" name="Group 26379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6578" name="Rectangle 1657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6579" name="Rectangle 16579"/>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73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3797" style="width:12.7031pt;height:280.02pt;position:absolute;mso-position-horizontal-relative:page;mso-position-horizontal:absolute;margin-left:682.278pt;mso-position-vertical-relative:page;margin-top:531.9pt;" coordsize="1613,35562">
                <v:rect id="Rectangle 1657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6579"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192 </w:t>
                        </w:r>
                      </w:p>
                    </w:txbxContent>
                  </v:textbox>
                </v:rect>
                <w10:wrap type="square"/>
              </v:group>
            </w:pict>
          </mc:Fallback>
        </mc:AlternateContent>
      </w:r>
      <w:r>
        <w:t>competencias propias en materia de "</w:t>
      </w:r>
      <w:r>
        <w:t>evacuación y tratamiento de aguas residuales” (letra c.).</w:t>
      </w:r>
      <w:r>
        <w:rPr>
          <w:rFonts w:ascii="Times New Roman" w:eastAsia="Times New Roman" w:hAnsi="Times New Roman" w:cs="Times New Roman"/>
          <w:sz w:val="24"/>
        </w:rPr>
        <w:t xml:space="preserve"> </w:t>
      </w:r>
    </w:p>
    <w:p w:rsidR="007617AD" w:rsidRDefault="00EE75C8">
      <w:pPr>
        <w:spacing w:after="229"/>
        <w:ind w:left="1851" w:right="62"/>
      </w:pPr>
      <w:r>
        <w:t xml:space="preserve">Asimismo, conforme a los apartados 3 y 4 del referido art. 25 LRBRL: </w:t>
      </w:r>
    </w:p>
    <w:p w:rsidR="007617AD" w:rsidRDefault="00EE75C8">
      <w:pPr>
        <w:numPr>
          <w:ilvl w:val="0"/>
          <w:numId w:val="29"/>
        </w:numPr>
        <w:spacing w:after="231" w:line="248" w:lineRule="auto"/>
        <w:ind w:right="59"/>
      </w:pPr>
      <w:r>
        <w:rPr>
          <w:i/>
        </w:rPr>
        <w:t>Las competencias municipales en las materias enunciadas en este artículo se determinarán por Ley debiendo evaluar la convenienc</w:t>
      </w:r>
      <w:r>
        <w:rPr>
          <w:i/>
        </w:rPr>
        <w:t xml:space="preserve">ia de la implantación de servicios locales conforme a los principios de descentralización, eficiencia, estabilidad y sostenibilidad financiera. </w:t>
      </w:r>
    </w:p>
    <w:p w:rsidR="007617AD" w:rsidRDefault="00EE75C8">
      <w:pPr>
        <w:numPr>
          <w:ilvl w:val="0"/>
          <w:numId w:val="29"/>
        </w:numPr>
        <w:spacing w:after="234" w:line="248" w:lineRule="auto"/>
        <w:ind w:right="59"/>
      </w:pPr>
      <w:r>
        <w:rPr>
          <w:i/>
        </w:rPr>
        <w:t>La Ley a que se refiere el apartado anterior deberá ir acompañada de una memoria económica que refleje el impac</w:t>
      </w:r>
      <w:r>
        <w:rPr>
          <w:i/>
        </w:rPr>
        <w:t>to sobre los recursos financieros de las Administraciones Públicas afectadas y el cumplimiento de los principios de estabilidad, sostenibilidad financiera y eficiencia del servicio o la actividad. La Ley debe prever la dotación de los recursos necesarios p</w:t>
      </w:r>
      <w:r>
        <w:rPr>
          <w:i/>
        </w:rPr>
        <w:t xml:space="preserve">ara asegurar la suficiencia financiera de las Entidades Locales sin que ello pueda conllevar, en ningún caso, un mayor gasto de las Administraciones. </w:t>
      </w:r>
    </w:p>
    <w:p w:rsidR="007617AD" w:rsidRDefault="00EE75C8">
      <w:pPr>
        <w:spacing w:after="234"/>
        <w:ind w:left="703" w:right="62"/>
      </w:pPr>
      <w:r>
        <w:t>Es de aplicación el artículo 26.1 a) de la Ley de Bases del Régimen local que atribuye a todos los munici</w:t>
      </w:r>
      <w:r>
        <w:t xml:space="preserve">pios la competencia de alcantarillado. </w:t>
      </w:r>
    </w:p>
    <w:p w:rsidR="007617AD" w:rsidRDefault="00EE75C8">
      <w:pPr>
        <w:spacing w:after="213"/>
        <w:ind w:left="693" w:right="62" w:firstLine="1133"/>
      </w:pPr>
      <w:r>
        <w:t xml:space="preserve">Por otra parte, la Ley 14/1986, de 25 de abril, General de Sanidad, que concreta las competencias municipales en materia de “medio ambiente urbano”, en su art. 42, apartado 3, considera una responsabilidad mínima de </w:t>
      </w:r>
      <w:r>
        <w:t xml:space="preserve">los Ayuntamientos el “control sanitario del medio ambiente: la contaminación atmosférica, abastecimiento de aguas, saneamiento de aguas residuales, residuos urbanos e industriales”. </w:t>
      </w:r>
      <w:r>
        <w:rPr>
          <w:rFonts w:ascii="Times New Roman" w:eastAsia="Times New Roman" w:hAnsi="Times New Roman" w:cs="Times New Roman"/>
          <w:sz w:val="24"/>
        </w:rPr>
        <w:t xml:space="preserve"> </w:t>
      </w:r>
    </w:p>
    <w:p w:rsidR="007617AD" w:rsidRDefault="00EE75C8">
      <w:pPr>
        <w:ind w:left="1851" w:right="62"/>
      </w:pPr>
      <w:r>
        <w:t>El art. 10 del Decreto 174/1994 de 29 de julio, por el que se aprueba el</w:t>
      </w:r>
      <w:r>
        <w:t xml:space="preserve"> Reglamento de </w:t>
      </w:r>
    </w:p>
    <w:p w:rsidR="007617AD" w:rsidRDefault="00EE75C8">
      <w:pPr>
        <w:spacing w:after="214"/>
        <w:ind w:left="703" w:right="62"/>
      </w:pPr>
      <w:r>
        <w:t>Control de Vertidos para la ocupación del dominio público hidráulico. (RCV), según el cual “los municipios son directamente responsables de los servicios de abastecimiento domiciliario de agua potable, de alcantarillado y de tratamiento o d</w:t>
      </w:r>
      <w:r>
        <w:t>epuración de las aguas residuales en los términos de la legislación de régimen local. Entre sus responsabilidades se incluyen (…) b.) El buen funcionamiento de sus servicios de depuración, así como la vigilancia de los instalados en las urbanizaciones no c</w:t>
      </w:r>
      <w:r>
        <w:t xml:space="preserve">onectados al sistema general; c.) El control de los efluentes de sus servicios de alcantarillado y depuración de aguas residuales (…)”. </w:t>
      </w:r>
      <w:r>
        <w:rPr>
          <w:rFonts w:ascii="Times New Roman" w:eastAsia="Times New Roman" w:hAnsi="Times New Roman" w:cs="Times New Roman"/>
          <w:sz w:val="24"/>
        </w:rPr>
        <w:t xml:space="preserve"> </w:t>
      </w:r>
    </w:p>
    <w:p w:rsidR="007617AD" w:rsidRDefault="00EE75C8">
      <w:pPr>
        <w:spacing w:after="232"/>
        <w:ind w:left="703" w:right="62"/>
      </w:pPr>
      <w:r>
        <w:t xml:space="preserve">Es de aplicación la norma 297.3 del Plan Hidrológico de la Demarcación Hidrográfica de Tenerife, aprobado mediante Decreto 168/2018, de 26 de noviembre (BOC nº 250 de 27 de diciembre de 2018), que en su apartado 2 dispone: </w:t>
      </w:r>
    </w:p>
    <w:p w:rsidR="007617AD" w:rsidRDefault="00EE75C8">
      <w:pPr>
        <w:spacing w:after="231" w:line="248" w:lineRule="auto"/>
        <w:ind w:left="703" w:right="59"/>
      </w:pPr>
      <w:r>
        <w:rPr>
          <w:i/>
        </w:rPr>
        <w:t>El servicio de tratamiento del a</w:t>
      </w:r>
      <w:r>
        <w:rPr>
          <w:i/>
        </w:rPr>
        <w:t xml:space="preserve">gua residual y el vertido podrá ser gestionado mediante fórmula de convenio entre el CIATF y uno o varios Ayuntamientos. </w:t>
      </w:r>
    </w:p>
    <w:p w:rsidR="007617AD" w:rsidRDefault="00EE75C8">
      <w:pPr>
        <w:spacing w:after="231" w:line="248" w:lineRule="auto"/>
        <w:ind w:left="703" w:right="59"/>
      </w:pPr>
      <w:r>
        <w:rPr>
          <w:i/>
        </w:rPr>
        <w:t>En este caso, se entenderá que el órgano de gestión del Convenio asume la prestación del servicio para su gestión –de manera habitual-</w:t>
      </w:r>
      <w:r>
        <w:rPr>
          <w:i/>
        </w:rPr>
        <w:t xml:space="preserve"> por el Consejo Insular de Aguas, sin perjuicio de lo que corresponda en razón de la autonomía de cada Ayuntamiento en su término municipal.  </w:t>
      </w:r>
    </w:p>
    <w:p w:rsidR="007617AD" w:rsidRDefault="00EE75C8">
      <w:pPr>
        <w:spacing w:after="229" w:line="248" w:lineRule="auto"/>
        <w:ind w:left="703" w:right="59"/>
      </w:pPr>
      <w:r>
        <w:rPr>
          <w:i/>
        </w:rPr>
        <w:t>El Consejo Insular se subrogará en la explotación de las instalaciones de depuración y vertido del agua residual que no cumplan las condiciones adecuadas para la protección del medio ambiente o impidan el tratamiento de la regeneración del agua residual, s</w:t>
      </w:r>
      <w:r>
        <w:rPr>
          <w:i/>
        </w:rPr>
        <w:t xml:space="preserve">i fuere necesario para la planificación hidráulica insular. </w:t>
      </w:r>
    </w:p>
    <w:p w:rsidR="007617AD" w:rsidRDefault="00EE75C8">
      <w:pPr>
        <w:spacing w:after="218" w:line="259" w:lineRule="auto"/>
        <w:ind w:left="1841" w:firstLine="0"/>
        <w:jc w:val="left"/>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3917" name="Group 26391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6697" name="Rectangle 1669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6698" name="Rectangle 16698"/>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plataforma esPublico Gestiona | Página 74 de 192</w:t>
                              </w: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63917" style="width:12.7031pt;height:280.02pt;position:absolute;mso-position-horizontal-relative:page;mso-position-horizontal:absolute;margin-left:682.278pt;mso-position-vertical-relative:page;margin-top:531.9pt;" coordsize="1613,35562">
                <v:rect id="Rectangle 1669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6698"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192 </w:t>
                        </w:r>
                      </w:p>
                    </w:txbxContent>
                  </v:textbox>
                </v:rect>
                <w10:wrap type="square"/>
              </v:group>
            </w:pict>
          </mc:Fallback>
        </mc:AlternateContent>
      </w:r>
      <w:r>
        <w:rPr>
          <w:b/>
        </w:rPr>
        <w:t xml:space="preserve"> </w:t>
      </w:r>
    </w:p>
    <w:p w:rsidR="007617AD" w:rsidRDefault="00EE75C8">
      <w:pPr>
        <w:spacing w:after="234"/>
        <w:ind w:left="693" w:right="58" w:firstLine="1133"/>
      </w:pPr>
      <w:r>
        <w:rPr>
          <w:b/>
        </w:rPr>
        <w:t xml:space="preserve">TERCERO. - COMPETENCIAS INSULARES PARA LA GESTIÓN CONJUNTA DE LAS INFRAESTRUCTURAS DE DEPURACIÓN Y VERTIDO EN EL SISTEMA TERRITORIAL DE SANEAMIENTO DEL VALLE DE GÜIMAR Y POLÍGONO INDUSTRIAL DEL VALLE DE GÜIMAR. </w:t>
      </w:r>
    </w:p>
    <w:p w:rsidR="007617AD" w:rsidRDefault="00EE75C8">
      <w:pPr>
        <w:spacing w:after="237"/>
        <w:ind w:left="693" w:right="58" w:firstLine="1133"/>
      </w:pPr>
      <w:r>
        <w:rPr>
          <w:b/>
        </w:rPr>
        <w:t>Competencias insulares para la gestión c</w:t>
      </w:r>
      <w:r>
        <w:rPr>
          <w:b/>
        </w:rPr>
        <w:t xml:space="preserve">onjunta de las infraestructuras de depuración y vertido integradas en el Sistema Territorial de Saneamiento del Valle de Güímar y Polígono Industrial Valle de Güímar. </w:t>
      </w:r>
    </w:p>
    <w:p w:rsidR="007617AD" w:rsidRDefault="00EE75C8">
      <w:pPr>
        <w:spacing w:after="211" w:line="248" w:lineRule="auto"/>
        <w:ind w:left="703" w:right="59"/>
      </w:pPr>
      <w:r>
        <w:t xml:space="preserve">Es de aplicación el artículo 26.2 de la Ley de Bases del Régimen local que establece: </w:t>
      </w:r>
      <w:r>
        <w:rPr>
          <w:i/>
        </w:rPr>
        <w:t>2.</w:t>
      </w:r>
      <w:r>
        <w:rPr>
          <w:i/>
        </w:rPr>
        <w:t xml:space="preserve"> En los municipios con población inferior a 20.000 habitantes será la Diputación provincial o entidad equivalente la que coordinará la prestación de los siguientes servicios: b) (…) evacuación y tratamiento de aguas residuales. </w:t>
      </w:r>
      <w:r>
        <w:rPr>
          <w:rFonts w:ascii="Times New Roman" w:eastAsia="Times New Roman" w:hAnsi="Times New Roman" w:cs="Times New Roman"/>
          <w:sz w:val="24"/>
        </w:rPr>
        <w:t xml:space="preserve"> </w:t>
      </w:r>
    </w:p>
    <w:p w:rsidR="007617AD" w:rsidRDefault="00EE75C8">
      <w:pPr>
        <w:spacing w:after="214"/>
        <w:ind w:left="703" w:right="62"/>
      </w:pPr>
      <w:r>
        <w:t>Es de aplicación lo dispue</w:t>
      </w:r>
      <w:r>
        <w:t xml:space="preserve">sto en el artículo 41.1 de la Ley de Bases del Régimen local que establece Los Cabildos Insulares Canarios, como órganos de gobierno, administración y representación de cada isla, se rigen por las normas contenidas en la disposición adicional decimocuarta </w:t>
      </w:r>
      <w:r>
        <w:t>de esta ley y supletoriamente por las normas que regulan la organización y funcionamiento de las Diputaciones provinciales, asumiendo las competencias de éstas, sin perjuicio de lo dispuesto en el Estatuto de Autonomía de Canarias.</w:t>
      </w:r>
      <w:r>
        <w:rPr>
          <w:rFonts w:ascii="Times New Roman" w:eastAsia="Times New Roman" w:hAnsi="Times New Roman" w:cs="Times New Roman"/>
          <w:sz w:val="24"/>
        </w:rPr>
        <w:t xml:space="preserve"> </w:t>
      </w:r>
    </w:p>
    <w:p w:rsidR="007617AD" w:rsidRDefault="00EE75C8">
      <w:pPr>
        <w:spacing w:after="197" w:line="248" w:lineRule="auto"/>
        <w:ind w:left="703" w:right="59"/>
      </w:pPr>
      <w:r>
        <w:t>Es de aplicación la nor</w:t>
      </w:r>
      <w:r>
        <w:t xml:space="preserve">ma 298.1 “Gestión supramunicipal del Saneamiento” del Plan Hidrológico de la Demarcación Hidrográfica de Tenerife, aprobado mediante Decreto 168/2018, de 26 de noviembre (BOC nº 250 de 27 de diciembre de 2018), que dispone: </w:t>
      </w:r>
      <w:r>
        <w:rPr>
          <w:i/>
        </w:rPr>
        <w:t>1.- En los municipios de menos d</w:t>
      </w:r>
      <w:r>
        <w:rPr>
          <w:i/>
        </w:rPr>
        <w:t xml:space="preserve">e 20.000 habitantes, el Cabildo de Tenerife –directamente o a través del Consejo Insular de Aguas, según se establezca -coordinará la prestación del servicio de saneamiento del agua residual en los términos previstos en el artículo 26.2 de la Ley de Bases </w:t>
      </w:r>
      <w:r>
        <w:rPr>
          <w:i/>
        </w:rPr>
        <w:t>del Régimen local (…).</w:t>
      </w:r>
      <w:r>
        <w:rPr>
          <w:rFonts w:ascii="Times New Roman" w:eastAsia="Times New Roman" w:hAnsi="Times New Roman" w:cs="Times New Roman"/>
          <w:sz w:val="24"/>
        </w:rPr>
        <w:t xml:space="preserve"> </w:t>
      </w:r>
    </w:p>
    <w:p w:rsidR="007617AD" w:rsidRDefault="00EE75C8">
      <w:pPr>
        <w:spacing w:after="235"/>
        <w:ind w:left="703" w:right="62"/>
      </w:pPr>
      <w:r>
        <w:t>Los Consejos Insulares son Organismos Autónomos que ejercen en cada Isla las funciones que, en relación con las aguas, la legislación general confía a los Organismos de cuenca, así como las competencias que le otorga la propia Ley de Aguas de Canarias (art</w:t>
      </w:r>
      <w:r>
        <w:t xml:space="preserve">s. 6 y 10 LAC).  </w:t>
      </w:r>
    </w:p>
    <w:p w:rsidR="007617AD" w:rsidRDefault="00EE75C8">
      <w:pPr>
        <w:spacing w:after="214"/>
        <w:ind w:left="703" w:right="62"/>
      </w:pPr>
      <w:r>
        <w:t>El Consejo Insular de Aguas de Tenerife tiene atribuidas, entre otras funciones, la prestación de toda clase de servicios técnicos y el asesoramiento a las Administraciones Públicas, según determina la Ley 12/1990, de 26 de julio, de Agua</w:t>
      </w:r>
      <w:r>
        <w:t xml:space="preserve">s de Canarias. </w:t>
      </w:r>
      <w:r>
        <w:rPr>
          <w:rFonts w:ascii="Times New Roman" w:eastAsia="Times New Roman" w:hAnsi="Times New Roman" w:cs="Times New Roman"/>
          <w:sz w:val="24"/>
        </w:rPr>
        <w:t xml:space="preserve"> </w:t>
      </w:r>
    </w:p>
    <w:p w:rsidR="007617AD" w:rsidRDefault="00EE75C8">
      <w:pPr>
        <w:spacing w:after="213"/>
        <w:ind w:left="703" w:right="62"/>
      </w:pPr>
      <w:r>
        <w:t>Atendiendo a lo anterior, de acuerdo con la actuación desarrollada hasta la fecha en los Convenios formalizados con los Ayuntamientos de la Isla para articular sus competencias en lo que respecta a la depuración y vertido, corresponde al C</w:t>
      </w:r>
      <w:r>
        <w:t>IATF la gestión de las infraestructuras a través de la fórmula que se considere adecuada a tal fin (que podrá ser por contratos de servicios (funciones de operación) o encargo a medio propio, una combinación de ambas u otras fórmulas previstas en el ordena</w:t>
      </w:r>
      <w:r>
        <w:t>miento jurídico que sean adecuadas a tal fin), y a llevar a cabo un control ambiental y técnico de su funcionamiento. Además, el CIATF prefinancia esta gestión pues atiende a todos los gastos (incluyendo la electricidad) y, a posteriori, procede a su reper</w:t>
      </w:r>
      <w:r>
        <w:t xml:space="preserve">cusión íntegra a los Ayuntamientos. </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ind w:left="693" w:right="58" w:firstLine="708"/>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3503" name="Group 263503"/>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6804" name="Rectangle 1680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6805" name="Rectangle 16805"/>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75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3503" style="width:12.7031pt;height:280.02pt;position:absolute;mso-position-horizontal-relative:page;mso-position-horizontal:absolute;margin-left:682.278pt;mso-position-vertical-relative:page;margin-top:531.9pt;" coordsize="1613,35562">
                <v:rect id="Rectangle 1680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6805"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192 </w:t>
                        </w:r>
                      </w:p>
                    </w:txbxContent>
                  </v:textbox>
                </v:rect>
                <w10:wrap type="square"/>
              </v:group>
            </w:pict>
          </mc:Fallback>
        </mc:AlternateContent>
      </w:r>
      <w:r>
        <w:rPr>
          <w:b/>
        </w:rPr>
        <w:t>CUARTO. - LA INELUD</w:t>
      </w:r>
      <w:r>
        <w:rPr>
          <w:b/>
        </w:rPr>
        <w:t xml:space="preserve">IBLE COORDINACIÓN QUE DEBE EXISTIR ENTRE EL CONSEJO INSULAR DE AGUAS Y LOS AYUNTAMIENTOS DE ARAFO, CANDELARIA Y GÜIMAR. </w:t>
      </w:r>
      <w:r>
        <w:rPr>
          <w:rFonts w:ascii="Times New Roman" w:eastAsia="Times New Roman" w:hAnsi="Times New Roman" w:cs="Times New Roman"/>
          <w:sz w:val="24"/>
        </w:rPr>
        <w:t xml:space="preserve"> </w:t>
      </w:r>
    </w:p>
    <w:p w:rsidR="007617AD" w:rsidRDefault="00EE75C8">
      <w:pPr>
        <w:spacing w:after="0" w:line="259" w:lineRule="auto"/>
        <w:ind w:left="1416" w:firstLine="0"/>
        <w:jc w:val="left"/>
      </w:pPr>
      <w:r>
        <w:t xml:space="preserve"> </w:t>
      </w:r>
    </w:p>
    <w:p w:rsidR="007617AD" w:rsidRDefault="00EE75C8">
      <w:pPr>
        <w:spacing w:after="280"/>
        <w:ind w:left="693" w:right="58" w:firstLine="708"/>
      </w:pPr>
      <w:r>
        <w:rPr>
          <w:b/>
        </w:rPr>
        <w:t>Es de aplicación el Artículo 55 de la ley de Bases del Régimen Local que regula las relaciones interadministrativas, y por tanto las</w:t>
      </w:r>
      <w:r>
        <w:rPr>
          <w:b/>
        </w:rPr>
        <w:t xml:space="preserve"> relaciones entre los Ayuntamientos de Arafo, Candelaria y Güimar:</w:t>
      </w:r>
      <w:r>
        <w:rPr>
          <w:vertAlign w:val="subscript"/>
        </w:rPr>
        <w:t xml:space="preserve"> </w:t>
      </w:r>
    </w:p>
    <w:p w:rsidR="007617AD" w:rsidRDefault="00EE75C8">
      <w:pPr>
        <w:spacing w:after="274" w:line="248" w:lineRule="auto"/>
        <w:ind w:left="703" w:right="59"/>
      </w:pPr>
      <w:r>
        <w:rPr>
          <w:i/>
        </w:rPr>
        <w:t xml:space="preserve">Para la efectiva coordinación y eficacia administrativa, la Administración General del Estado, así como las Administraciones autonómica y local, de acuerdo con el principio de lealtad institucional, deberán en sus relaciones recíprocas: </w:t>
      </w:r>
    </w:p>
    <w:p w:rsidR="007617AD" w:rsidRDefault="00EE75C8">
      <w:pPr>
        <w:numPr>
          <w:ilvl w:val="0"/>
          <w:numId w:val="30"/>
        </w:numPr>
        <w:spacing w:after="277" w:line="248" w:lineRule="auto"/>
        <w:ind w:right="59"/>
      </w:pPr>
      <w:r>
        <w:rPr>
          <w:i/>
        </w:rPr>
        <w:t>Respetar el ejerci</w:t>
      </w:r>
      <w:r>
        <w:rPr>
          <w:i/>
        </w:rPr>
        <w:t xml:space="preserve">cio legítimo por las otras Administraciones de sus competencias y las consecuencias que del mismo se deriven para las propias. </w:t>
      </w:r>
    </w:p>
    <w:p w:rsidR="007617AD" w:rsidRDefault="00EE75C8">
      <w:pPr>
        <w:numPr>
          <w:ilvl w:val="0"/>
          <w:numId w:val="30"/>
        </w:numPr>
        <w:spacing w:after="275" w:line="248" w:lineRule="auto"/>
        <w:ind w:right="59"/>
      </w:pPr>
      <w:r>
        <w:rPr>
          <w:i/>
        </w:rPr>
        <w:t>Ponderar, en la actuación de las competencias propias, la totalidad de los intereses públicos implicados y, en concreto, aquello</w:t>
      </w:r>
      <w:r>
        <w:rPr>
          <w:i/>
        </w:rPr>
        <w:t xml:space="preserve">s cuya gestión esté encomendada a otras Administraciones. </w:t>
      </w:r>
    </w:p>
    <w:p w:rsidR="007617AD" w:rsidRDefault="00EE75C8">
      <w:pPr>
        <w:numPr>
          <w:ilvl w:val="0"/>
          <w:numId w:val="30"/>
        </w:numPr>
        <w:spacing w:after="274" w:line="248" w:lineRule="auto"/>
        <w:ind w:right="59"/>
      </w:pPr>
      <w:r>
        <w:rPr>
          <w:i/>
        </w:rPr>
        <w:t xml:space="preserve">Valorar el impacto que sus actuaciones, en materia presupuestaria y financiera, pudieran provocar en el resto de Administraciones Públicas. </w:t>
      </w:r>
    </w:p>
    <w:p w:rsidR="007617AD" w:rsidRDefault="00EE75C8">
      <w:pPr>
        <w:numPr>
          <w:ilvl w:val="0"/>
          <w:numId w:val="30"/>
        </w:numPr>
        <w:spacing w:after="110" w:line="248" w:lineRule="auto"/>
        <w:ind w:right="59"/>
      </w:pPr>
      <w:r>
        <w:rPr>
          <w:i/>
        </w:rPr>
        <w:t>Facilitar a las otras Administraciones la información so</w:t>
      </w:r>
      <w:r>
        <w:rPr>
          <w:i/>
        </w:rPr>
        <w:t xml:space="preserve">bre la propia gestión que sea relevante para el adecuado desarrollo por éstas de sus cometidos. </w:t>
      </w:r>
    </w:p>
    <w:p w:rsidR="007617AD" w:rsidRDefault="00EE75C8">
      <w:pPr>
        <w:numPr>
          <w:ilvl w:val="0"/>
          <w:numId w:val="30"/>
        </w:numPr>
        <w:spacing w:after="272" w:line="248" w:lineRule="auto"/>
        <w:ind w:right="59"/>
      </w:pPr>
      <w:r>
        <w:rPr>
          <w:i/>
        </w:rPr>
        <w:t xml:space="preserve">Prestar, en el ámbito propio, la cooperación y asistencia activas que las otras Administraciones pudieran precisar para el eficaz cumplimiento de sus tareas. </w:t>
      </w:r>
    </w:p>
    <w:p w:rsidR="007617AD" w:rsidRDefault="00EE75C8">
      <w:pPr>
        <w:spacing w:after="277"/>
        <w:ind w:left="693" w:right="58" w:firstLine="708"/>
      </w:pPr>
      <w:r>
        <w:rPr>
          <w:b/>
        </w:rPr>
        <w:t>A tal efecto conviene recordar lo que el auto judicial de 13 de junio de 2017 del Juzgado de lo Contencioso-Administrativo número 4 estableció:</w:t>
      </w:r>
      <w:r>
        <w:rPr>
          <w:i/>
        </w:rPr>
        <w:t xml:space="preserve"> </w:t>
      </w:r>
    </w:p>
    <w:p w:rsidR="007617AD" w:rsidRDefault="00EE75C8">
      <w:pPr>
        <w:spacing w:after="0" w:line="259" w:lineRule="auto"/>
        <w:ind w:left="708" w:firstLine="0"/>
        <w:jc w:val="left"/>
      </w:pPr>
      <w:r>
        <w:rPr>
          <w:b/>
        </w:rPr>
        <w:t xml:space="preserve"> </w:t>
      </w:r>
    </w:p>
    <w:p w:rsidR="007617AD" w:rsidRDefault="00EE75C8">
      <w:pPr>
        <w:spacing w:after="10" w:line="249" w:lineRule="auto"/>
        <w:jc w:val="left"/>
      </w:pPr>
      <w:r>
        <w:rPr>
          <w:b/>
          <w:u w:val="single" w:color="000000"/>
        </w:rPr>
        <w:t>A tal efecto destacamos el contenido del auto lo siguiente que dice literalmente:</w:t>
      </w:r>
      <w:r>
        <w:rPr>
          <w:b/>
        </w:rPr>
        <w:t xml:space="preserve"> </w:t>
      </w:r>
    </w:p>
    <w:p w:rsidR="007617AD" w:rsidRDefault="00EE75C8">
      <w:pPr>
        <w:spacing w:after="9" w:line="259" w:lineRule="auto"/>
        <w:ind w:left="708" w:firstLine="0"/>
        <w:jc w:val="left"/>
      </w:pPr>
      <w:r>
        <w:rPr>
          <w:b/>
        </w:rPr>
        <w:t xml:space="preserve"> </w:t>
      </w:r>
    </w:p>
    <w:p w:rsidR="007617AD" w:rsidRDefault="00EE75C8">
      <w:pPr>
        <w:spacing w:after="11" w:line="248" w:lineRule="auto"/>
        <w:ind w:left="1851" w:right="59"/>
      </w:pPr>
      <w:r>
        <w:rPr>
          <w:i/>
        </w:rPr>
        <w:t xml:space="preserve">(…) Tengamos en cuenta que las Administraciones públicas tienen el deber legal de </w:t>
      </w:r>
    </w:p>
    <w:p w:rsidR="007617AD" w:rsidRDefault="00EE75C8">
      <w:pPr>
        <w:spacing w:after="0" w:line="248" w:lineRule="auto"/>
        <w:ind w:left="703" w:right="59"/>
      </w:pPr>
      <w:r>
        <w:rPr>
          <w:i/>
        </w:rPr>
        <w:t xml:space="preserve">actuar conforme a los principios generales del artículo 3.1 de la Ley 40/2015, de 1 de octubre, del Régimen Jurídico del Sector Público, es decir, sirviendo con objetividad </w:t>
      </w:r>
      <w:r>
        <w:rPr>
          <w:i/>
        </w:rPr>
        <w:t xml:space="preserve">los intereses generales y actuando con los principios de eficacia, jerarquía, descentralización, desconcentración y coordinación, con sometimiento pleno a la Constitución, a la Ley y al Derecho.  </w:t>
      </w:r>
    </w:p>
    <w:p w:rsidR="007617AD" w:rsidRDefault="00EE75C8">
      <w:pPr>
        <w:spacing w:after="11" w:line="248" w:lineRule="auto"/>
        <w:ind w:left="1851" w:right="59"/>
      </w:pPr>
      <w:r>
        <w:rPr>
          <w:i/>
        </w:rPr>
        <w:t>Una actuación descoordinada y desconectada de las Administr</w:t>
      </w:r>
      <w:r>
        <w:rPr>
          <w:i/>
        </w:rPr>
        <w:t xml:space="preserve">aciones concurrentes, </w:t>
      </w:r>
    </w:p>
    <w:p w:rsidR="007617AD" w:rsidRDefault="00EE75C8">
      <w:pPr>
        <w:spacing w:after="0" w:line="248" w:lineRule="auto"/>
        <w:ind w:left="703" w:right="59"/>
      </w:pPr>
      <w:r>
        <w:rPr>
          <w:i/>
        </w:rPr>
        <w:t>cada uno con una visión en el ámbito de sus competencias limitadas supone merma del principio de eficacia e insatisfacción de los intereses generales. Este precepto no sólo es de aplicación a los Ayuntamientos, Administración insular</w:t>
      </w:r>
      <w:r>
        <w:rPr>
          <w:i/>
        </w:rPr>
        <w:t xml:space="preserve"> y de cuenca y Administración Autonómica, sino que también es de aplicación a la Asociación Mixta de Compensación del Polígono Industrial del Valle de Güimar en calidad de administración urbanizadora. </w:t>
      </w:r>
    </w:p>
    <w:p w:rsidR="007617AD" w:rsidRDefault="00EE75C8">
      <w:pPr>
        <w:spacing w:after="0" w:line="259" w:lineRule="auto"/>
        <w:ind w:left="708" w:firstLine="0"/>
        <w:jc w:val="left"/>
      </w:pPr>
      <w:r>
        <w:rPr>
          <w:i/>
        </w:rPr>
        <w:t xml:space="preserve"> </w:t>
      </w:r>
    </w:p>
    <w:p w:rsidR="007617AD" w:rsidRDefault="00EE75C8">
      <w:pPr>
        <w:spacing w:after="11" w:line="248" w:lineRule="auto"/>
        <w:ind w:left="1851" w:right="59"/>
      </w:pPr>
      <w:r>
        <w:rPr>
          <w:i/>
        </w:rPr>
        <w:t>En la comparecencia puse de manifiesto que el presen</w:t>
      </w:r>
      <w:r>
        <w:rPr>
          <w:i/>
        </w:rPr>
        <w:t xml:space="preserve">te recurso contencioso no va a </w:t>
      </w:r>
    </w:p>
    <w:p w:rsidR="007617AD" w:rsidRDefault="00EE75C8">
      <w:pPr>
        <w:spacing w:after="3" w:line="248" w:lineRule="auto"/>
        <w:ind w:left="703" w:right="59"/>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4067" name="Group 26406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6919" name="Rectangle 1691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6920" name="Rectangle 16920"/>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76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4067" style="width:12.7031pt;height:280.02pt;position:absolute;mso-position-horizontal-relative:page;mso-position-horizontal:absolute;margin-left:682.278pt;mso-position-vertical-relative:page;margin-top:531.9pt;" coordsize="1613,35562">
                <v:rect id="Rectangle 1691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6920"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192 </w:t>
                        </w:r>
                      </w:p>
                    </w:txbxContent>
                  </v:textbox>
                </v:rect>
                <w10:wrap type="square"/>
              </v:group>
            </w:pict>
          </mc:Fallback>
        </mc:AlternateContent>
      </w:r>
      <w:r>
        <w:rPr>
          <w:i/>
        </w:rPr>
        <w:t>resolver la ineludible nece</w:t>
      </w:r>
      <w:r>
        <w:rPr>
          <w:i/>
        </w:rPr>
        <w:t>sidad de dar solución al problema de fondo de depurar debidamente los vertidos y ajustarlos a la legalidad, así como controlar y disciplinar individualmente a cada empresa por lo que vierta. Esa solución sólo puede venir dada por la actuación diligente, de</w:t>
      </w:r>
      <w:r>
        <w:rPr>
          <w:i/>
        </w:rPr>
        <w:t xml:space="preserve">cidida y coordinada de las Administraciones cuyas competencias y cotitularidades concurren. (…) </w:t>
      </w:r>
    </w:p>
    <w:p w:rsidR="007617AD" w:rsidRDefault="00EE75C8">
      <w:pPr>
        <w:spacing w:after="0" w:line="259" w:lineRule="auto"/>
        <w:ind w:left="1841" w:firstLine="0"/>
        <w:jc w:val="left"/>
      </w:pPr>
      <w:r>
        <w:rPr>
          <w:i/>
        </w:rPr>
        <w:t xml:space="preserve"> </w:t>
      </w:r>
    </w:p>
    <w:p w:rsidR="007617AD" w:rsidRDefault="00EE75C8">
      <w:pPr>
        <w:spacing w:after="0" w:line="259" w:lineRule="auto"/>
        <w:ind w:left="708" w:firstLine="0"/>
        <w:jc w:val="left"/>
      </w:pPr>
      <w:r>
        <w:rPr>
          <w:i/>
        </w:rPr>
        <w:t xml:space="preserve"> </w:t>
      </w:r>
    </w:p>
    <w:p w:rsidR="007617AD" w:rsidRDefault="00EE75C8">
      <w:pPr>
        <w:spacing w:after="11"/>
        <w:ind w:left="1851" w:right="58"/>
      </w:pPr>
      <w:r>
        <w:rPr>
          <w:b/>
        </w:rPr>
        <w:t xml:space="preserve">PROPUESTA DE ACUERDO AL PLENO DE LA CORPORACIÓN </w:t>
      </w:r>
    </w:p>
    <w:p w:rsidR="007617AD" w:rsidRDefault="00EE75C8">
      <w:pPr>
        <w:spacing w:after="0"/>
        <w:ind w:left="693" w:right="58" w:firstLine="708"/>
      </w:pPr>
      <w:r>
        <w:rPr>
          <w:b/>
        </w:rPr>
        <w:t xml:space="preserve">Primero. - </w:t>
      </w:r>
      <w:r>
        <w:rPr>
          <w:b/>
        </w:rPr>
        <w:t>Aprobar el convenio de colaboración entre el Consejo Insular de Aguas de Tenerife y los Ayuntamientos de Candelaria, Arafo y Güimar para la gestión de la infraestructura de depuración y vertido de aguas residuales, urbanas e industriales, de los sistemas t</w:t>
      </w:r>
      <w:r>
        <w:rPr>
          <w:b/>
        </w:rPr>
        <w:t xml:space="preserve">erritoriales del Valle de Güimar y Polígono Industrial del Valle de Güimar cuyo texto se inserta a continuación, así como sus anexos. </w:t>
      </w:r>
    </w:p>
    <w:p w:rsidR="007617AD" w:rsidRDefault="00EE75C8">
      <w:pPr>
        <w:spacing w:after="0" w:line="259" w:lineRule="auto"/>
        <w:ind w:left="1841" w:firstLine="0"/>
        <w:jc w:val="left"/>
      </w:pPr>
      <w:r>
        <w:t xml:space="preserve"> </w:t>
      </w:r>
    </w:p>
    <w:p w:rsidR="007617AD" w:rsidRDefault="00EE75C8">
      <w:pPr>
        <w:spacing w:after="11"/>
        <w:ind w:left="1851" w:right="62"/>
      </w:pPr>
      <w:r>
        <w:t xml:space="preserve">-Anexo I. Plano de puntos de recepción de las aguas residuales brutas de origen urbano.  </w:t>
      </w:r>
    </w:p>
    <w:p w:rsidR="007617AD" w:rsidRDefault="00EE75C8">
      <w:pPr>
        <w:spacing w:after="0" w:line="259" w:lineRule="auto"/>
        <w:ind w:left="1841" w:firstLine="0"/>
        <w:jc w:val="left"/>
      </w:pPr>
      <w:r>
        <w:t xml:space="preserve"> </w:t>
      </w:r>
    </w:p>
    <w:p w:rsidR="007617AD" w:rsidRDefault="00EE75C8">
      <w:pPr>
        <w:numPr>
          <w:ilvl w:val="0"/>
          <w:numId w:val="31"/>
        </w:numPr>
        <w:spacing w:after="11"/>
        <w:ind w:right="62" w:hanging="168"/>
      </w:pPr>
      <w:r>
        <w:t>Anexo II. Plano de puntos d</w:t>
      </w:r>
      <w:r>
        <w:t xml:space="preserve">e recepción de las aguas residuales brutas de origen </w:t>
      </w:r>
    </w:p>
    <w:p w:rsidR="007617AD" w:rsidRDefault="00EE75C8">
      <w:pPr>
        <w:spacing w:after="11"/>
        <w:ind w:left="703" w:right="62"/>
      </w:pPr>
      <w:r>
        <w:t xml:space="preserve">industrial.  </w:t>
      </w:r>
    </w:p>
    <w:p w:rsidR="007617AD" w:rsidRDefault="00EE75C8">
      <w:pPr>
        <w:spacing w:after="0" w:line="259" w:lineRule="auto"/>
        <w:ind w:left="1841" w:firstLine="0"/>
        <w:jc w:val="left"/>
      </w:pPr>
      <w:r>
        <w:t xml:space="preserve"> </w:t>
      </w:r>
    </w:p>
    <w:p w:rsidR="007617AD" w:rsidRDefault="00EE75C8">
      <w:pPr>
        <w:numPr>
          <w:ilvl w:val="0"/>
          <w:numId w:val="31"/>
        </w:numPr>
        <w:spacing w:after="11"/>
        <w:ind w:right="62" w:hanging="168"/>
      </w:pPr>
      <w:r>
        <w:t xml:space="preserve">Anexo III. Cronograma de Inversiones.  </w:t>
      </w:r>
    </w:p>
    <w:p w:rsidR="007617AD" w:rsidRDefault="00EE75C8">
      <w:pPr>
        <w:spacing w:after="0" w:line="259" w:lineRule="auto"/>
        <w:ind w:left="1841" w:firstLine="0"/>
        <w:jc w:val="left"/>
      </w:pPr>
      <w:r>
        <w:t xml:space="preserve"> </w:t>
      </w:r>
    </w:p>
    <w:p w:rsidR="007617AD" w:rsidRDefault="00EE75C8">
      <w:pPr>
        <w:numPr>
          <w:ilvl w:val="0"/>
          <w:numId w:val="31"/>
        </w:numPr>
        <w:spacing w:after="11"/>
        <w:ind w:right="62" w:hanging="168"/>
      </w:pPr>
      <w:r>
        <w:t xml:space="preserve">Anexo IV. Costes estimados del convenio. </w:t>
      </w:r>
    </w:p>
    <w:p w:rsidR="007617AD" w:rsidRDefault="00EE75C8">
      <w:pPr>
        <w:spacing w:after="0" w:line="259" w:lineRule="auto"/>
        <w:ind w:left="1841" w:firstLine="0"/>
        <w:jc w:val="left"/>
      </w:pPr>
      <w:r>
        <w:t xml:space="preserve"> </w:t>
      </w:r>
    </w:p>
    <w:p w:rsidR="007617AD" w:rsidRDefault="00EE75C8">
      <w:pPr>
        <w:spacing w:after="0" w:line="259" w:lineRule="auto"/>
        <w:ind w:left="1841" w:firstLine="0"/>
        <w:jc w:val="left"/>
      </w:pPr>
      <w:r>
        <w:rPr>
          <w:b/>
        </w:rPr>
        <w:t xml:space="preserve"> </w:t>
      </w:r>
    </w:p>
    <w:p w:rsidR="007617AD" w:rsidRDefault="00EE75C8">
      <w:pPr>
        <w:spacing w:after="11"/>
        <w:ind w:left="1851" w:right="58"/>
      </w:pPr>
      <w:r>
        <w:rPr>
          <w:b/>
        </w:rPr>
        <w:t xml:space="preserve">Segundo. - Facultar a la Alcaldesa-Presidenta para la firma de dicho convenio </w:t>
      </w:r>
    </w:p>
    <w:p w:rsidR="007617AD" w:rsidRDefault="00EE75C8">
      <w:pPr>
        <w:ind w:left="693" w:right="58" w:firstLine="1133"/>
      </w:pPr>
      <w:r>
        <w:rPr>
          <w:b/>
        </w:rPr>
        <w:t>Tercero. - Notifica</w:t>
      </w:r>
      <w:r>
        <w:rPr>
          <w:b/>
        </w:rPr>
        <w:t xml:space="preserve">r la presente resolución a los Ayuntamientos de Arafo, Candelaria y Güimar. </w:t>
      </w:r>
    </w:p>
    <w:p w:rsidR="007617AD" w:rsidRDefault="00EE75C8">
      <w:pPr>
        <w:spacing w:after="6"/>
        <w:ind w:left="703" w:right="58"/>
      </w:pPr>
      <w:r>
        <w:rPr>
          <w:b/>
        </w:rPr>
        <w:t>CONVENIO DE COOPERACIÓN INTERADMINISTRATIVA ENTRE EL CONSEJO INSULAR DE AGUAS DE TENERIFE Y LOS AYUNTAMIENTOS DE CANDELARIA, ARAFO Y GÜÍMAR PARA LA GESTIÓN DE LAS INFRAESTRUCTURAS</w:t>
      </w:r>
      <w:r>
        <w:rPr>
          <w:b/>
        </w:rPr>
        <w:t xml:space="preserve"> DE DEPURACIÓN Y VERTIDO DE AGUAS RESIDUALES, URBANAS E INDUSTRIALES, DE LOS SISTEMAS TERRITORIALES DEL VALLE DE GÜIMAR Y POLÍGONO INDUSTRIAL DEL VALLE DE GÜÍMAR.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p w:rsidR="007617AD" w:rsidRDefault="00EE75C8">
      <w:pPr>
        <w:spacing w:after="0" w:line="259" w:lineRule="auto"/>
        <w:ind w:left="0" w:right="8" w:firstLine="0"/>
        <w:jc w:val="right"/>
      </w:pPr>
      <w:r>
        <w:rPr>
          <w:rFonts w:ascii="Times New Roman" w:eastAsia="Times New Roman" w:hAnsi="Times New Roman" w:cs="Times New Roman"/>
          <w:sz w:val="24"/>
        </w:rPr>
        <w:t xml:space="preserve"> </w:t>
      </w:r>
    </w:p>
    <w:p w:rsidR="007617AD" w:rsidRDefault="00EE75C8">
      <w:pPr>
        <w:spacing w:after="692" w:line="265" w:lineRule="auto"/>
        <w:ind w:left="10" w:right="62"/>
        <w:jc w:val="right"/>
      </w:pPr>
      <w:r>
        <w:t xml:space="preserve">En Santa Cruz de Tenerife, a fecha de la última firma electrónica </w:t>
      </w:r>
    </w:p>
    <w:p w:rsidR="007617AD" w:rsidRDefault="00EE75C8">
      <w:pPr>
        <w:pStyle w:val="Ttulo2"/>
        <w:shd w:val="clear" w:color="auto" w:fill="F3F3F3"/>
        <w:spacing w:after="491" w:line="358" w:lineRule="auto"/>
        <w:ind w:left="649"/>
        <w:jc w:val="center"/>
      </w:pPr>
      <w:r>
        <w:rPr>
          <w:rFonts w:ascii="Arial" w:eastAsia="Arial" w:hAnsi="Arial" w:cs="Arial"/>
          <w:color w:val="333333"/>
          <w:sz w:val="22"/>
          <w:u w:val="none"/>
        </w:rPr>
        <w:t xml:space="preserve">SE REÚNEN </w:t>
      </w:r>
    </w:p>
    <w:p w:rsidR="007617AD" w:rsidRDefault="00EE75C8">
      <w:pPr>
        <w:spacing w:after="0"/>
        <w:ind w:left="703" w:right="62"/>
      </w:pPr>
      <w:r>
        <w:t>De una parte, el Excmo. Sr. Don Pedro M. Martín Domínguez, Presidente del Consejo Insular de Aguas de Tenerife (en lo sucesivo CIATF), en nombre y representación del mismo, facultado para este acto mediante acuerdo de la Junta de Gobierno del Consejo Insul</w:t>
      </w:r>
      <w:r>
        <w:t xml:space="preserve">ar de Aguas celebrada en sesión </w:t>
      </w:r>
      <w:r>
        <w:rPr>
          <w:shd w:val="clear" w:color="auto" w:fill="C0C0C0"/>
        </w:rPr>
        <w:t>_______</w:t>
      </w:r>
      <w:r>
        <w:t xml:space="preserve">, en virtud de lo dispuesto en el artículo 21.2 del Estatuto del Consejo Insular de Aguas de Tenerife, aprobado por Decreto 115/1992, de 9 de junio. </w:t>
      </w:r>
      <w:r>
        <w:rPr>
          <w:rFonts w:ascii="Times New Roman" w:eastAsia="Times New Roman" w:hAnsi="Times New Roman" w:cs="Times New Roman"/>
          <w:sz w:val="24"/>
        </w:rPr>
        <w:t xml:space="preserve"> </w:t>
      </w:r>
    </w:p>
    <w:p w:rsidR="007617AD" w:rsidRDefault="00EE75C8">
      <w:pPr>
        <w:spacing w:after="341" w:line="259" w:lineRule="auto"/>
        <w:ind w:left="708" w:firstLine="0"/>
        <w:jc w:val="left"/>
      </w:pPr>
      <w:r>
        <w:t xml:space="preserve"> </w:t>
      </w:r>
    </w:p>
    <w:p w:rsidR="007617AD" w:rsidRDefault="00EE75C8">
      <w:pPr>
        <w:spacing w:after="336"/>
        <w:ind w:left="703" w:right="62"/>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4748" name="Group 26474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7019" name="Rectangle 1701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Verificación: ht</w:t>
                              </w:r>
                              <w:r>
                                <w:rPr>
                                  <w:sz w:val="12"/>
                                </w:rPr>
                                <w:t xml:space="preserve">tps://candelaria.sedelectronica.es/ </w:t>
                              </w:r>
                            </w:p>
                          </w:txbxContent>
                        </wps:txbx>
                        <wps:bodyPr horzOverflow="overflow" vert="horz" lIns="0" tIns="0" rIns="0" bIns="0" rtlCol="0">
                          <a:noAutofit/>
                        </wps:bodyPr>
                      </wps:wsp>
                      <wps:wsp>
                        <wps:cNvPr id="17020" name="Rectangle 17020"/>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77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4748" style="width:12.7031pt;height:280.02pt;position:absolute;mso-position-horizontal-relative:page;mso-position-horizontal:absolute;margin-left:682.278pt;mso-position-vertical-relative:page;margin-top:531.9pt;" coordsize="1613,35562">
                <v:rect id="Rectangle 1701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7020"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192 </w:t>
                        </w:r>
                      </w:p>
                    </w:txbxContent>
                  </v:textbox>
                </v:rect>
                <w10:wrap type="square"/>
              </v:group>
            </w:pict>
          </mc:Fallback>
        </mc:AlternateContent>
      </w:r>
      <w:r>
        <w:t>De otra parte, la Sra. Dª María Concepción Brito Núñez, Alcaldesa-Presidenta del Ayuntamiento de Candelaria, en su nombre y</w:t>
      </w:r>
      <w:r>
        <w:t xml:space="preserve"> representación, y en uso de las facultades que le confiere el artículo 21.1.b) de la Ley 7/1985, de 2 de abril, reguladora de las bases del Régimen Local, estando facultado para este acto en virtud del acuerdo plenario de dicha Corporación adoptado en ses</w:t>
      </w:r>
      <w:r>
        <w:t xml:space="preserve">ión celebrada </w:t>
      </w:r>
      <w:r>
        <w:rPr>
          <w:shd w:val="clear" w:color="auto" w:fill="C0C0C0"/>
        </w:rPr>
        <w:t>_______</w:t>
      </w:r>
      <w:r>
        <w:t>.</w:t>
      </w:r>
      <w:r>
        <w:rPr>
          <w:rFonts w:ascii="Times New Roman" w:eastAsia="Times New Roman" w:hAnsi="Times New Roman" w:cs="Times New Roman"/>
          <w:sz w:val="24"/>
        </w:rPr>
        <w:t xml:space="preserve"> </w:t>
      </w:r>
    </w:p>
    <w:p w:rsidR="007617AD" w:rsidRDefault="00EE75C8">
      <w:pPr>
        <w:spacing w:after="0"/>
        <w:ind w:left="703" w:right="62"/>
      </w:pPr>
      <w:r>
        <w:t>De otra parte, el Sr. D. Juan Ramón Martín Pérez, Alcalde-</w:t>
      </w:r>
      <w:r>
        <w:t>Presidente del Ayuntamiento de Arafo en su nombre y representación, y en uso de las facultades que le confiere el artículo 21.1.b) de la Ley 7/1985, de 2 de abril, reguladora de las bases del Régimen Local, estando facultado para este acto en virtud del ac</w:t>
      </w:r>
      <w:r>
        <w:t xml:space="preserve">uerdo plenario de dicha Corporación adoptado en sesión celebrada </w:t>
      </w:r>
      <w:r>
        <w:rPr>
          <w:shd w:val="clear" w:color="auto" w:fill="C0C0C0"/>
        </w:rPr>
        <w:t>_______</w:t>
      </w:r>
      <w:r>
        <w:t>.</w:t>
      </w:r>
      <w:r>
        <w:rPr>
          <w:rFonts w:ascii="Times New Roman" w:eastAsia="Times New Roman" w:hAnsi="Times New Roman" w:cs="Times New Roman"/>
          <w:sz w:val="24"/>
        </w:rPr>
        <w:t xml:space="preserve"> </w:t>
      </w:r>
    </w:p>
    <w:p w:rsidR="007617AD" w:rsidRDefault="00EE75C8">
      <w:pPr>
        <w:spacing w:after="341" w:line="259" w:lineRule="auto"/>
        <w:ind w:left="708" w:firstLine="0"/>
        <w:jc w:val="left"/>
      </w:pPr>
      <w:r>
        <w:t xml:space="preserve"> </w:t>
      </w:r>
    </w:p>
    <w:p w:rsidR="007617AD" w:rsidRDefault="00EE75C8">
      <w:pPr>
        <w:spacing w:after="331"/>
        <w:ind w:left="703" w:right="62"/>
      </w:pPr>
      <w:r>
        <w:t>Y de otra parte, el Sr. D. Gustavo Pérez Martín, Alcalde-Presidente del Ayuntamiento de Güímar, en su nombre y representación, y en uso de las facultades que le confiere el artícu</w:t>
      </w:r>
      <w:r>
        <w:t xml:space="preserve">lo 21.1.b) de la Ley 7/1985, de 2 de abril, reguladora de las bases del Régimen Local, estando facultado para este acto en virtud del acuerdo plenario de dicha Corporación adoptado en sesión celebrada </w:t>
      </w:r>
      <w:r>
        <w:rPr>
          <w:shd w:val="clear" w:color="auto" w:fill="C0C0C0"/>
        </w:rPr>
        <w:t>_______</w:t>
      </w:r>
      <w:r>
        <w:t>.</w:t>
      </w:r>
      <w:r>
        <w:rPr>
          <w:rFonts w:ascii="Times New Roman" w:eastAsia="Times New Roman" w:hAnsi="Times New Roman" w:cs="Times New Roman"/>
          <w:sz w:val="24"/>
        </w:rPr>
        <w:t xml:space="preserve"> </w:t>
      </w:r>
    </w:p>
    <w:p w:rsidR="007617AD" w:rsidRDefault="00EE75C8">
      <w:pPr>
        <w:pStyle w:val="Ttulo2"/>
        <w:shd w:val="clear" w:color="auto" w:fill="F3F3F3"/>
        <w:spacing w:after="491" w:line="358" w:lineRule="auto"/>
        <w:ind w:left="649"/>
        <w:jc w:val="center"/>
      </w:pPr>
      <w:r>
        <w:rPr>
          <w:rFonts w:ascii="Arial" w:eastAsia="Arial" w:hAnsi="Arial" w:cs="Arial"/>
          <w:color w:val="333333"/>
          <w:sz w:val="22"/>
          <w:u w:val="none"/>
        </w:rPr>
        <w:t xml:space="preserve">INTERVIENEN </w:t>
      </w:r>
    </w:p>
    <w:p w:rsidR="007617AD" w:rsidRDefault="00EE75C8">
      <w:pPr>
        <w:ind w:left="703" w:right="62"/>
      </w:pPr>
      <w:r>
        <w:t>Las partes citadas, en la condic</w:t>
      </w:r>
      <w:r>
        <w:t>ión con que comparecen, se reconocen mutua y recíprocamente, con competencia y capacidad legal suficiente para suscribir el presente Convenio de Colaboración y a tal efecto</w:t>
      </w:r>
      <w:r>
        <w:rPr>
          <w:rFonts w:ascii="Times New Roman" w:eastAsia="Times New Roman" w:hAnsi="Times New Roman" w:cs="Times New Roman"/>
          <w:sz w:val="24"/>
        </w:rPr>
        <w:t xml:space="preserve"> </w:t>
      </w:r>
    </w:p>
    <w:p w:rsidR="007617AD" w:rsidRDefault="00EE75C8">
      <w:pPr>
        <w:pStyle w:val="Ttulo2"/>
        <w:shd w:val="clear" w:color="auto" w:fill="F3F3F3"/>
        <w:spacing w:after="491" w:line="358" w:lineRule="auto"/>
        <w:ind w:left="649"/>
        <w:jc w:val="center"/>
      </w:pPr>
      <w:r>
        <w:rPr>
          <w:rFonts w:ascii="Arial" w:eastAsia="Arial" w:hAnsi="Arial" w:cs="Arial"/>
          <w:color w:val="333333"/>
          <w:sz w:val="22"/>
          <w:u w:val="none"/>
        </w:rPr>
        <w:t xml:space="preserve">EXPONEN </w:t>
      </w:r>
    </w:p>
    <w:p w:rsidR="007617AD" w:rsidRDefault="00EE75C8">
      <w:pPr>
        <w:ind w:left="703" w:right="58"/>
      </w:pPr>
      <w:r>
        <w:rPr>
          <w:b/>
        </w:rPr>
        <w:t xml:space="preserve">PRIMERO. - TRATAMIENTO DE LAS AGUAS RESIDUALES URBANAS E INDUSTRIALES. </w:t>
      </w:r>
      <w:r>
        <w:rPr>
          <w:rFonts w:ascii="Times New Roman" w:eastAsia="Times New Roman" w:hAnsi="Times New Roman" w:cs="Times New Roman"/>
          <w:sz w:val="24"/>
        </w:rPr>
        <w:t xml:space="preserve"> </w:t>
      </w:r>
    </w:p>
    <w:p w:rsidR="007617AD" w:rsidRDefault="00EE75C8">
      <w:pPr>
        <w:spacing w:after="103" w:line="259" w:lineRule="auto"/>
        <w:ind w:left="0" w:firstLine="0"/>
        <w:jc w:val="left"/>
      </w:pPr>
      <w:r>
        <w:rPr>
          <w:b/>
        </w:rPr>
        <w:t xml:space="preserve"> </w:t>
      </w:r>
    </w:p>
    <w:p w:rsidR="007617AD" w:rsidRDefault="00EE75C8">
      <w:pPr>
        <w:spacing w:after="134"/>
        <w:ind w:left="703" w:right="62"/>
      </w:pPr>
      <w:r>
        <w:t>La Directiva 91/271/CEE, de 21 de mayo de 1991, sobre el tratamiento de las aguas residuales urbanas (en lo sucesivo Directiva 91/271) - la  cual tiene por objeto la recogida, el tratamiento y el vertido de las aguas residuales urbanas y el tratamiento y</w:t>
      </w:r>
      <w:r>
        <w:t xml:space="preserve"> vertido de las aguas residuales procedentes de determinados sectores industriales, fue traspuesta a nuestro ordenamiento jurídico en virtud del Real Decreto Ley 11/1995, de 28 de diciembre, por el que se aprueban las normas aplicables al tratamiento de la</w:t>
      </w:r>
      <w:r>
        <w:t>s aguas residuales urbanas, y el Real Decreto 509/1996, de 15 de marzo, que lo desarrolla.</w:t>
      </w:r>
      <w:r>
        <w:rPr>
          <w:rFonts w:ascii="Times New Roman" w:eastAsia="Times New Roman" w:hAnsi="Times New Roman" w:cs="Times New Roman"/>
          <w:sz w:val="24"/>
        </w:rPr>
        <w:t xml:space="preserve">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4752" name="Group 26475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7111" name="Rectangle 1711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7112" name="Rectangle 17112"/>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78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4752" style="width:12.7031pt;height:280.02pt;position:absolute;mso-position-horizontal-relative:page;mso-position-horizontal:absolute;margin-left:682.278pt;mso-position-vertical-relative:page;margin-top:531.9pt;" coordsize="1613,35562">
                <v:rect id="Rectangle 1711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7112"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192 </w:t>
                        </w:r>
                      </w:p>
                    </w:txbxContent>
                  </v:textbox>
                </v:rect>
                <w10:wrap type="square"/>
              </v:group>
            </w:pict>
          </mc:Fallback>
        </mc:AlternateContent>
      </w:r>
      <w:r>
        <w:t>El RD 509/1996 estableció la obligación de realizar un tratamiento previo al vertido de las aguas residuales industriales que, entre otros requisitos, sea suficie</w:t>
      </w:r>
      <w:r>
        <w:t xml:space="preserve">nte para “garantizar que los vertidos de las instalaciones de tratamiento no tengan efectos nocivos sobre el medio ambiente y no impidan que las aguas receptoras cumplan los objetivos de calidad de la normativa vigente” (art. 8). </w:t>
      </w:r>
      <w:r>
        <w:rPr>
          <w:rFonts w:ascii="Times New Roman" w:eastAsia="Times New Roman" w:hAnsi="Times New Roman" w:cs="Times New Roman"/>
          <w:sz w:val="24"/>
        </w:rPr>
        <w:t xml:space="preserve"> </w:t>
      </w:r>
    </w:p>
    <w:p w:rsidR="007617AD" w:rsidRDefault="00EE75C8">
      <w:pPr>
        <w:spacing w:after="155"/>
        <w:ind w:left="703" w:right="62"/>
      </w:pPr>
      <w:r>
        <w:t>Además, se reguló el tip</w:t>
      </w:r>
      <w:r>
        <w:t>o de tratamiento requerido para las aguas residuales (tratamiento primario vs. tratamiento secundario) en función del número de habitantes equivalentes (h-e) que llegan a la instalación. En los casos de vertido al mar en zonas normales, y hasta un máximo d</w:t>
      </w:r>
      <w:r>
        <w:t xml:space="preserve">e 10.000 h – e es admisible un tratamiento primario (estación de tratamiento adecuado, ETAR) y, una vez superado dicho umbral, se requiere el sometimiento del agua residual a un tratamiento secundario (estación depuradora, EDAR).  </w:t>
      </w:r>
    </w:p>
    <w:p w:rsidR="007617AD" w:rsidRDefault="00EE75C8">
      <w:pPr>
        <w:spacing w:after="95" w:line="259" w:lineRule="auto"/>
        <w:ind w:left="708" w:firstLine="0"/>
        <w:jc w:val="left"/>
      </w:pPr>
      <w:r>
        <w:t xml:space="preserve"> </w:t>
      </w:r>
    </w:p>
    <w:p w:rsidR="007617AD" w:rsidRDefault="00EE75C8">
      <w:pPr>
        <w:ind w:left="703" w:right="58"/>
      </w:pPr>
      <w:r>
        <w:rPr>
          <w:b/>
        </w:rPr>
        <w:t>SEGUNDO. - DESCRIPCIÓN</w:t>
      </w:r>
      <w:r>
        <w:rPr>
          <w:b/>
        </w:rPr>
        <w:t xml:space="preserve"> DEL SISTEMA TERRITORIAL DE INFRAESTRUCTURAS DE SANEAMIENTO DE LAS AGUAS RESIDUALES DE ORIGEN URBANO E INDUSTRIAL DEL VALLE DE GÜÍMAR Y DEL POLÍGONO INDUSTRIAL VALLE DE GÜÍMAR.</w:t>
      </w:r>
      <w:r>
        <w:rPr>
          <w:rFonts w:ascii="Times New Roman" w:eastAsia="Times New Roman" w:hAnsi="Times New Roman" w:cs="Times New Roman"/>
          <w:sz w:val="24"/>
        </w:rPr>
        <w:t xml:space="preserve"> </w:t>
      </w:r>
    </w:p>
    <w:p w:rsidR="007617AD" w:rsidRDefault="00EE75C8">
      <w:pPr>
        <w:spacing w:after="100" w:line="259" w:lineRule="auto"/>
        <w:ind w:left="708" w:firstLine="0"/>
        <w:jc w:val="left"/>
      </w:pPr>
      <w:r>
        <w:t xml:space="preserve"> </w:t>
      </w:r>
    </w:p>
    <w:p w:rsidR="007617AD" w:rsidRDefault="00EE75C8">
      <w:pPr>
        <w:ind w:left="703" w:right="62"/>
      </w:pPr>
      <w:r>
        <w:t>El Sistema Territorial de infraestructuras de saneamiento del Valle de Güíma</w:t>
      </w:r>
      <w:r>
        <w:t xml:space="preserve">r y del Polígono Industrial de Güímar, están definidos por el Plan Hidrológico de Tenerife, cuya descripción gráfica es la siguiente: </w:t>
      </w:r>
    </w:p>
    <w:p w:rsidR="007617AD" w:rsidRDefault="00EE75C8">
      <w:pPr>
        <w:spacing w:after="38" w:line="259" w:lineRule="auto"/>
        <w:ind w:left="0" w:right="1263" w:firstLine="0"/>
        <w:jc w:val="right"/>
      </w:pPr>
      <w:r>
        <w:rPr>
          <w:noProof/>
        </w:rPr>
        <w:drawing>
          <wp:inline distT="0" distB="0" distL="0" distR="0">
            <wp:extent cx="5269993" cy="3273552"/>
            <wp:effectExtent l="0" t="0" r="0" b="0"/>
            <wp:docPr id="17192" name="Picture 17192"/>
            <wp:cNvGraphicFramePr/>
            <a:graphic xmlns:a="http://schemas.openxmlformats.org/drawingml/2006/main">
              <a:graphicData uri="http://schemas.openxmlformats.org/drawingml/2006/picture">
                <pic:pic xmlns:pic="http://schemas.openxmlformats.org/drawingml/2006/picture">
                  <pic:nvPicPr>
                    <pic:cNvPr id="17192" name="Picture 17192"/>
                    <pic:cNvPicPr/>
                  </pic:nvPicPr>
                  <pic:blipFill>
                    <a:blip r:embed="rId11"/>
                    <a:stretch>
                      <a:fillRect/>
                    </a:stretch>
                  </pic:blipFill>
                  <pic:spPr>
                    <a:xfrm>
                      <a:off x="0" y="0"/>
                      <a:ext cx="5269993" cy="3273552"/>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spacing w:after="84" w:line="259" w:lineRule="auto"/>
        <w:ind w:left="708" w:firstLine="0"/>
        <w:jc w:val="left"/>
      </w:pPr>
      <w:r>
        <w:rPr>
          <w:rFonts w:ascii="Times New Roman" w:eastAsia="Times New Roman" w:hAnsi="Times New Roman" w:cs="Times New Roman"/>
          <w:sz w:val="24"/>
        </w:rPr>
        <w:t xml:space="preserve"> </w:t>
      </w:r>
    </w:p>
    <w:p w:rsidR="007617AD" w:rsidRDefault="00EE75C8">
      <w:pPr>
        <w:ind w:left="703" w:right="62"/>
      </w:pPr>
      <w:r>
        <w:t xml:space="preserve">Este conjunto de infraestructuras, de acuerdo al PHT, está constituido por una serie de elementos que permiten recoger las aguas residuales generada en los ámbitos urbano e industrial y derivarlas hacia la EDARU del Valle de Güímar y la EDARI del Polígono </w:t>
      </w:r>
      <w:r>
        <w:t xml:space="preserve">Industrial Valle de Güímar – ambos elementos estructurantes – donde las mismas serán tratadas conforme a los requisitos que dimanan de la normativa vigente en materia de depuración y vertido. </w:t>
      </w:r>
    </w:p>
    <w:p w:rsidR="007617AD" w:rsidRDefault="00EE75C8">
      <w:pPr>
        <w:ind w:left="703" w:right="62"/>
      </w:pPr>
      <w:r>
        <w:t xml:space="preserve">Los elementos fundamentales son: </w:t>
      </w:r>
    </w:p>
    <w:p w:rsidR="007617AD" w:rsidRDefault="00EE75C8">
      <w:pPr>
        <w:numPr>
          <w:ilvl w:val="0"/>
          <w:numId w:val="32"/>
        </w:numPr>
        <w:spacing w:after="91"/>
        <w:ind w:right="62" w:hanging="360"/>
      </w:pPr>
      <w:r>
        <w:t>EDARU:  Estación Depuradora d</w:t>
      </w:r>
      <w:r>
        <w:t xml:space="preserve">e Aguas Residuales Urbanas. </w:t>
      </w:r>
    </w:p>
    <w:p w:rsidR="007617AD" w:rsidRDefault="00EE75C8">
      <w:pPr>
        <w:numPr>
          <w:ilvl w:val="0"/>
          <w:numId w:val="32"/>
        </w:numPr>
        <w:spacing w:after="88"/>
        <w:ind w:right="62" w:hanging="360"/>
      </w:pPr>
      <w:r>
        <w:t xml:space="preserve">EDARI: Estación Depuradora de Aguas Residuales Industriales. </w:t>
      </w:r>
    </w:p>
    <w:p w:rsidR="007617AD" w:rsidRDefault="00EE75C8">
      <w:pPr>
        <w:numPr>
          <w:ilvl w:val="0"/>
          <w:numId w:val="32"/>
        </w:numPr>
        <w:spacing w:after="92"/>
        <w:ind w:right="62" w:hanging="360"/>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5206" name="Group 26520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7195" name="Rectangle 1719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7196" name="Rectangle 17196"/>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79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5206" style="width:12.7031pt;height:280.02pt;position:absolute;mso-position-horizontal-relative:page;mso-position-horizontal:absolute;margin-left:682.278pt;mso-position-vertical-relative:page;margin-top:531.9pt;" coordsize="1613,35562">
                <v:rect id="Rectangle 1719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7196"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192 </w:t>
                        </w:r>
                      </w:p>
                    </w:txbxContent>
                  </v:textbox>
                </v:rect>
                <w10:wrap type="square"/>
              </v:group>
            </w:pict>
          </mc:Fallback>
        </mc:AlternateContent>
      </w:r>
      <w:r>
        <w:t xml:space="preserve">Estaciones de Bombeo de Aguas Residuales, urbanas e industriales. </w:t>
      </w:r>
    </w:p>
    <w:p w:rsidR="007617AD" w:rsidRDefault="00EE75C8">
      <w:pPr>
        <w:numPr>
          <w:ilvl w:val="0"/>
          <w:numId w:val="32"/>
        </w:numPr>
        <w:spacing w:after="91"/>
        <w:ind w:right="62" w:hanging="360"/>
      </w:pPr>
      <w:r>
        <w:t xml:space="preserve">Colectores y conducciones de transporte. </w:t>
      </w:r>
    </w:p>
    <w:p w:rsidR="007617AD" w:rsidRDefault="00EE75C8">
      <w:pPr>
        <w:numPr>
          <w:ilvl w:val="0"/>
          <w:numId w:val="32"/>
        </w:numPr>
        <w:spacing w:after="71"/>
        <w:ind w:right="62" w:hanging="360"/>
      </w:pPr>
      <w:r>
        <w:t xml:space="preserve">Emisario terrestre y emisario submarino del Valle de </w:t>
      </w:r>
      <w:r>
        <w:t xml:space="preserve">Güímar. </w:t>
      </w:r>
    </w:p>
    <w:p w:rsidR="007617AD" w:rsidRDefault="00EE75C8">
      <w:pPr>
        <w:spacing w:after="100" w:line="259" w:lineRule="auto"/>
        <w:ind w:left="1068" w:firstLine="0"/>
        <w:jc w:val="left"/>
      </w:pPr>
      <w:r>
        <w:rPr>
          <w:b/>
        </w:rPr>
        <w:t xml:space="preserve"> </w:t>
      </w:r>
    </w:p>
    <w:p w:rsidR="007617AD" w:rsidRDefault="00EE75C8">
      <w:pPr>
        <w:ind w:left="703" w:right="58"/>
      </w:pPr>
      <w:r>
        <w:rPr>
          <w:b/>
        </w:rPr>
        <w:t>TERCERO. - MARCO PREVIO DE COLABORACIÓN ENTRE LAS ADMINISTRACIONES FIRMANTES DEL CONVENIO.</w:t>
      </w:r>
      <w:r>
        <w:rPr>
          <w:rFonts w:ascii="Times New Roman" w:eastAsia="Times New Roman" w:hAnsi="Times New Roman" w:cs="Times New Roman"/>
          <w:sz w:val="24"/>
        </w:rPr>
        <w:t xml:space="preserve"> </w:t>
      </w:r>
    </w:p>
    <w:p w:rsidR="007617AD" w:rsidRDefault="00EE75C8">
      <w:pPr>
        <w:spacing w:after="100" w:line="259" w:lineRule="auto"/>
        <w:ind w:left="708" w:firstLine="0"/>
        <w:jc w:val="left"/>
      </w:pPr>
      <w:r>
        <w:t xml:space="preserve"> </w:t>
      </w:r>
    </w:p>
    <w:p w:rsidR="007617AD" w:rsidRDefault="00EE75C8">
      <w:pPr>
        <w:ind w:left="703" w:right="62"/>
      </w:pPr>
      <w:r>
        <w:t>Previamente al presente convenio, se han aprobado y formalizado los siguientes instrumentos jurídicos entre las partes intervinientes fruto del acuerdo entre las mismas, así como también se han aprobado diferentes resoluciones tanto del Estado como del Gob</w:t>
      </w:r>
      <w:r>
        <w:t xml:space="preserve">ierno de Canarias fruto de dicha colaboración administrativa y todo ello en virtud de las competencias concurrentes de todas las Administraciones intervinientes: </w:t>
      </w:r>
    </w:p>
    <w:p w:rsidR="007617AD" w:rsidRDefault="00EE75C8">
      <w:pPr>
        <w:ind w:left="703" w:right="62"/>
      </w:pPr>
      <w:r>
        <w:t>-Convenio entre el Cabildo Insular de Tenerife, el Consejo Insular de Aguas de Tenerife y los</w:t>
      </w:r>
      <w:r>
        <w:t xml:space="preserve"> Ayuntamientos de Arafo, Candelaria y Güimar formalizado el 31 de julio de 2017, para la tramitación de la autorización administrativa de vertido al mar y la concesión de la ocupación de los  bienes del dominio público marítimo terrestre con destino a un e</w:t>
      </w:r>
      <w:r>
        <w:t>misario submarino en el Polígono Industrial del Valle de Güimar por el que se encomienda al CIATF a elaborar la documentación técnica requerida para dicha autorización.</w:t>
      </w:r>
      <w:r>
        <w:rPr>
          <w:b/>
        </w:rPr>
        <w:t xml:space="preserve"> </w:t>
      </w:r>
      <w:r>
        <w:t xml:space="preserve"> </w:t>
      </w:r>
    </w:p>
    <w:p w:rsidR="007617AD" w:rsidRDefault="00EE75C8">
      <w:pPr>
        <w:ind w:left="703" w:right="62"/>
      </w:pPr>
      <w:r>
        <w:t>-Acuerdos de los Plenos de los Ayuntamientos de Arafo, Candelaria y Güimar durante lo</w:t>
      </w:r>
      <w:r>
        <w:t xml:space="preserve">s meses de julio, agosto y septiembre de 2018 por los que se aprobó el Plan de Etapas en el marco del expediente 2017/11106 relativo al emisario del Polígono Industrial del Valle de Güimar.  </w:t>
      </w:r>
    </w:p>
    <w:p w:rsidR="007617AD" w:rsidRDefault="00EE75C8">
      <w:pPr>
        <w:ind w:left="703" w:right="62"/>
      </w:pPr>
      <w:r>
        <w:t>-Acuerdos de los Plenos de los Ayuntamientos de Arafo, Candelari</w:t>
      </w:r>
      <w:r>
        <w:t xml:space="preserve">a y Güímar durante los meses de xxx de 2020 en virtud de los cuales se aprobó la primera modificación del Plan de Etapas en el marco del expediente xxx relativo al emisario del Polígono Industrial del Valle de Güímar. </w:t>
      </w:r>
    </w:p>
    <w:p w:rsidR="007617AD" w:rsidRDefault="00EE75C8">
      <w:pPr>
        <w:ind w:left="703" w:right="62"/>
      </w:pPr>
      <w:r>
        <w:t>-Acuerdos de los Plenos de los Ayunta</w:t>
      </w:r>
      <w:r>
        <w:t xml:space="preserve">mientos de Arafo, Candelaria y Güímar durante los meses de xxx de 2021 en virtud de los cuales se aprobó la segunda modificación del Plan de Etapas en el marco del expediente xxx relativo al emisario del Polígono Industrial del Valle de Güímar. </w:t>
      </w:r>
    </w:p>
    <w:p w:rsidR="007617AD" w:rsidRDefault="00EE75C8">
      <w:pPr>
        <w:ind w:left="703" w:right="62"/>
      </w:pPr>
      <w:r>
        <w:rPr>
          <w:color w:val="00B0F0"/>
        </w:rPr>
        <w:t xml:space="preserve"> -</w:t>
      </w:r>
      <w:r>
        <w:t>Acuerdos</w:t>
      </w:r>
      <w:r>
        <w:t xml:space="preserve"> de los Plenos de los Ayuntamientos de Arafo, Candelaria y Güímar durante los meses de xxx de 2022 en virtud de los cuales se aprobó la tercera modificación del Plan de Etapas en el marco del expediente xxx relativo al emisario del Polígono Industrial del </w:t>
      </w:r>
      <w:r>
        <w:t xml:space="preserve">Valle de Güímar.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5570" name="Group 26557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7310" name="Rectangle 1731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7311" name="Rectangle 17311"/>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80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5570" style="width:12.7031pt;height:280.02pt;position:absolute;mso-position-horizontal-relative:page;mso-position-horizontal:absolute;margin-left:682.278pt;mso-position-vertical-relative:page;margin-top:531.9pt;" coordsize="1613,35562">
                <v:rect id="Rectangle 1731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7311"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192 </w:t>
                        </w:r>
                      </w:p>
                    </w:txbxContent>
                  </v:textbox>
                </v:rect>
                <w10:wrap type="square"/>
              </v:group>
            </w:pict>
          </mc:Fallback>
        </mc:AlternateContent>
      </w:r>
      <w:r>
        <w:t>-Acuerdos de los Plenos de los Ayuntamien</w:t>
      </w:r>
      <w:r>
        <w:t>tos de Arafo, Candelaria y Güímar durante los meses de marzo de 2020 (12 Arafo y Güímar, 13 Candelaria) en virtud de los cuales se aprobó la primera modificación del Plan de Etapas en el marco del expediente 2020/5598 relativo al emisario del Polígono Indu</w:t>
      </w:r>
      <w:r>
        <w:t xml:space="preserve">strial del Valle de Güímar. </w:t>
      </w:r>
    </w:p>
    <w:p w:rsidR="007617AD" w:rsidRDefault="00EE75C8">
      <w:pPr>
        <w:ind w:left="703" w:right="62"/>
      </w:pPr>
      <w:r>
        <w:t>-Acuerdos de los Plenos de los Ayuntamientos de Arafo, Candelaria y Güímar durante los meses de 30 de julio (Arafo y Candelaria) y 17 de septiembre (Güímar)  de 2021 en virtud de los cuales se aprobó la segunda modificación del</w:t>
      </w:r>
      <w:r>
        <w:t xml:space="preserve"> Plan de Etapas en el marco del expediente 2021/30472 relativo al emisario del Polígono Industrial del Valle de Güímar. </w:t>
      </w:r>
    </w:p>
    <w:p w:rsidR="007617AD" w:rsidRDefault="00EE75C8">
      <w:pPr>
        <w:ind w:left="703" w:right="62"/>
      </w:pPr>
      <w:r>
        <w:t>-Acuerdos de los Plenos de los Ayuntamientos de Arafo, Candelaria y Güímar durante los meses de 28 febrero (Arafo, Candelaria y Güímar)</w:t>
      </w:r>
      <w:r>
        <w:t xml:space="preserve">  de 2022 en virtud de los cuales se aprobó la tercera modificación del Plan de Etapas en el marco del expediente 2022/8094 relativo al emisario del Polígono Industrial del Valle de Güímar. </w:t>
      </w:r>
    </w:p>
    <w:p w:rsidR="007617AD" w:rsidRDefault="00EE75C8">
      <w:pPr>
        <w:ind w:left="703" w:right="62"/>
      </w:pPr>
      <w:r>
        <w:t>-Resolución del Viceconsejero de Lucha Contra el Cambio Climático</w:t>
      </w:r>
      <w:r>
        <w:t xml:space="preserve"> del Gobierno de Canarias de 18 de septiembre de 2019, por la que se autoriza al Ayuntamiento de Arafo en su propio nombre y en representación de los Ayuntamientos de Candelaria y Güimar al vertido de aguas residuales urbanas e industriales depuradas a tra</w:t>
      </w:r>
      <w:r>
        <w:t xml:space="preserve">vés del emisario submarino del Polígono Industrial del Valle de Güimar, ubicado en el término municipal de Arafo (VM-013-TF). </w:t>
      </w:r>
    </w:p>
    <w:p w:rsidR="007617AD" w:rsidRDefault="00EE75C8">
      <w:pPr>
        <w:ind w:left="703" w:right="62"/>
      </w:pPr>
      <w:r>
        <w:t>- Resoluciones del Sr. Viceconsejero de Lucha contra el Cambio Climático del Gobierno de Canarias nº 207/2020 de fecha 30 de sept</w:t>
      </w:r>
      <w:r>
        <w:t xml:space="preserve">iembre de 2020, nº 312/2021 de 02 de noviembre de 2021 y nº 101/2022 de fecha 11 de marzo de modificación de la autorización administrativa de vertido al mar otorgada con destino al emisario submarino del Polígono Industrial del Valle de Güimar.  </w:t>
      </w:r>
    </w:p>
    <w:p w:rsidR="007617AD" w:rsidRDefault="00EE75C8">
      <w:pPr>
        <w:ind w:left="703" w:right="62"/>
      </w:pPr>
      <w:r>
        <w:t>-Resoluc</w:t>
      </w:r>
      <w:r>
        <w:t>ión de la Dirección General de Sostenibilidad y del Mar del Ministerio para la Transición Ecológica de fecha 19 de septiembre de 2019 por el que se otorga al Ayuntamiento de Arafo la concesión de ocupación de 803 metros cuadrados de dominio público marítim</w:t>
      </w:r>
      <w:r>
        <w:t xml:space="preserve">o terrestre con destino a conducción principal de vertido y conducción de aliviadero de emergencia de aguas procedentes del Polígono Industrial de Güimar, en el término municipal de Arafo, isla de Tenerife (Santa Cruz de Tenerife). </w:t>
      </w:r>
    </w:p>
    <w:p w:rsidR="007617AD" w:rsidRDefault="00EE75C8">
      <w:pPr>
        <w:ind w:left="703" w:right="62"/>
      </w:pPr>
      <w:r>
        <w:t>-Convenio de colaboraci</w:t>
      </w:r>
      <w:r>
        <w:t xml:space="preserve">ón entre el CIATF, el Cabildo Insular de Tenerife y los Ayuntamientos de Arafo, Candelaria y Güímar aprobado por el Ayuntamiento de Candelaria en el Pleno ordinario de 27 de marzo de 2019 y por los Ayuntamientos de Arafo y Güimar en el mes de mayo de 2019 </w:t>
      </w:r>
      <w:r>
        <w:t xml:space="preserve">y formalizado por todas las partes intervinientes el día 10 de junio de 2019. </w:t>
      </w:r>
    </w:p>
    <w:p w:rsidR="007617AD" w:rsidRDefault="00EE75C8">
      <w:pPr>
        <w:spacing w:after="143"/>
        <w:ind w:left="703" w:right="62"/>
      </w:pPr>
      <w:r>
        <w:t xml:space="preserve">El citado convenio en su exposición decimosexta establece lo siguiente: </w:t>
      </w:r>
    </w:p>
    <w:p w:rsidR="007617AD" w:rsidRDefault="00EE75C8">
      <w:pPr>
        <w:ind w:left="1078" w:right="62"/>
      </w:pPr>
      <w:r>
        <w:t xml:space="preserve">[…] </w:t>
      </w:r>
    </w:p>
    <w:p w:rsidR="007617AD" w:rsidRDefault="00EE75C8">
      <w:pPr>
        <w:spacing w:after="110" w:line="248" w:lineRule="auto"/>
        <w:ind w:left="1078" w:right="59"/>
      </w:pPr>
      <w:r>
        <w:rPr>
          <w:i/>
        </w:rPr>
        <w:t xml:space="preserve">16.- </w:t>
      </w:r>
      <w:r>
        <w:rPr>
          <w:i/>
        </w:rPr>
        <w:t>Finalmente, los tres Ayuntamientos firmantes consideran que, una vez ejecutada la EDARi del Polígono Industrial del Valle de Güímar, su gestión y operación debe ser realizada por el Consejo Insular de Aguas de Tenerife, quedando así articulado un sistema i</w:t>
      </w:r>
      <w:r>
        <w:rPr>
          <w:i/>
        </w:rPr>
        <w:t>ntegral de saneamiento para el Valle de Güímar en el que se integren los subsistemas de depuración industrial y de depuración urbana, toda vez que la Administración Hidráulica también se encuentra ejecutando una Estación Depuradora de Aguas Residuales para</w:t>
      </w:r>
      <w:r>
        <w:rPr>
          <w:i/>
        </w:rPr>
        <w:t xml:space="preserve"> el tratamiento de los efluentes urbanos. </w:t>
      </w:r>
      <w:r>
        <w:rPr>
          <w:rFonts w:ascii="Times New Roman" w:eastAsia="Times New Roman" w:hAnsi="Times New Roman" w:cs="Times New Roman"/>
          <w:sz w:val="24"/>
        </w:rPr>
        <w:t xml:space="preserve"> </w:t>
      </w:r>
    </w:p>
    <w:p w:rsidR="007617AD" w:rsidRDefault="00EE75C8">
      <w:pPr>
        <w:spacing w:after="110" w:line="248" w:lineRule="auto"/>
        <w:ind w:left="1078" w:right="59"/>
      </w:pPr>
      <w:r>
        <w:rPr>
          <w:i/>
        </w:rPr>
        <w:t xml:space="preserve">Las Corporaciones Municipales, por su parte, desarrollarán todas las facultades propias de la prestación de un servicio público, especialmente, la reglamentación y el cobro de tasas por su prestación.  </w:t>
      </w:r>
    </w:p>
    <w:p w:rsidR="007617AD" w:rsidRDefault="00EE75C8">
      <w:pPr>
        <w:spacing w:after="110" w:line="248" w:lineRule="auto"/>
        <w:ind w:left="1078" w:right="59"/>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5717" name="Group 26571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7432" name="Rectangle 1743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w:t>
                              </w:r>
                              <w:r>
                                <w:rPr>
                                  <w:sz w:val="12"/>
                                </w:rPr>
                                <w:t xml:space="preserve">alidación: 6ZZKGX4GJD4WS6MQ5AJX5N2EM | Verificación: https://candelaria.sedelectronica.es/ </w:t>
                              </w:r>
                            </w:p>
                          </w:txbxContent>
                        </wps:txbx>
                        <wps:bodyPr horzOverflow="overflow" vert="horz" lIns="0" tIns="0" rIns="0" bIns="0" rtlCol="0">
                          <a:noAutofit/>
                        </wps:bodyPr>
                      </wps:wsp>
                      <wps:wsp>
                        <wps:cNvPr id="17433" name="Rectangle 17433"/>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81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5717" style="width:12.7031pt;height:280.02pt;position:absolute;mso-position-horizontal-relative:page;mso-position-horizontal:absolute;margin-left:682.278pt;mso-position-vertical-relative:page;margin-top:531.9pt;" coordsize="1613,35562">
                <v:rect id="Rectangle 1743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7433"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192 </w:t>
                        </w:r>
                      </w:p>
                    </w:txbxContent>
                  </v:textbox>
                </v:rect>
                <w10:wrap type="square"/>
              </v:group>
            </w:pict>
          </mc:Fallback>
        </mc:AlternateContent>
      </w:r>
      <w:r>
        <w:rPr>
          <w:i/>
        </w:rPr>
        <w:t>La gestión del servicio será objeto de un Convenio específico, previ</w:t>
      </w:r>
      <w:r>
        <w:rPr>
          <w:i/>
        </w:rPr>
        <w:t xml:space="preserve">o cumplimiento de los trámites procedentes, entre el Consejo Insular de Aguas de Tenerife, como gestor del servicio, y los Ayuntamientos de Candelaria, Arafo y Güímar, como titulares del mismo. En esta gestión se deberá respetar los siguientes principios: </w:t>
      </w:r>
    </w:p>
    <w:p w:rsidR="007617AD" w:rsidRDefault="00EE75C8">
      <w:pPr>
        <w:spacing w:after="110" w:line="248" w:lineRule="auto"/>
        <w:ind w:left="1078" w:right="59"/>
      </w:pPr>
      <w:r>
        <w:rPr>
          <w:i/>
        </w:rPr>
        <w:t xml:space="preserve">Primero. - El de repercusión de todos los costes del servicio, incluyendo los costes ambientales, a los usuarios del mismo, en aplicación de lo mandatado por la Directiva Marco del Agua.  </w:t>
      </w:r>
    </w:p>
    <w:p w:rsidR="007617AD" w:rsidRDefault="00EE75C8">
      <w:pPr>
        <w:spacing w:after="110" w:line="248" w:lineRule="auto"/>
        <w:ind w:left="1078" w:right="59"/>
      </w:pPr>
      <w:r>
        <w:rPr>
          <w:i/>
        </w:rPr>
        <w:t>Segundo. - El de autofinanciación del servicio, por lo que todos l</w:t>
      </w:r>
      <w:r>
        <w:rPr>
          <w:i/>
        </w:rPr>
        <w:t xml:space="preserve">os costes generados (funcionamiento, conservación, administración, inversión) se repercutirán, en las proporciones y cuantías que se determinen, entre los usuarios del Sistema.  </w:t>
      </w:r>
    </w:p>
    <w:p w:rsidR="007617AD" w:rsidRDefault="00EE75C8">
      <w:pPr>
        <w:spacing w:after="144" w:line="248" w:lineRule="auto"/>
        <w:ind w:left="1078" w:right="59"/>
      </w:pPr>
      <w:r>
        <w:rPr>
          <w:i/>
        </w:rPr>
        <w:t>Tercero- El de equidad insular, por lo que no podrán existir diferencias sust</w:t>
      </w:r>
      <w:r>
        <w:rPr>
          <w:i/>
        </w:rPr>
        <w:t xml:space="preserve">anciales entre el coste del servicio en el Polígono Industrial del Valle de Güímar y en otras zonas donde el Consejo Insular de Aguas pudiera asumir competencias similares.  </w:t>
      </w:r>
    </w:p>
    <w:p w:rsidR="007617AD" w:rsidRDefault="00EE75C8">
      <w:pPr>
        <w:spacing w:after="92" w:line="265" w:lineRule="auto"/>
        <w:ind w:left="10" w:right="62"/>
        <w:jc w:val="right"/>
      </w:pPr>
      <w:r>
        <w:t xml:space="preserve">[…] </w:t>
      </w:r>
    </w:p>
    <w:p w:rsidR="007617AD" w:rsidRDefault="00EE75C8">
      <w:pPr>
        <w:spacing w:after="112" w:line="259" w:lineRule="auto"/>
        <w:ind w:left="708" w:firstLine="0"/>
        <w:jc w:val="left"/>
      </w:pPr>
      <w:r>
        <w:rPr>
          <w:b/>
        </w:rPr>
        <w:t xml:space="preserve"> </w:t>
      </w:r>
    </w:p>
    <w:p w:rsidR="007617AD" w:rsidRDefault="00EE75C8">
      <w:pPr>
        <w:ind w:left="703" w:right="58"/>
      </w:pPr>
      <w:r>
        <w:rPr>
          <w:b/>
        </w:rPr>
        <w:t>3.1. Competencias municipales: Ayuntamientos de Arafo, Candelaria y Güímar</w:t>
      </w:r>
      <w:r>
        <w:rPr>
          <w:b/>
        </w:rPr>
        <w:t>.</w:t>
      </w:r>
      <w:r>
        <w:rPr>
          <w:rFonts w:ascii="Times New Roman" w:eastAsia="Times New Roman" w:hAnsi="Times New Roman" w:cs="Times New Roman"/>
          <w:sz w:val="24"/>
        </w:rPr>
        <w:t xml:space="preserve"> </w:t>
      </w:r>
    </w:p>
    <w:p w:rsidR="007617AD" w:rsidRDefault="00EE75C8">
      <w:pPr>
        <w:spacing w:after="244"/>
        <w:ind w:left="703" w:right="62"/>
      </w:pPr>
      <w:r>
        <w:t>El art. 7.2 LRBRL dispone que “Las competencias propias de los Municipios, las Provincias, las Islas y demás Entidades Locales territoriales solo podrán ser determinadas por Ley y se ejercen en régimen de autonomía y bajo la propia responsabilidad, aten</w:t>
      </w:r>
      <w:r>
        <w:t xml:space="preserve">diendo siempre a la debida coordinación en su programación y ejecución con las demás Administraciones Públicas”.  </w:t>
      </w:r>
    </w:p>
    <w:p w:rsidR="007617AD" w:rsidRDefault="00EE75C8">
      <w:pPr>
        <w:spacing w:after="220"/>
        <w:ind w:left="703" w:right="62"/>
      </w:pPr>
      <w:r>
        <w:t>En este sentido conforme al art. 25.2 LRBRL el municipio ejercerá, en todo caso, competencias</w:t>
      </w:r>
      <w:r>
        <w:rPr>
          <w:rFonts w:ascii="Times New Roman" w:eastAsia="Times New Roman" w:hAnsi="Times New Roman" w:cs="Times New Roman"/>
          <w:sz w:val="24"/>
        </w:rPr>
        <w:t xml:space="preserve"> propias en materia de "</w:t>
      </w:r>
      <w:r>
        <w:rPr>
          <w:rFonts w:ascii="Times New Roman" w:eastAsia="Times New Roman" w:hAnsi="Times New Roman" w:cs="Times New Roman"/>
          <w:sz w:val="24"/>
        </w:rPr>
        <w:t xml:space="preserve">evacuación y tratamiento de aguas residuales” (letra c.). </w:t>
      </w:r>
    </w:p>
    <w:p w:rsidR="007617AD" w:rsidRDefault="00EE75C8">
      <w:pPr>
        <w:ind w:left="703" w:right="62"/>
      </w:pPr>
      <w:r>
        <w:t xml:space="preserve">Asimismo, conforme a los apartados 3 y 4 del referido art. 25 LRBRL: </w:t>
      </w:r>
    </w:p>
    <w:p w:rsidR="007617AD" w:rsidRDefault="00EE75C8">
      <w:pPr>
        <w:numPr>
          <w:ilvl w:val="0"/>
          <w:numId w:val="33"/>
        </w:numPr>
        <w:spacing w:after="231" w:line="248" w:lineRule="auto"/>
        <w:ind w:right="59"/>
      </w:pPr>
      <w:r>
        <w:rPr>
          <w:i/>
        </w:rPr>
        <w:t>Las competencias municipales en las materias enunciadas en este artículo se determinarán por Ley debiendo evaluar la convenienc</w:t>
      </w:r>
      <w:r>
        <w:rPr>
          <w:i/>
        </w:rPr>
        <w:t xml:space="preserve">ia de la implantación de servicios locales conforme a los principios de descentralización, eficiencia, estabilidad y sostenibilidad financiera. </w:t>
      </w:r>
    </w:p>
    <w:p w:rsidR="007617AD" w:rsidRDefault="00EE75C8">
      <w:pPr>
        <w:numPr>
          <w:ilvl w:val="0"/>
          <w:numId w:val="33"/>
        </w:numPr>
        <w:spacing w:after="231" w:line="248" w:lineRule="auto"/>
        <w:ind w:right="59"/>
      </w:pPr>
      <w:r>
        <w:rPr>
          <w:i/>
        </w:rPr>
        <w:t>La Ley a que se refiere el apartado anterior deberá ir acompañada de una memoria económica que refleje el impac</w:t>
      </w:r>
      <w:r>
        <w:rPr>
          <w:i/>
        </w:rPr>
        <w:t>to sobre los recursos financieros de las Administraciones Públicas afectadas y el cumplimiento de los principios de estabilidad, sostenibilidad financiera y eficiencia del servicio o la actividad. La Ley debe prever la dotación de los recursos necesarios p</w:t>
      </w:r>
      <w:r>
        <w:rPr>
          <w:i/>
        </w:rPr>
        <w:t xml:space="preserve">ara asegurar la suficiencia financiera de las Entidades Locales sin que ello pueda conllevar, en ningún caso, un mayor gasto de las Administraciones  </w:t>
      </w:r>
    </w:p>
    <w:p w:rsidR="007617AD" w:rsidRDefault="00EE75C8">
      <w:pPr>
        <w:spacing w:after="234"/>
        <w:ind w:left="703" w:right="62"/>
      </w:pPr>
      <w:r>
        <w:t>Es de aplicación el artículo 26.1 a) de la Ley de Bases del Régimen local que atribuye a todos los munici</w:t>
      </w:r>
      <w:r>
        <w:t xml:space="preserve">pios la competencia de alcantarillado. </w:t>
      </w:r>
    </w:p>
    <w:p w:rsidR="007617AD" w:rsidRDefault="00EE75C8">
      <w:pPr>
        <w:spacing w:after="211"/>
        <w:ind w:left="703" w:right="62"/>
      </w:pPr>
      <w:r>
        <w:t xml:space="preserve">Por otra parte, la Ley 14/1986, de 25 de abril, General de Sanidad, que concreta las competencias municipales en materia de “medio ambiente urbano”, en su art. 42, apartado 3, considera una responsabilidad mínima de </w:t>
      </w:r>
      <w:r>
        <w:t xml:space="preserve">los Ayuntamientos el “control sanitario del medio ambiente: la contaminación atmosférica, abastecimiento de aguas, saneamiento de aguas residuales, residuos urbanos e industriales”. </w:t>
      </w:r>
      <w:r>
        <w:rPr>
          <w:rFonts w:ascii="Times New Roman" w:eastAsia="Times New Roman" w:hAnsi="Times New Roman" w:cs="Times New Roman"/>
          <w:sz w:val="24"/>
        </w:rPr>
        <w:t xml:space="preserve"> </w:t>
      </w:r>
    </w:p>
    <w:p w:rsidR="007617AD" w:rsidRDefault="00EE75C8">
      <w:pPr>
        <w:spacing w:after="11"/>
        <w:ind w:left="703" w:right="62"/>
      </w:pPr>
      <w:r>
        <w:t>El art. 10 del Decreto 174/1994 de 29 de julio, por el que se aprueba el</w:t>
      </w:r>
      <w:r>
        <w:t xml:space="preserve"> Reglamento de Control de </w:t>
      </w:r>
    </w:p>
    <w:p w:rsidR="007617AD" w:rsidRDefault="00EE75C8">
      <w:pPr>
        <w:spacing w:after="213"/>
        <w:ind w:left="703" w:right="62"/>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5870" name="Group 26587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7546" name="Rectangle 1754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7547" name="Rectangle 17547"/>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82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5870" style="width:12.7031pt;height:280.02pt;position:absolute;mso-position-horizontal-relative:page;mso-position-horizontal:absolute;margin-left:682.278pt;mso-position-vertical-relative:page;margin-top:531.9pt;" coordsize="1613,35562">
                <v:rect id="Rectangle 1754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7547"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192 </w:t>
                        </w:r>
                      </w:p>
                    </w:txbxContent>
                  </v:textbox>
                </v:rect>
                <w10:wrap type="square"/>
              </v:group>
            </w:pict>
          </mc:Fallback>
        </mc:AlternateContent>
      </w:r>
      <w:r>
        <w:t>Vertidos para la ocupación del d</w:t>
      </w:r>
      <w:r>
        <w:t>ominio público hidráulico. (RCV), según el cual “los municipios son directamente responsables de los servicios de abastecimiento domiciliario de agua potable, de alcantarillado y de tratamiento o depuración de las aguas residuales en los términos de la leg</w:t>
      </w:r>
      <w:r>
        <w:t>islación de régimen local. Entre sus responsabilidades se incluyen (…) b.) El buen funcionamiento de sus servicios de depuración, así como la vigilancia de los instalados en las urbanizaciones no conectados al sistema general; c.) El control de los efluent</w:t>
      </w:r>
      <w:r>
        <w:t xml:space="preserve">es de sus servicios de alcantarillado y depuración de aguas residuales (…)”. </w:t>
      </w:r>
      <w:r>
        <w:rPr>
          <w:rFonts w:ascii="Times New Roman" w:eastAsia="Times New Roman" w:hAnsi="Times New Roman" w:cs="Times New Roman"/>
          <w:sz w:val="24"/>
        </w:rPr>
        <w:t xml:space="preserve"> </w:t>
      </w:r>
    </w:p>
    <w:p w:rsidR="007617AD" w:rsidRDefault="00EE75C8">
      <w:pPr>
        <w:spacing w:after="232"/>
        <w:ind w:left="703" w:right="62"/>
      </w:pPr>
      <w:r>
        <w:t>Es de aplicación la norma 297.3 del Plan Hidrológico de la Demarcación Hidrográfica de Tenerife, aprobado mediante Decreto 168/2018, de 26 de noviembre (BOC nº 250 de 27 de dici</w:t>
      </w:r>
      <w:r>
        <w:t xml:space="preserve">embre de 2018), que en su apartado 2 dispone: </w:t>
      </w:r>
    </w:p>
    <w:p w:rsidR="007617AD" w:rsidRDefault="00EE75C8">
      <w:pPr>
        <w:spacing w:after="231" w:line="248" w:lineRule="auto"/>
        <w:ind w:left="703" w:right="59"/>
      </w:pPr>
      <w:r>
        <w:rPr>
          <w:i/>
        </w:rPr>
        <w:t xml:space="preserve">El servicio de tratamiento del agua residual y el vertido podrá ser gestionado mediante fórmula de convenio entre el CIATF y uno o varios Ayuntamientos. </w:t>
      </w:r>
    </w:p>
    <w:p w:rsidR="007617AD" w:rsidRDefault="00EE75C8">
      <w:pPr>
        <w:spacing w:after="231" w:line="248" w:lineRule="auto"/>
        <w:ind w:left="703" w:right="59"/>
      </w:pPr>
      <w:r>
        <w:rPr>
          <w:i/>
        </w:rPr>
        <w:t xml:space="preserve">En este caso, se entenderá que el órgano de gestión del Convenio asume la prestación del servicio para su gestión –de manera habitual- por el Consejo Insular de Aguas, sin perjuicio de lo que corresponda en razón de la autonomía de cada Ayuntamiento en su </w:t>
      </w:r>
      <w:r>
        <w:rPr>
          <w:i/>
        </w:rPr>
        <w:t xml:space="preserve">término municipal.  </w:t>
      </w:r>
    </w:p>
    <w:p w:rsidR="007617AD" w:rsidRDefault="00EE75C8">
      <w:pPr>
        <w:spacing w:after="243" w:line="248" w:lineRule="auto"/>
        <w:ind w:left="703" w:right="59"/>
      </w:pPr>
      <w:r>
        <w:rPr>
          <w:i/>
        </w:rPr>
        <w:t>El Consejo Insular se subrogará en la explotación de las instalaciones de depuración y vertido del agua residual que no cumplan las condiciones adecuadas para la protección del medio ambiente o impidan el tratamiento de la regeneración</w:t>
      </w:r>
      <w:r>
        <w:rPr>
          <w:i/>
        </w:rPr>
        <w:t xml:space="preserve"> del agua residual, si fuere necesario para la planificación hidráulica insular. </w:t>
      </w:r>
    </w:p>
    <w:p w:rsidR="007617AD" w:rsidRDefault="00EE75C8">
      <w:pPr>
        <w:spacing w:after="216" w:line="259" w:lineRule="auto"/>
        <w:ind w:left="708" w:firstLine="0"/>
        <w:jc w:val="left"/>
      </w:pPr>
      <w:r>
        <w:rPr>
          <w:rFonts w:ascii="Times New Roman" w:eastAsia="Times New Roman" w:hAnsi="Times New Roman" w:cs="Times New Roman"/>
          <w:i/>
          <w:sz w:val="24"/>
        </w:rPr>
        <w:t xml:space="preserve"> </w:t>
      </w:r>
    </w:p>
    <w:p w:rsidR="007617AD" w:rsidRDefault="00EE75C8">
      <w:pPr>
        <w:spacing w:after="0" w:line="259" w:lineRule="auto"/>
        <w:ind w:left="708" w:firstLine="0"/>
        <w:jc w:val="left"/>
      </w:pPr>
      <w:r>
        <w:rPr>
          <w:rFonts w:ascii="Times New Roman" w:eastAsia="Times New Roman" w:hAnsi="Times New Roman" w:cs="Times New Roman"/>
          <w:i/>
          <w:sz w:val="24"/>
        </w:rPr>
        <w:t xml:space="preserve"> </w:t>
      </w:r>
    </w:p>
    <w:p w:rsidR="007617AD" w:rsidRDefault="00EE75C8">
      <w:pPr>
        <w:spacing w:after="234"/>
        <w:ind w:left="703" w:right="58"/>
      </w:pPr>
      <w:r>
        <w:rPr>
          <w:b/>
        </w:rPr>
        <w:t>3.2. Competencias insulares para la gestión conjunta de las infraestructuras de depuración y vertido integradas en el Sistema Territorial de Saneamiento del Valle de Güím</w:t>
      </w:r>
      <w:r>
        <w:rPr>
          <w:b/>
        </w:rPr>
        <w:t xml:space="preserve">ar y Polígono Industrial del Valle de Güímar. </w:t>
      </w:r>
    </w:p>
    <w:p w:rsidR="007617AD" w:rsidRDefault="00EE75C8">
      <w:pPr>
        <w:spacing w:after="214" w:line="248" w:lineRule="auto"/>
        <w:ind w:left="703" w:right="59"/>
      </w:pPr>
      <w:r>
        <w:t xml:space="preserve">Es de aplicación el artículo 26.2 de la Ley de Bases del Régimen local que establece: </w:t>
      </w:r>
      <w:r>
        <w:rPr>
          <w:i/>
        </w:rPr>
        <w:t xml:space="preserve">2. En los municipios con población inferior a 20.000 habitantes será la Diputación provincial o entidad equivalente la que coordinará la prestación de los siguientes servicios: b) (…) evacuación y tratamiento de aguas residuales. </w:t>
      </w:r>
      <w:r>
        <w:rPr>
          <w:rFonts w:ascii="Times New Roman" w:eastAsia="Times New Roman" w:hAnsi="Times New Roman" w:cs="Times New Roman"/>
          <w:sz w:val="24"/>
        </w:rPr>
        <w:t xml:space="preserve"> </w:t>
      </w:r>
    </w:p>
    <w:p w:rsidR="007617AD" w:rsidRDefault="00EE75C8">
      <w:pPr>
        <w:spacing w:after="216"/>
        <w:ind w:left="703" w:right="62"/>
      </w:pPr>
      <w:r>
        <w:t>Es de aplicación lo disp</w:t>
      </w:r>
      <w:r>
        <w:t>uesto en el artículo 41.1 de la Ley de Bases del Régimen local que establece Los Cabildos Insulares Canarios, como órganos de gobierno, administración y representación de cada isla, se rigen por las normas contenidas en la disposición adicional decimocuart</w:t>
      </w:r>
      <w:r>
        <w:t>a de esta ley y supletoriamente por las normas que regulan la organización y funcionamiento de las Diputaciones provinciales, asumiendo las competencias de éstas, sin perjuicio de lo dispuesto en el Estatuto de Autonomía de Canarias.</w:t>
      </w:r>
      <w:r>
        <w:rPr>
          <w:rFonts w:ascii="Times New Roman" w:eastAsia="Times New Roman" w:hAnsi="Times New Roman" w:cs="Times New Roman"/>
          <w:sz w:val="24"/>
        </w:rPr>
        <w:t xml:space="preserve"> </w:t>
      </w:r>
    </w:p>
    <w:p w:rsidR="007617AD" w:rsidRDefault="00EE75C8">
      <w:pPr>
        <w:spacing w:after="211" w:line="248" w:lineRule="auto"/>
        <w:ind w:left="703" w:right="59"/>
      </w:pPr>
      <w:r>
        <w:t>Es de aplicación la n</w:t>
      </w:r>
      <w:r>
        <w:t xml:space="preserve">orma 298.1 “Gestión supramunicipal del Saneamiento” del Plan Hidrológico de la Demarcación Hidrográfica de Tenerife, aprobado mediante Decreto 168/2018, de 26 de noviembre (BOC nº 250 de 27 de diciembre de 2018), que dispone: </w:t>
      </w:r>
      <w:r>
        <w:rPr>
          <w:i/>
        </w:rPr>
        <w:t>1.- En los municipios de menos</w:t>
      </w:r>
      <w:r>
        <w:rPr>
          <w:i/>
        </w:rPr>
        <w:t xml:space="preserve"> de 20.000 habitantes, el Cabildo de Tenerife –directamente o a través del Consejo Insular de Aguas, según se establezca -coordinará la prestación del servicio de saneamiento del agua residual en los términos previstos en el artículo 26.2 de la Ley de Base</w:t>
      </w:r>
      <w:r>
        <w:rPr>
          <w:i/>
        </w:rPr>
        <w:t>s del Régimen local (…).</w:t>
      </w:r>
      <w:r>
        <w:rPr>
          <w:rFonts w:ascii="Times New Roman" w:eastAsia="Times New Roman" w:hAnsi="Times New Roman" w:cs="Times New Roman"/>
          <w:sz w:val="24"/>
        </w:rPr>
        <w:t xml:space="preserve"> </w:t>
      </w:r>
    </w:p>
    <w:p w:rsidR="007617AD" w:rsidRDefault="00EE75C8">
      <w:pPr>
        <w:spacing w:after="232"/>
        <w:ind w:left="703" w:right="62"/>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6045" name="Group 266045"/>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7673" name="Rectangle 17673"/>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7674" name="Rectangle 17674"/>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83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6045" style="width:12.7031pt;height:280.02pt;position:absolute;mso-position-horizontal-relative:page;mso-position-horizontal:absolute;margin-left:682.278pt;mso-position-vertical-relative:page;margin-top:531.9pt;" coordsize="1613,35562">
                <v:rect id="Rectangle 17673"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7674"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192 </w:t>
                        </w:r>
                      </w:p>
                    </w:txbxContent>
                  </v:textbox>
                </v:rect>
                <w10:wrap type="square"/>
              </v:group>
            </w:pict>
          </mc:Fallback>
        </mc:AlternateContent>
      </w:r>
      <w:r>
        <w:t>Los Consejos Insulares son Organismos Autónomos que ejercen en cada Isla las funciones que, en relación con las aguas, la legislación general confía a los Organismos de cuenca, así como las competencias que le otorga la propia Ley de Aguas de Canarias (art</w:t>
      </w:r>
      <w:r>
        <w:t xml:space="preserve">s. 6 y 10 LAC).  </w:t>
      </w:r>
    </w:p>
    <w:p w:rsidR="007617AD" w:rsidRDefault="00EE75C8">
      <w:pPr>
        <w:spacing w:after="214"/>
        <w:ind w:left="703" w:right="62"/>
      </w:pPr>
      <w:r>
        <w:t>El Consejo Insular de Aguas de Tenerife tiene atribuidas, entre otras funciones, la prestación de toda clase de servicios técnicos y el asesoramiento a las Administraciones Públicas, según determina la Ley 12/1990, de 26 de julio, de Agua</w:t>
      </w:r>
      <w:r>
        <w:t xml:space="preserve">s de Canarias. </w:t>
      </w:r>
      <w:r>
        <w:rPr>
          <w:rFonts w:ascii="Times New Roman" w:eastAsia="Times New Roman" w:hAnsi="Times New Roman" w:cs="Times New Roman"/>
          <w:sz w:val="24"/>
        </w:rPr>
        <w:t xml:space="preserve"> </w:t>
      </w:r>
    </w:p>
    <w:p w:rsidR="007617AD" w:rsidRDefault="00EE75C8">
      <w:pPr>
        <w:spacing w:after="211"/>
        <w:ind w:left="703" w:right="62"/>
      </w:pPr>
      <w:r>
        <w:t>Atendiendo a lo anterior, de acuerdo con la actuación desarrollada hasta la fecha en los Convenios formalizados con los Ayuntamientos de la Isla para articular sus competencias en lo que respecta a la depuración y vertido, corresponde al C</w:t>
      </w:r>
      <w:r>
        <w:t>IATF la gestión de las infraestructuras a través de la fórmula que se considere adecuada a tal fin (que podrá ser por contratos de servicios (funciones de operación) o encargo a medio propio, una combinación de ambas u otras fórmulas previstas en el ordena</w:t>
      </w:r>
      <w:r>
        <w:t>miento jurídico que sean adecuadas a tal fin), y a llevar a cabo un control ambiental y técnico de su funcionamiento. Además, el CIATF prefinancia esta gestión pues atiende a todos los gastos (incluyendo la electricidad) y, a posteriori, procede a su reper</w:t>
      </w:r>
      <w:r>
        <w:t xml:space="preserve">cusión íntegra a los Ayuntamientos. </w:t>
      </w:r>
      <w:r>
        <w:rPr>
          <w:rFonts w:ascii="Times New Roman" w:eastAsia="Times New Roman" w:hAnsi="Times New Roman" w:cs="Times New Roman"/>
          <w:sz w:val="24"/>
        </w:rPr>
        <w:t xml:space="preserve"> </w:t>
      </w:r>
    </w:p>
    <w:p w:rsidR="007617AD" w:rsidRDefault="00EE75C8">
      <w:pPr>
        <w:ind w:left="703" w:right="58"/>
      </w:pPr>
      <w:r>
        <w:rPr>
          <w:b/>
        </w:rPr>
        <w:t xml:space="preserve">CUARTO. - ESTACIÓN DEPURADORA DE AGUAS RESIDUALES URBANAS DEL VALLE DE GÜÍMAR (EDARU). </w:t>
      </w:r>
    </w:p>
    <w:p w:rsidR="007617AD" w:rsidRDefault="00EE75C8">
      <w:pPr>
        <w:spacing w:after="73"/>
        <w:ind w:left="703" w:right="62"/>
      </w:pPr>
      <w:r>
        <w:t>Las obras de la EDARU, que está ubicada en el T.M. de Arafo, fueron adjudicadas con fecha 13 de septiembre de 2017 a la U.T.E. con</w:t>
      </w:r>
      <w:r>
        <w:t>formada por FERROVIAL AGROMAN, S.A. – CADAGUA, S.A., por un importe de 9.809.062,71 € y un plazo de ejecución de 30 meses, formalizándose el correspondiente contrato administrativo el 5 de octubre de 2017 (anuncio insertado en el DOUE de 19/10/2017, 414543</w:t>
      </w:r>
      <w:r>
        <w:t xml:space="preserve">-2017-ES). Por requerimientos de encaje físico y perfeccionamiento tecnológico se aprobó y rubricó una Modificación del Proyecto anterior alcanzando un presupuesto de 12.310.399,87€. </w:t>
      </w:r>
    </w:p>
    <w:p w:rsidR="007617AD" w:rsidRDefault="00EE75C8">
      <w:pPr>
        <w:ind w:left="703" w:right="62"/>
      </w:pPr>
      <w:r>
        <w:t>El inicio de las obras tuvo lugar el 27 de octubre de 2017, con la suscr</w:t>
      </w:r>
      <w:r>
        <w:t>ipción del Acta de Comprobación del Replanteo, estando prevista la recepción de las obras -a la fecha de firma del presente Convenio-  en el mes de diciembre de 2022 y su puesta en funcionamiento en el mes de enero de 2025 cuando se culminen las actuacione</w:t>
      </w:r>
      <w:r>
        <w:t xml:space="preserve">s que posibiliten la llegada de los caudales colectados a la misma (actuaciones no incluidas en las obras de la EDARU). Dichas actuaciones figuran en el cronograma que se incorpora como Anexo III del presente convenio.  </w:t>
      </w:r>
    </w:p>
    <w:p w:rsidR="007617AD" w:rsidRDefault="00EE75C8">
      <w:pPr>
        <w:ind w:left="703" w:right="62"/>
      </w:pPr>
      <w:r>
        <w:t>La capacidad de tratamiento de la E</w:t>
      </w:r>
      <w:r>
        <w:t>DARU es de 75.833 habitantes equivalentes suficiente para cubrir la totalidad de la carga contaminante urbana de los tres municipios a los que prestará servicio, es decir Candelaria, Arafo y Güímar, ampliable hasta 113.750 habitantes equivalentes para el h</w:t>
      </w:r>
      <w:r>
        <w:t xml:space="preserve">orizonte temporal 2027. </w:t>
      </w:r>
    </w:p>
    <w:p w:rsidR="007617AD" w:rsidRDefault="00EE75C8">
      <w:pPr>
        <w:ind w:left="703" w:right="62"/>
      </w:pPr>
      <w:r>
        <w:t xml:space="preserve">El 100% del coste de las actuaciones en esta obra incluyendo la redacción del proyecto inicial han sido sufragados con presupuestos del CIATF. </w:t>
      </w:r>
    </w:p>
    <w:p w:rsidR="007617AD" w:rsidRDefault="00EE75C8">
      <w:pPr>
        <w:spacing w:after="98" w:line="259" w:lineRule="auto"/>
        <w:ind w:left="708" w:firstLine="0"/>
        <w:jc w:val="left"/>
      </w:pPr>
      <w:r>
        <w:rPr>
          <w:b/>
        </w:rPr>
        <w:t xml:space="preserve"> </w:t>
      </w:r>
    </w:p>
    <w:p w:rsidR="007617AD" w:rsidRDefault="00EE75C8">
      <w:pPr>
        <w:ind w:left="703" w:right="58"/>
      </w:pPr>
      <w:r>
        <w:rPr>
          <w:b/>
        </w:rPr>
        <w:t>QUINTO. -</w:t>
      </w:r>
      <w:r>
        <w:t xml:space="preserve"> </w:t>
      </w:r>
      <w:r>
        <w:rPr>
          <w:b/>
        </w:rPr>
        <w:t>ESTACIÓN DEPURADORA DE AGUAS RESIDUALES INDUSTRIALES (EDARI) DEL POLÍGONO I</w:t>
      </w:r>
      <w:r>
        <w:rPr>
          <w:b/>
        </w:rPr>
        <w:t xml:space="preserve">NDUSTRIAL DEL VALLE DE GÜIMAR Y ACTUACIONES COMPLEMENTARIAS. </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ind w:left="703" w:right="62"/>
      </w:pPr>
      <w:r>
        <w:t xml:space="preserve">Las obras de la EDARI, así como las actuaciones complementarias. fueron adjudicadas con fecha 16 de septiembre de 2019 la U.T.E. HIDROTEC AGUAS, S.L. y SATOCAN S.A., por un importe de </w:t>
      </w:r>
    </w:p>
    <w:p w:rsidR="007617AD" w:rsidRDefault="00EE75C8">
      <w:pPr>
        <w:spacing w:after="1"/>
        <w:ind w:left="703" w:right="62"/>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6306" name="Group 26630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7790" name="Rectangle 1779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7791" name="Rectangle 17791"/>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84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6306" style="width:12.7031pt;height:280.02pt;position:absolute;mso-position-horizontal-relative:page;mso-position-horizontal:absolute;margin-left:682.278pt;mso-position-vertical-relative:page;margin-top:531.9pt;" coordsize="1613,35562">
                <v:rect id="Rectangle 1779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7791"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192 </w:t>
                        </w:r>
                      </w:p>
                    </w:txbxContent>
                  </v:textbox>
                </v:rect>
                <w10:wrap type="square"/>
              </v:group>
            </w:pict>
          </mc:Fallback>
        </mc:AlternateContent>
      </w:r>
      <w:r>
        <w:t>5.235.122,44 € -6,5% IGIC aplicable no incluido – y un plazo d</w:t>
      </w:r>
      <w:r>
        <w:t xml:space="preserve">e 23 meses (17 meses de ejecución y 6 meses de periodo de pruebas). La correspondiente Acta de Comprobación de Replanteo se suscribió el 21 de noviembre de 2019, habiéndose iniciado con ello las obras. Así mismo se aprobó y rubricó un modificado necesario </w:t>
      </w:r>
      <w:r>
        <w:t xml:space="preserve">para optimizar la operación posterior de la planta lo que el presupuesto total alcanza los 5.991.461,46 €. </w:t>
      </w:r>
    </w:p>
    <w:p w:rsidR="007617AD" w:rsidRDefault="00EE75C8">
      <w:pPr>
        <w:spacing w:after="0" w:line="259" w:lineRule="auto"/>
        <w:ind w:left="708" w:firstLine="0"/>
        <w:jc w:val="left"/>
      </w:pPr>
      <w:r>
        <w:t xml:space="preserve"> </w:t>
      </w:r>
    </w:p>
    <w:p w:rsidR="007617AD" w:rsidRDefault="00EE75C8">
      <w:pPr>
        <w:ind w:left="703" w:right="62"/>
      </w:pPr>
      <w:r>
        <w:t>La capacidad de tratamiento de la EDARI es de 14.126 habitantes equivalentes suficiente para cubrir la totalidad de la carga contaminante industri</w:t>
      </w:r>
      <w:r>
        <w:t xml:space="preserve">al del polígono en un horizonte temporal futuro a los que prestará servicio, es decir Candelaria, Arafo y Güímar. </w:t>
      </w:r>
    </w:p>
    <w:p w:rsidR="007617AD" w:rsidRDefault="00EE75C8">
      <w:pPr>
        <w:ind w:left="703" w:right="62"/>
      </w:pPr>
      <w:r>
        <w:t>La finalización de la EDARi está prevista inicialmente para finales de noviembre de 2022 y su recepción en el mes de diciembre de 2022, confo</w:t>
      </w:r>
      <w:r>
        <w:t xml:space="preserve">rme al plan de etapas actualmente vigente, sin perjuicio de eventuales modificaciones que pudieran producirse como consecuencia de la ejecución y puesta en funcionamiento de la instalación. </w:t>
      </w:r>
    </w:p>
    <w:p w:rsidR="007617AD" w:rsidRDefault="00EE75C8">
      <w:pPr>
        <w:ind w:left="703" w:right="62"/>
      </w:pPr>
      <w:r>
        <w:t>El 100% del coste de las actuaciones en estas obras (EDARI y actu</w:t>
      </w:r>
      <w:r>
        <w:t xml:space="preserve">aciones complementarias) incluyendo la redacción del proyecto inicial han sido sufragados con presupuestos del CIATF. </w:t>
      </w:r>
    </w:p>
    <w:p w:rsidR="007617AD" w:rsidRDefault="00EE75C8">
      <w:pPr>
        <w:spacing w:after="98" w:line="259" w:lineRule="auto"/>
        <w:ind w:left="708" w:firstLine="0"/>
        <w:jc w:val="left"/>
      </w:pPr>
      <w:r>
        <w:rPr>
          <w:b/>
        </w:rPr>
        <w:t xml:space="preserve"> </w:t>
      </w:r>
    </w:p>
    <w:p w:rsidR="007617AD" w:rsidRDefault="00EE75C8">
      <w:pPr>
        <w:ind w:left="703" w:right="58"/>
      </w:pPr>
      <w:r>
        <w:rPr>
          <w:b/>
        </w:rPr>
        <w:t xml:space="preserve">SEXTO. - CAUDALES DE DISEÑO DE LAS INTALACIONES DE DEPURACIÓN DEL AGUA RESIDUAL URBANA E INDUSTRIAL. </w:t>
      </w:r>
    </w:p>
    <w:p w:rsidR="007617AD" w:rsidRDefault="00EE75C8">
      <w:pPr>
        <w:spacing w:after="100" w:line="259" w:lineRule="auto"/>
        <w:ind w:left="708" w:firstLine="0"/>
        <w:jc w:val="left"/>
      </w:pPr>
      <w:r>
        <w:rPr>
          <w:b/>
        </w:rPr>
        <w:t xml:space="preserve"> </w:t>
      </w:r>
    </w:p>
    <w:p w:rsidR="007617AD" w:rsidRDefault="00EE75C8">
      <w:pPr>
        <w:ind w:left="703" w:right="62"/>
      </w:pPr>
      <w:r>
        <w:t>Las instalaciones antes descrit</w:t>
      </w:r>
      <w:r>
        <w:t xml:space="preserve">as, EDARU y EDARI, se han diseñado para tratar un volumen de agua estimado por municipio y que se detalla en la siguiente tabla. Estos caudales determinan la </w:t>
      </w:r>
      <w:r>
        <w:rPr>
          <w:u w:val="single" w:color="000000"/>
        </w:rPr>
        <w:t>capacidad de tratamiento reservada</w:t>
      </w:r>
      <w:r>
        <w:t xml:space="preserve"> en las instalaciones para cada uno de los Ayuntamientos y a la </w:t>
      </w:r>
      <w:r>
        <w:t xml:space="preserve">vez establecen la cuota de participación de cada Ayuntamiento en los costes fijos bajo la premisa de </w:t>
      </w:r>
      <w:r>
        <w:rPr>
          <w:u w:val="single" w:color="000000"/>
        </w:rPr>
        <w:t>proporcionalidad entre la cuota de tratamiento asignada por municipio y los costes fijos de</w:t>
      </w:r>
      <w:r>
        <w:t xml:space="preserve"> </w:t>
      </w:r>
      <w:r>
        <w:rPr>
          <w:u w:val="single" w:color="000000"/>
        </w:rPr>
        <w:t>ambas instalaciones.</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tbl>
      <w:tblPr>
        <w:tblStyle w:val="TableGrid"/>
        <w:tblW w:w="8491" w:type="dxa"/>
        <w:tblInd w:w="1232" w:type="dxa"/>
        <w:tblCellMar>
          <w:top w:w="46" w:type="dxa"/>
          <w:left w:w="29" w:type="dxa"/>
          <w:bottom w:w="0" w:type="dxa"/>
          <w:right w:w="115" w:type="dxa"/>
        </w:tblCellMar>
        <w:tblLook w:val="04A0" w:firstRow="1" w:lastRow="0" w:firstColumn="1" w:lastColumn="0" w:noHBand="0" w:noVBand="1"/>
      </w:tblPr>
      <w:tblGrid>
        <w:gridCol w:w="2826"/>
        <w:gridCol w:w="950"/>
        <w:gridCol w:w="944"/>
        <w:gridCol w:w="938"/>
        <w:gridCol w:w="950"/>
        <w:gridCol w:w="944"/>
        <w:gridCol w:w="938"/>
      </w:tblGrid>
      <w:tr w:rsidR="007617AD">
        <w:trPr>
          <w:trHeight w:val="253"/>
        </w:trPr>
        <w:tc>
          <w:tcPr>
            <w:tcW w:w="2826" w:type="dxa"/>
            <w:vMerge w:val="restart"/>
            <w:tcBorders>
              <w:top w:val="nil"/>
              <w:left w:val="nil"/>
              <w:bottom w:val="nil"/>
              <w:right w:val="single" w:sz="9" w:space="0" w:color="000000"/>
            </w:tcBorders>
          </w:tcPr>
          <w:p w:rsidR="007617AD" w:rsidRDefault="007617AD">
            <w:pPr>
              <w:spacing w:after="160" w:line="259" w:lineRule="auto"/>
              <w:ind w:left="0" w:firstLine="0"/>
              <w:jc w:val="left"/>
            </w:pPr>
          </w:p>
        </w:tc>
        <w:tc>
          <w:tcPr>
            <w:tcW w:w="2832" w:type="dxa"/>
            <w:gridSpan w:val="3"/>
            <w:tcBorders>
              <w:top w:val="single" w:sz="5" w:space="0" w:color="000000"/>
              <w:left w:val="single" w:sz="9" w:space="0" w:color="000000"/>
              <w:bottom w:val="single" w:sz="10" w:space="0" w:color="000000"/>
              <w:right w:val="single" w:sz="9" w:space="0" w:color="000000"/>
            </w:tcBorders>
          </w:tcPr>
          <w:p w:rsidR="007617AD" w:rsidRDefault="00EE75C8">
            <w:pPr>
              <w:spacing w:after="0" w:line="259" w:lineRule="auto"/>
              <w:ind w:left="85" w:firstLine="0"/>
              <w:jc w:val="center"/>
            </w:pPr>
            <w:r>
              <w:rPr>
                <w:rFonts w:ascii="Calibri" w:eastAsia="Calibri" w:hAnsi="Calibri" w:cs="Calibri"/>
                <w:sz w:val="19"/>
              </w:rPr>
              <w:t>Aguas residuales urbanas</w:t>
            </w:r>
          </w:p>
        </w:tc>
        <w:tc>
          <w:tcPr>
            <w:tcW w:w="2832" w:type="dxa"/>
            <w:gridSpan w:val="3"/>
            <w:tcBorders>
              <w:top w:val="single" w:sz="5" w:space="0" w:color="000000"/>
              <w:left w:val="single" w:sz="9" w:space="0" w:color="000000"/>
              <w:bottom w:val="single" w:sz="10" w:space="0" w:color="000000"/>
              <w:right w:val="single" w:sz="9" w:space="0" w:color="000000"/>
            </w:tcBorders>
          </w:tcPr>
          <w:p w:rsidR="007617AD" w:rsidRDefault="00EE75C8">
            <w:pPr>
              <w:spacing w:after="0" w:line="259" w:lineRule="auto"/>
              <w:ind w:left="83" w:firstLine="0"/>
              <w:jc w:val="center"/>
            </w:pPr>
            <w:r>
              <w:rPr>
                <w:rFonts w:ascii="Calibri" w:eastAsia="Calibri" w:hAnsi="Calibri" w:cs="Calibri"/>
                <w:sz w:val="19"/>
              </w:rPr>
              <w:t>Aguas residuales industriales</w:t>
            </w:r>
          </w:p>
        </w:tc>
      </w:tr>
      <w:tr w:rsidR="007617AD">
        <w:trPr>
          <w:trHeight w:val="263"/>
        </w:trPr>
        <w:tc>
          <w:tcPr>
            <w:tcW w:w="0" w:type="auto"/>
            <w:vMerge/>
            <w:tcBorders>
              <w:top w:val="nil"/>
              <w:left w:val="nil"/>
              <w:bottom w:val="nil"/>
              <w:right w:val="single" w:sz="9" w:space="0" w:color="000000"/>
            </w:tcBorders>
          </w:tcPr>
          <w:p w:rsidR="007617AD" w:rsidRDefault="007617AD">
            <w:pPr>
              <w:spacing w:after="160" w:line="259" w:lineRule="auto"/>
              <w:ind w:left="0" w:firstLine="0"/>
              <w:jc w:val="left"/>
            </w:pPr>
          </w:p>
        </w:tc>
        <w:tc>
          <w:tcPr>
            <w:tcW w:w="950" w:type="dxa"/>
            <w:tcBorders>
              <w:top w:val="single" w:sz="10" w:space="0" w:color="000000"/>
              <w:left w:val="single" w:sz="9" w:space="0" w:color="000000"/>
              <w:bottom w:val="nil"/>
              <w:right w:val="single" w:sz="5" w:space="0" w:color="000000"/>
            </w:tcBorders>
          </w:tcPr>
          <w:p w:rsidR="007617AD" w:rsidRDefault="00EE75C8">
            <w:pPr>
              <w:spacing w:after="0" w:line="259" w:lineRule="auto"/>
              <w:ind w:left="112" w:firstLine="0"/>
              <w:jc w:val="left"/>
            </w:pPr>
            <w:r>
              <w:rPr>
                <w:rFonts w:ascii="Calibri" w:eastAsia="Calibri" w:hAnsi="Calibri" w:cs="Calibri"/>
                <w:b/>
                <w:sz w:val="15"/>
              </w:rPr>
              <w:t>VOLUMEN</w:t>
            </w:r>
          </w:p>
        </w:tc>
        <w:tc>
          <w:tcPr>
            <w:tcW w:w="944" w:type="dxa"/>
            <w:tcBorders>
              <w:top w:val="single" w:sz="10" w:space="0" w:color="000000"/>
              <w:left w:val="single" w:sz="5" w:space="0" w:color="000000"/>
              <w:bottom w:val="nil"/>
              <w:right w:val="single" w:sz="5"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c>
          <w:tcPr>
            <w:tcW w:w="938" w:type="dxa"/>
            <w:tcBorders>
              <w:top w:val="single" w:sz="10" w:space="0" w:color="000000"/>
              <w:left w:val="single" w:sz="5" w:space="0" w:color="000000"/>
              <w:bottom w:val="nil"/>
              <w:right w:val="single" w:sz="9"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c>
          <w:tcPr>
            <w:tcW w:w="950" w:type="dxa"/>
            <w:tcBorders>
              <w:top w:val="single" w:sz="10" w:space="0" w:color="000000"/>
              <w:left w:val="single" w:sz="9" w:space="0" w:color="000000"/>
              <w:bottom w:val="nil"/>
              <w:right w:val="single" w:sz="5" w:space="0" w:color="000000"/>
            </w:tcBorders>
          </w:tcPr>
          <w:p w:rsidR="007617AD" w:rsidRDefault="00EE75C8">
            <w:pPr>
              <w:spacing w:after="0" w:line="259" w:lineRule="auto"/>
              <w:ind w:left="112" w:firstLine="0"/>
              <w:jc w:val="left"/>
            </w:pPr>
            <w:r>
              <w:rPr>
                <w:rFonts w:ascii="Calibri" w:eastAsia="Calibri" w:hAnsi="Calibri" w:cs="Calibri"/>
                <w:b/>
                <w:sz w:val="15"/>
              </w:rPr>
              <w:t>VOLUMEN</w:t>
            </w:r>
          </w:p>
        </w:tc>
        <w:tc>
          <w:tcPr>
            <w:tcW w:w="944" w:type="dxa"/>
            <w:tcBorders>
              <w:top w:val="single" w:sz="10" w:space="0" w:color="000000"/>
              <w:left w:val="single" w:sz="5" w:space="0" w:color="000000"/>
              <w:bottom w:val="nil"/>
              <w:right w:val="single" w:sz="5"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c>
          <w:tcPr>
            <w:tcW w:w="938" w:type="dxa"/>
            <w:tcBorders>
              <w:top w:val="single" w:sz="10" w:space="0" w:color="000000"/>
              <w:left w:val="single" w:sz="5" w:space="0" w:color="000000"/>
              <w:bottom w:val="nil"/>
              <w:right w:val="single" w:sz="9"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r>
      <w:tr w:rsidR="007617AD">
        <w:trPr>
          <w:trHeight w:val="219"/>
        </w:trPr>
        <w:tc>
          <w:tcPr>
            <w:tcW w:w="2826" w:type="dxa"/>
            <w:tcBorders>
              <w:top w:val="nil"/>
              <w:left w:val="nil"/>
              <w:bottom w:val="single" w:sz="9" w:space="0" w:color="000000"/>
              <w:right w:val="single" w:sz="9" w:space="0" w:color="000000"/>
            </w:tcBorders>
          </w:tcPr>
          <w:p w:rsidR="007617AD" w:rsidRDefault="007617AD">
            <w:pPr>
              <w:spacing w:after="160" w:line="259" w:lineRule="auto"/>
              <w:ind w:left="0" w:firstLine="0"/>
              <w:jc w:val="left"/>
            </w:pPr>
          </w:p>
        </w:tc>
        <w:tc>
          <w:tcPr>
            <w:tcW w:w="950" w:type="dxa"/>
            <w:tcBorders>
              <w:top w:val="nil"/>
              <w:left w:val="single" w:sz="9" w:space="0" w:color="000000"/>
              <w:bottom w:val="single" w:sz="9" w:space="0" w:color="000000"/>
              <w:right w:val="single" w:sz="5" w:space="0" w:color="000000"/>
            </w:tcBorders>
          </w:tcPr>
          <w:p w:rsidR="007617AD" w:rsidRDefault="00EE75C8">
            <w:pPr>
              <w:spacing w:after="0" w:line="259" w:lineRule="auto"/>
              <w:ind w:left="99" w:firstLine="0"/>
              <w:jc w:val="center"/>
            </w:pPr>
            <w:r>
              <w:rPr>
                <w:rFonts w:ascii="Calibri" w:eastAsia="Calibri" w:hAnsi="Calibri" w:cs="Calibri"/>
                <w:b/>
                <w:sz w:val="15"/>
              </w:rPr>
              <w:t>m3</w:t>
            </w:r>
          </w:p>
        </w:tc>
        <w:tc>
          <w:tcPr>
            <w:tcW w:w="944" w:type="dxa"/>
            <w:tcBorders>
              <w:top w:val="nil"/>
              <w:left w:val="single" w:sz="5" w:space="0" w:color="000000"/>
              <w:bottom w:val="single" w:sz="9" w:space="0" w:color="000000"/>
              <w:right w:val="single" w:sz="5" w:space="0" w:color="000000"/>
            </w:tcBorders>
          </w:tcPr>
          <w:p w:rsidR="007617AD" w:rsidRDefault="00EE75C8">
            <w:pPr>
              <w:spacing w:after="0" w:line="259" w:lineRule="auto"/>
              <w:ind w:left="85" w:firstLine="0"/>
              <w:jc w:val="center"/>
            </w:pPr>
            <w:r>
              <w:rPr>
                <w:rFonts w:ascii="Calibri" w:eastAsia="Calibri" w:hAnsi="Calibri" w:cs="Calibri"/>
                <w:b/>
                <w:sz w:val="15"/>
              </w:rPr>
              <w:t>m3/d</w:t>
            </w:r>
          </w:p>
        </w:tc>
        <w:tc>
          <w:tcPr>
            <w:tcW w:w="938" w:type="dxa"/>
            <w:tcBorders>
              <w:top w:val="nil"/>
              <w:left w:val="single" w:sz="5" w:space="0" w:color="000000"/>
              <w:bottom w:val="single" w:sz="9" w:space="0" w:color="000000"/>
              <w:right w:val="single" w:sz="9" w:space="0" w:color="000000"/>
            </w:tcBorders>
          </w:tcPr>
          <w:p w:rsidR="007617AD" w:rsidRDefault="00EE75C8">
            <w:pPr>
              <w:spacing w:after="0" w:line="259" w:lineRule="auto"/>
              <w:ind w:left="98" w:firstLine="0"/>
              <w:jc w:val="center"/>
            </w:pPr>
            <w:r>
              <w:rPr>
                <w:rFonts w:ascii="Calibri" w:eastAsia="Calibri" w:hAnsi="Calibri" w:cs="Calibri"/>
                <w:b/>
                <w:sz w:val="15"/>
              </w:rPr>
              <w:t>%</w:t>
            </w:r>
          </w:p>
        </w:tc>
        <w:tc>
          <w:tcPr>
            <w:tcW w:w="950" w:type="dxa"/>
            <w:tcBorders>
              <w:top w:val="nil"/>
              <w:left w:val="single" w:sz="9" w:space="0" w:color="000000"/>
              <w:bottom w:val="single" w:sz="9" w:space="0" w:color="000000"/>
              <w:right w:val="single" w:sz="5" w:space="0" w:color="000000"/>
            </w:tcBorders>
          </w:tcPr>
          <w:p w:rsidR="007617AD" w:rsidRDefault="00EE75C8">
            <w:pPr>
              <w:spacing w:after="0" w:line="259" w:lineRule="auto"/>
              <w:ind w:left="99" w:firstLine="0"/>
              <w:jc w:val="center"/>
            </w:pPr>
            <w:r>
              <w:rPr>
                <w:rFonts w:ascii="Calibri" w:eastAsia="Calibri" w:hAnsi="Calibri" w:cs="Calibri"/>
                <w:b/>
                <w:sz w:val="15"/>
              </w:rPr>
              <w:t>m3</w:t>
            </w:r>
          </w:p>
        </w:tc>
        <w:tc>
          <w:tcPr>
            <w:tcW w:w="944" w:type="dxa"/>
            <w:tcBorders>
              <w:top w:val="nil"/>
              <w:left w:val="single" w:sz="5" w:space="0" w:color="000000"/>
              <w:bottom w:val="single" w:sz="9" w:space="0" w:color="000000"/>
              <w:right w:val="single" w:sz="5" w:space="0" w:color="000000"/>
            </w:tcBorders>
          </w:tcPr>
          <w:p w:rsidR="007617AD" w:rsidRDefault="00EE75C8">
            <w:pPr>
              <w:spacing w:after="0" w:line="259" w:lineRule="auto"/>
              <w:ind w:left="85" w:firstLine="0"/>
              <w:jc w:val="center"/>
            </w:pPr>
            <w:r>
              <w:rPr>
                <w:rFonts w:ascii="Calibri" w:eastAsia="Calibri" w:hAnsi="Calibri" w:cs="Calibri"/>
                <w:b/>
                <w:sz w:val="15"/>
              </w:rPr>
              <w:t>m3/d</w:t>
            </w:r>
          </w:p>
        </w:tc>
        <w:tc>
          <w:tcPr>
            <w:tcW w:w="938" w:type="dxa"/>
            <w:tcBorders>
              <w:top w:val="nil"/>
              <w:left w:val="single" w:sz="5" w:space="0" w:color="000000"/>
              <w:bottom w:val="single" w:sz="9" w:space="0" w:color="000000"/>
              <w:right w:val="single" w:sz="9" w:space="0" w:color="000000"/>
            </w:tcBorders>
          </w:tcPr>
          <w:p w:rsidR="007617AD" w:rsidRDefault="00EE75C8">
            <w:pPr>
              <w:spacing w:after="0" w:line="259" w:lineRule="auto"/>
              <w:ind w:left="98" w:firstLine="0"/>
              <w:jc w:val="center"/>
            </w:pPr>
            <w:r>
              <w:rPr>
                <w:rFonts w:ascii="Calibri" w:eastAsia="Calibri" w:hAnsi="Calibri" w:cs="Calibri"/>
                <w:b/>
                <w:sz w:val="15"/>
              </w:rPr>
              <w:t>%</w:t>
            </w:r>
          </w:p>
        </w:tc>
      </w:tr>
      <w:tr w:rsidR="007617AD">
        <w:trPr>
          <w:trHeight w:val="241"/>
        </w:trPr>
        <w:tc>
          <w:tcPr>
            <w:tcW w:w="2826" w:type="dxa"/>
            <w:tcBorders>
              <w:top w:val="single" w:sz="9" w:space="0" w:color="000000"/>
              <w:left w:val="single" w:sz="5" w:space="0" w:color="000000"/>
              <w:bottom w:val="single" w:sz="5"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sz w:val="15"/>
              </w:rPr>
              <w:t>T.M. DE CANDELARIA</w:t>
            </w:r>
          </w:p>
        </w:tc>
        <w:tc>
          <w:tcPr>
            <w:tcW w:w="950" w:type="dxa"/>
            <w:tcBorders>
              <w:top w:val="single" w:sz="9" w:space="0" w:color="000000"/>
              <w:left w:val="single" w:sz="9" w:space="0" w:color="000000"/>
              <w:bottom w:val="single" w:sz="5" w:space="0" w:color="000000"/>
              <w:right w:val="single" w:sz="5" w:space="0" w:color="000000"/>
            </w:tcBorders>
          </w:tcPr>
          <w:p w:rsidR="007617AD" w:rsidRDefault="00EE75C8">
            <w:pPr>
              <w:spacing w:after="0" w:line="259" w:lineRule="auto"/>
              <w:ind w:left="109" w:firstLine="0"/>
              <w:jc w:val="center"/>
            </w:pPr>
            <w:r>
              <w:rPr>
                <w:rFonts w:ascii="Calibri" w:eastAsia="Calibri" w:hAnsi="Calibri" w:cs="Calibri"/>
                <w:sz w:val="15"/>
              </w:rPr>
              <w:t>1.330.858</w:t>
            </w:r>
          </w:p>
        </w:tc>
        <w:tc>
          <w:tcPr>
            <w:tcW w:w="944" w:type="dxa"/>
            <w:tcBorders>
              <w:top w:val="single" w:sz="9" w:space="0" w:color="000000"/>
              <w:left w:val="single" w:sz="5" w:space="0" w:color="000000"/>
              <w:bottom w:val="single" w:sz="5"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sz w:val="15"/>
              </w:rPr>
              <w:t>3.646</w:t>
            </w:r>
          </w:p>
        </w:tc>
        <w:tc>
          <w:tcPr>
            <w:tcW w:w="938" w:type="dxa"/>
            <w:tcBorders>
              <w:top w:val="single" w:sz="9"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52,09%</w:t>
            </w:r>
          </w:p>
        </w:tc>
        <w:tc>
          <w:tcPr>
            <w:tcW w:w="950" w:type="dxa"/>
            <w:tcBorders>
              <w:top w:val="single" w:sz="9" w:space="0" w:color="000000"/>
              <w:left w:val="single" w:sz="9" w:space="0" w:color="000000"/>
              <w:bottom w:val="single" w:sz="5"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235.724</w:t>
            </w:r>
          </w:p>
        </w:tc>
        <w:tc>
          <w:tcPr>
            <w:tcW w:w="944" w:type="dxa"/>
            <w:tcBorders>
              <w:top w:val="single" w:sz="9" w:space="0" w:color="000000"/>
              <w:left w:val="single" w:sz="5" w:space="0" w:color="000000"/>
              <w:bottom w:val="single" w:sz="5"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646</w:t>
            </w:r>
          </w:p>
        </w:tc>
        <w:tc>
          <w:tcPr>
            <w:tcW w:w="938" w:type="dxa"/>
            <w:tcBorders>
              <w:top w:val="single" w:sz="9"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56,65%</w:t>
            </w:r>
          </w:p>
        </w:tc>
      </w:tr>
      <w:tr w:rsidR="007617AD">
        <w:trPr>
          <w:trHeight w:val="236"/>
        </w:trPr>
        <w:tc>
          <w:tcPr>
            <w:tcW w:w="2826" w:type="dxa"/>
            <w:tcBorders>
              <w:top w:val="single" w:sz="5" w:space="0" w:color="000000"/>
              <w:left w:val="single" w:sz="5" w:space="0" w:color="000000"/>
              <w:bottom w:val="single" w:sz="5"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sz w:val="15"/>
              </w:rPr>
              <w:t>T.M. DE ARAFO</w:t>
            </w:r>
          </w:p>
        </w:tc>
        <w:tc>
          <w:tcPr>
            <w:tcW w:w="950" w:type="dxa"/>
            <w:tcBorders>
              <w:top w:val="single" w:sz="5" w:space="0" w:color="000000"/>
              <w:left w:val="single" w:sz="9" w:space="0" w:color="000000"/>
              <w:bottom w:val="single" w:sz="5"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263.984</w:t>
            </w:r>
          </w:p>
        </w:tc>
        <w:tc>
          <w:tcPr>
            <w:tcW w:w="944" w:type="dxa"/>
            <w:tcBorders>
              <w:top w:val="single" w:sz="5" w:space="0" w:color="000000"/>
              <w:left w:val="single" w:sz="5" w:space="0" w:color="000000"/>
              <w:bottom w:val="single" w:sz="5"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723</w:t>
            </w:r>
          </w:p>
        </w:tc>
        <w:tc>
          <w:tcPr>
            <w:tcW w:w="938" w:type="dxa"/>
            <w:tcBorders>
              <w:top w:val="single" w:sz="5"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10,33%</w:t>
            </w:r>
          </w:p>
        </w:tc>
        <w:tc>
          <w:tcPr>
            <w:tcW w:w="950" w:type="dxa"/>
            <w:tcBorders>
              <w:top w:val="single" w:sz="5" w:space="0" w:color="000000"/>
              <w:left w:val="single" w:sz="9" w:space="0" w:color="000000"/>
              <w:bottom w:val="single" w:sz="5"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100.625</w:t>
            </w:r>
          </w:p>
        </w:tc>
        <w:tc>
          <w:tcPr>
            <w:tcW w:w="944" w:type="dxa"/>
            <w:tcBorders>
              <w:top w:val="single" w:sz="5" w:space="0" w:color="000000"/>
              <w:left w:val="single" w:sz="5" w:space="0" w:color="000000"/>
              <w:bottom w:val="single" w:sz="5"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276</w:t>
            </w:r>
          </w:p>
        </w:tc>
        <w:tc>
          <w:tcPr>
            <w:tcW w:w="938" w:type="dxa"/>
            <w:tcBorders>
              <w:top w:val="single" w:sz="5"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24,18%</w:t>
            </w:r>
          </w:p>
        </w:tc>
      </w:tr>
      <w:tr w:rsidR="007617AD">
        <w:trPr>
          <w:trHeight w:val="241"/>
        </w:trPr>
        <w:tc>
          <w:tcPr>
            <w:tcW w:w="2826" w:type="dxa"/>
            <w:tcBorders>
              <w:top w:val="single" w:sz="5" w:space="0" w:color="000000"/>
              <w:left w:val="single" w:sz="5" w:space="0" w:color="000000"/>
              <w:bottom w:val="single" w:sz="9"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sz w:val="15"/>
              </w:rPr>
              <w:t>T.M. DE GÜÍMAR</w:t>
            </w:r>
          </w:p>
        </w:tc>
        <w:tc>
          <w:tcPr>
            <w:tcW w:w="950" w:type="dxa"/>
            <w:tcBorders>
              <w:top w:val="single" w:sz="5" w:space="0" w:color="000000"/>
              <w:left w:val="single" w:sz="9" w:space="0" w:color="000000"/>
              <w:bottom w:val="single" w:sz="9"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960.158</w:t>
            </w:r>
          </w:p>
        </w:tc>
        <w:tc>
          <w:tcPr>
            <w:tcW w:w="944" w:type="dxa"/>
            <w:tcBorders>
              <w:top w:val="single" w:sz="5" w:space="0" w:color="000000"/>
              <w:left w:val="single" w:sz="5" w:space="0" w:color="000000"/>
              <w:bottom w:val="single" w:sz="9"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sz w:val="15"/>
              </w:rPr>
              <w:t>2.631</w:t>
            </w:r>
          </w:p>
        </w:tc>
        <w:tc>
          <w:tcPr>
            <w:tcW w:w="938" w:type="dxa"/>
            <w:tcBorders>
              <w:top w:val="single" w:sz="5" w:space="0" w:color="000000"/>
              <w:left w:val="single" w:sz="5" w:space="0" w:color="000000"/>
              <w:bottom w:val="single" w:sz="9"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37,58%</w:t>
            </w:r>
          </w:p>
        </w:tc>
        <w:tc>
          <w:tcPr>
            <w:tcW w:w="950" w:type="dxa"/>
            <w:tcBorders>
              <w:top w:val="single" w:sz="5" w:space="0" w:color="000000"/>
              <w:left w:val="single" w:sz="9" w:space="0" w:color="000000"/>
              <w:bottom w:val="single" w:sz="9" w:space="0" w:color="000000"/>
              <w:right w:val="single" w:sz="5" w:space="0" w:color="000000"/>
            </w:tcBorders>
          </w:tcPr>
          <w:p w:rsidR="007617AD" w:rsidRDefault="00EE75C8">
            <w:pPr>
              <w:spacing w:after="0" w:line="259" w:lineRule="auto"/>
              <w:ind w:left="336" w:firstLine="0"/>
              <w:jc w:val="left"/>
            </w:pPr>
            <w:r>
              <w:rPr>
                <w:rFonts w:ascii="Calibri" w:eastAsia="Calibri" w:hAnsi="Calibri" w:cs="Calibri"/>
                <w:sz w:val="15"/>
              </w:rPr>
              <w:t>79.751</w:t>
            </w:r>
          </w:p>
        </w:tc>
        <w:tc>
          <w:tcPr>
            <w:tcW w:w="944" w:type="dxa"/>
            <w:tcBorders>
              <w:top w:val="single" w:sz="5" w:space="0" w:color="000000"/>
              <w:left w:val="single" w:sz="5" w:space="0" w:color="000000"/>
              <w:bottom w:val="single" w:sz="9"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218</w:t>
            </w:r>
          </w:p>
        </w:tc>
        <w:tc>
          <w:tcPr>
            <w:tcW w:w="938" w:type="dxa"/>
            <w:tcBorders>
              <w:top w:val="single" w:sz="5" w:space="0" w:color="000000"/>
              <w:left w:val="single" w:sz="5" w:space="0" w:color="000000"/>
              <w:bottom w:val="single" w:sz="9"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19,17%</w:t>
            </w:r>
          </w:p>
        </w:tc>
      </w:tr>
      <w:tr w:rsidR="007617AD">
        <w:trPr>
          <w:trHeight w:val="247"/>
        </w:trPr>
        <w:tc>
          <w:tcPr>
            <w:tcW w:w="2826" w:type="dxa"/>
            <w:tcBorders>
              <w:top w:val="single" w:sz="9" w:space="0" w:color="000000"/>
              <w:left w:val="single" w:sz="5" w:space="0" w:color="000000"/>
              <w:bottom w:val="single" w:sz="9"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b/>
                <w:sz w:val="15"/>
              </w:rPr>
              <w:t>TOTAL Sistema Comarcal</w:t>
            </w:r>
          </w:p>
        </w:tc>
        <w:tc>
          <w:tcPr>
            <w:tcW w:w="950" w:type="dxa"/>
            <w:tcBorders>
              <w:top w:val="single" w:sz="9" w:space="0" w:color="000000"/>
              <w:left w:val="single" w:sz="9" w:space="0" w:color="000000"/>
              <w:bottom w:val="single" w:sz="9" w:space="0" w:color="000000"/>
              <w:right w:val="single" w:sz="5" w:space="0" w:color="000000"/>
            </w:tcBorders>
          </w:tcPr>
          <w:p w:rsidR="007617AD" w:rsidRDefault="00EE75C8">
            <w:pPr>
              <w:spacing w:after="0" w:line="259" w:lineRule="auto"/>
              <w:ind w:left="109" w:firstLine="0"/>
              <w:jc w:val="center"/>
            </w:pPr>
            <w:r>
              <w:rPr>
                <w:rFonts w:ascii="Calibri" w:eastAsia="Calibri" w:hAnsi="Calibri" w:cs="Calibri"/>
                <w:b/>
                <w:sz w:val="15"/>
              </w:rPr>
              <w:t>2.555.000</w:t>
            </w:r>
          </w:p>
        </w:tc>
        <w:tc>
          <w:tcPr>
            <w:tcW w:w="944" w:type="dxa"/>
            <w:tcBorders>
              <w:top w:val="single" w:sz="9" w:space="0" w:color="000000"/>
              <w:left w:val="single" w:sz="5" w:space="0" w:color="000000"/>
              <w:bottom w:val="single" w:sz="9"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b/>
                <w:sz w:val="15"/>
              </w:rPr>
              <w:t>7.000</w:t>
            </w:r>
          </w:p>
        </w:tc>
        <w:tc>
          <w:tcPr>
            <w:tcW w:w="938" w:type="dxa"/>
            <w:tcBorders>
              <w:top w:val="single" w:sz="9" w:space="0" w:color="000000"/>
              <w:left w:val="single" w:sz="5" w:space="0" w:color="000000"/>
              <w:bottom w:val="single" w:sz="9" w:space="0" w:color="000000"/>
              <w:right w:val="single" w:sz="9" w:space="0" w:color="000000"/>
            </w:tcBorders>
          </w:tcPr>
          <w:p w:rsidR="007617AD" w:rsidRDefault="00EE75C8">
            <w:pPr>
              <w:spacing w:after="0" w:line="259" w:lineRule="auto"/>
              <w:ind w:left="96" w:firstLine="0"/>
              <w:jc w:val="center"/>
            </w:pPr>
            <w:r>
              <w:rPr>
                <w:rFonts w:ascii="Calibri" w:eastAsia="Calibri" w:hAnsi="Calibri" w:cs="Calibri"/>
                <w:b/>
                <w:sz w:val="15"/>
              </w:rPr>
              <w:t>100,00%</w:t>
            </w:r>
          </w:p>
        </w:tc>
        <w:tc>
          <w:tcPr>
            <w:tcW w:w="950" w:type="dxa"/>
            <w:tcBorders>
              <w:top w:val="single" w:sz="9" w:space="0" w:color="000000"/>
              <w:left w:val="single" w:sz="9" w:space="0" w:color="000000"/>
              <w:bottom w:val="single" w:sz="9"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b/>
                <w:sz w:val="15"/>
              </w:rPr>
              <w:t>416.100</w:t>
            </w:r>
          </w:p>
        </w:tc>
        <w:tc>
          <w:tcPr>
            <w:tcW w:w="944" w:type="dxa"/>
            <w:tcBorders>
              <w:top w:val="single" w:sz="9" w:space="0" w:color="000000"/>
              <w:left w:val="single" w:sz="5" w:space="0" w:color="000000"/>
              <w:bottom w:val="single" w:sz="9"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b/>
                <w:sz w:val="15"/>
              </w:rPr>
              <w:t>1.140</w:t>
            </w:r>
          </w:p>
        </w:tc>
        <w:tc>
          <w:tcPr>
            <w:tcW w:w="938" w:type="dxa"/>
            <w:tcBorders>
              <w:top w:val="single" w:sz="9" w:space="0" w:color="000000"/>
              <w:left w:val="single" w:sz="5" w:space="0" w:color="000000"/>
              <w:bottom w:val="single" w:sz="9" w:space="0" w:color="000000"/>
              <w:right w:val="single" w:sz="9" w:space="0" w:color="000000"/>
            </w:tcBorders>
          </w:tcPr>
          <w:p w:rsidR="007617AD" w:rsidRDefault="00EE75C8">
            <w:pPr>
              <w:spacing w:after="0" w:line="259" w:lineRule="auto"/>
              <w:ind w:left="96" w:firstLine="0"/>
              <w:jc w:val="center"/>
            </w:pPr>
            <w:r>
              <w:rPr>
                <w:rFonts w:ascii="Calibri" w:eastAsia="Calibri" w:hAnsi="Calibri" w:cs="Calibri"/>
                <w:b/>
                <w:sz w:val="15"/>
              </w:rPr>
              <w:t>100,00%</w:t>
            </w:r>
          </w:p>
        </w:tc>
      </w:tr>
    </w:tbl>
    <w:p w:rsidR="007617AD" w:rsidRDefault="00EE75C8">
      <w:pPr>
        <w:spacing w:after="90" w:line="259" w:lineRule="auto"/>
        <w:ind w:left="708" w:firstLine="0"/>
        <w:jc w:val="left"/>
      </w:pPr>
      <w:r>
        <w:rPr>
          <w:rFonts w:ascii="Times New Roman" w:eastAsia="Times New Roman" w:hAnsi="Times New Roman" w:cs="Times New Roman"/>
          <w:b/>
          <w:sz w:val="24"/>
        </w:rPr>
        <w:t xml:space="preserve"> </w:t>
      </w:r>
    </w:p>
    <w:p w:rsidR="007617AD" w:rsidRDefault="00EE75C8">
      <w:pPr>
        <w:spacing w:after="93"/>
        <w:ind w:left="703" w:right="58"/>
      </w:pPr>
      <w:r>
        <w:rPr>
          <w:b/>
        </w:rPr>
        <w:t>SÉPTIMO. - COSTES DEL SERVICIO A COLMATACIÓN.</w:t>
      </w:r>
      <w:r>
        <w:rPr>
          <w:rFonts w:ascii="Times New Roman" w:eastAsia="Times New Roman" w:hAnsi="Times New Roman" w:cs="Times New Roman"/>
          <w:sz w:val="24"/>
        </w:rPr>
        <w:t xml:space="preserve"> </w:t>
      </w:r>
    </w:p>
    <w:p w:rsidR="007617AD" w:rsidRDefault="00EE75C8">
      <w:pPr>
        <w:ind w:left="703" w:right="62"/>
      </w:pPr>
      <w:r>
        <w:t xml:space="preserve">La normativa del PHDHT establece en su artículo 301 relativo a los Criterios Económico Financieros para la gestión del saneamiento, lo siguiente: </w:t>
      </w:r>
    </w:p>
    <w:p w:rsidR="007617AD" w:rsidRDefault="00EE75C8">
      <w:pPr>
        <w:numPr>
          <w:ilvl w:val="0"/>
          <w:numId w:val="34"/>
        </w:numPr>
        <w:spacing w:after="110" w:line="248" w:lineRule="auto"/>
        <w:ind w:right="59"/>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91418" name="Group 29141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7955" name="Rectangle 1795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7956" name="Rectangle 17956"/>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w:t>
                              </w:r>
                              <w:r>
                                <w:rPr>
                                  <w:sz w:val="12"/>
                                </w:rPr>
                                <w:t xml:space="preserve">nto firmado electrónicamente desde la plataforma esPublico Gestiona | Página 85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91418" style="width:12.7031pt;height:280.02pt;position:absolute;mso-position-horizontal-relative:page;mso-position-horizontal:absolute;margin-left:682.278pt;mso-position-vertical-relative:page;margin-top:531.9pt;" coordsize="1613,35562">
                <v:rect id="Rectangle 1795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7956"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192 </w:t>
                        </w:r>
                      </w:p>
                    </w:txbxContent>
                  </v:textbox>
                </v:rect>
                <w10:wrap type="square"/>
              </v:group>
            </w:pict>
          </mc:Fallback>
        </mc:AlternateContent>
      </w:r>
      <w:r>
        <w:rPr>
          <w:i/>
        </w:rPr>
        <w:t>De conformidad con lo preconizado por la Directiva Marco del Agua, las Ordenanzas que regulen los aspectos económicos - financieros del servicio de saneamiento, deberán</w:t>
      </w:r>
      <w:r>
        <w:rPr>
          <w:i/>
        </w:rPr>
        <w:t xml:space="preserve"> tender paulatinamente a la plena recuperación de sus costes. </w:t>
      </w:r>
    </w:p>
    <w:p w:rsidR="007617AD" w:rsidRDefault="00EE75C8">
      <w:pPr>
        <w:numPr>
          <w:ilvl w:val="0"/>
          <w:numId w:val="34"/>
        </w:numPr>
        <w:spacing w:after="110" w:line="248" w:lineRule="auto"/>
        <w:ind w:right="59"/>
      </w:pPr>
      <w:r>
        <w:rPr>
          <w:i/>
        </w:rPr>
        <w:t>La tarifa por el servicio de alcantarillado estará ligada al consumo de agua, contabilizado a través de los contadores. El recibo hará constar de modo independiente la repercusión de este servi</w:t>
      </w:r>
      <w:r>
        <w:rPr>
          <w:i/>
        </w:rPr>
        <w:t xml:space="preserve">cio. </w:t>
      </w:r>
    </w:p>
    <w:p w:rsidR="007617AD" w:rsidRDefault="00EE75C8">
      <w:pPr>
        <w:numPr>
          <w:ilvl w:val="0"/>
          <w:numId w:val="34"/>
        </w:numPr>
        <w:spacing w:after="110" w:line="248" w:lineRule="auto"/>
        <w:ind w:right="59"/>
      </w:pPr>
      <w:r>
        <w:rPr>
          <w:i/>
        </w:rPr>
        <w:t xml:space="preserve">A efectos de simplificación, se privilegiará la combinación del recibo por alcantarillado con la del abastecimiento. El recibo será único, cubriendo ambos servicios. </w:t>
      </w:r>
    </w:p>
    <w:p w:rsidR="007617AD" w:rsidRDefault="00EE75C8">
      <w:pPr>
        <w:spacing w:after="100" w:line="259" w:lineRule="auto"/>
        <w:ind w:left="708" w:firstLine="0"/>
        <w:jc w:val="left"/>
      </w:pPr>
      <w:r>
        <w:rPr>
          <w:i/>
        </w:rPr>
        <w:t xml:space="preserve"> </w:t>
      </w:r>
    </w:p>
    <w:p w:rsidR="007617AD" w:rsidRDefault="00EE75C8">
      <w:pPr>
        <w:ind w:left="703" w:right="62"/>
      </w:pPr>
      <w:r>
        <w:t xml:space="preserve">La estimación de los costes del servicio de depuración y vertido son los propios </w:t>
      </w:r>
      <w:r>
        <w:t xml:space="preserve">de operación y mantenimiento de cada una de las instalaciones </w:t>
      </w:r>
      <w:r>
        <w:rPr>
          <w:color w:val="00B050"/>
        </w:rPr>
        <w:t xml:space="preserve">en fase de colmatación </w:t>
      </w:r>
      <w:r>
        <w:t>y se presenta en las siguientes tablas clasificados por coste fijo y variable.</w:t>
      </w:r>
      <w:r>
        <w:rPr>
          <w:rFonts w:ascii="Times New Roman" w:eastAsia="Times New Roman" w:hAnsi="Times New Roman" w:cs="Times New Roman"/>
          <w:sz w:val="24"/>
        </w:rPr>
        <w:t xml:space="preserve"> </w:t>
      </w:r>
    </w:p>
    <w:p w:rsidR="007617AD" w:rsidRDefault="00EE75C8">
      <w:pPr>
        <w:spacing w:after="98" w:line="259" w:lineRule="auto"/>
        <w:ind w:left="708" w:firstLine="0"/>
        <w:jc w:val="left"/>
      </w:pPr>
      <w:r>
        <w:t xml:space="preserve"> </w:t>
      </w:r>
    </w:p>
    <w:p w:rsidR="007617AD" w:rsidRDefault="00EE75C8">
      <w:pPr>
        <w:spacing w:after="101" w:line="259" w:lineRule="auto"/>
        <w:ind w:left="708" w:firstLine="0"/>
        <w:jc w:val="left"/>
      </w:pPr>
      <w:r>
        <w:t xml:space="preserve"> </w:t>
      </w:r>
    </w:p>
    <w:p w:rsidR="007617AD" w:rsidRDefault="00EE75C8">
      <w:pPr>
        <w:spacing w:after="111" w:line="249" w:lineRule="auto"/>
        <w:ind w:left="1078"/>
        <w:jc w:val="left"/>
      </w:pPr>
      <w:r>
        <w:t xml:space="preserve">1. </w:t>
      </w:r>
      <w:r>
        <w:rPr>
          <w:u w:val="single" w:color="000000"/>
        </w:rPr>
        <w:t>Servicio de depuración de aguas residuales urbanas</w:t>
      </w:r>
      <w:r>
        <w:t xml:space="preserve"> </w:t>
      </w:r>
    </w:p>
    <w:p w:rsidR="007617AD" w:rsidRDefault="00EE75C8">
      <w:pPr>
        <w:pStyle w:val="Ttulo2"/>
        <w:tabs>
          <w:tab w:val="center" w:pos="5661"/>
          <w:tab w:val="center" w:pos="9704"/>
        </w:tabs>
        <w:spacing w:after="314"/>
        <w:ind w:left="0" w:firstLine="0"/>
      </w:pPr>
      <w:r>
        <w:rPr>
          <w:b w:val="0"/>
          <w:sz w:val="22"/>
          <w:u w:val="none"/>
        </w:rPr>
        <w:tab/>
      </w:r>
      <w:r>
        <w:t>Servicio DEPURACIÓN Aguas Residuales Urbanas</w:t>
      </w:r>
      <w:r>
        <w:tab/>
      </w:r>
      <w:r>
        <w:rPr>
          <w:noProof/>
          <w:sz w:val="22"/>
        </w:rPr>
        <mc:AlternateContent>
          <mc:Choice Requires="wpg">
            <w:drawing>
              <wp:inline distT="0" distB="0" distL="0" distR="0">
                <wp:extent cx="7996" cy="103653"/>
                <wp:effectExtent l="0" t="0" r="0" b="0"/>
                <wp:docPr id="299566" name="Group 299566"/>
                <wp:cNvGraphicFramePr/>
                <a:graphic xmlns:a="http://schemas.openxmlformats.org/drawingml/2006/main">
                  <a:graphicData uri="http://schemas.microsoft.com/office/word/2010/wordprocessingGroup">
                    <wpg:wgp>
                      <wpg:cNvGrpSpPr/>
                      <wpg:grpSpPr>
                        <a:xfrm>
                          <a:off x="0" y="0"/>
                          <a:ext cx="7996" cy="103653"/>
                          <a:chOff x="0" y="0"/>
                          <a:chExt cx="7996" cy="103653"/>
                        </a:xfrm>
                      </wpg:grpSpPr>
                      <pic:pic xmlns:pic="http://schemas.openxmlformats.org/drawingml/2006/picture">
                        <pic:nvPicPr>
                          <pic:cNvPr id="18120" name="Picture 18120"/>
                          <pic:cNvPicPr/>
                        </pic:nvPicPr>
                        <pic:blipFill>
                          <a:blip r:embed="rId12"/>
                          <a:stretch>
                            <a:fillRect/>
                          </a:stretch>
                        </pic:blipFill>
                        <pic:spPr>
                          <a:xfrm>
                            <a:off x="0" y="0"/>
                            <a:ext cx="7996" cy="103653"/>
                          </a:xfrm>
                          <a:prstGeom prst="rect">
                            <a:avLst/>
                          </a:prstGeom>
                        </pic:spPr>
                      </pic:pic>
                      <pic:pic xmlns:pic="http://schemas.openxmlformats.org/drawingml/2006/picture">
                        <pic:nvPicPr>
                          <pic:cNvPr id="18122" name="Picture 18122"/>
                          <pic:cNvPicPr/>
                        </pic:nvPicPr>
                        <pic:blipFill>
                          <a:blip r:embed="rId12"/>
                          <a:stretch>
                            <a:fillRect/>
                          </a:stretch>
                        </pic:blipFill>
                        <pic:spPr>
                          <a:xfrm>
                            <a:off x="0" y="0"/>
                            <a:ext cx="7996" cy="103653"/>
                          </a:xfrm>
                          <a:prstGeom prst="rect">
                            <a:avLst/>
                          </a:prstGeom>
                        </pic:spPr>
                      </pic:pic>
                    </wpg:wgp>
                  </a:graphicData>
                </a:graphic>
              </wp:inline>
            </w:drawing>
          </mc:Choice>
          <mc:Fallback xmlns:a="http://schemas.openxmlformats.org/drawingml/2006/main">
            <w:pict>
              <v:group id="Group 299566" style="width:0.629578pt;height:8.16164pt;mso-position-horizontal-relative:char;mso-position-vertical-relative:line" coordsize="79,1036">
                <v:shape id="Picture 18120" style="position:absolute;width:79;height:1036;left:0;top:0;" filled="f">
                  <v:imagedata r:id="rId13"/>
                </v:shape>
                <v:shape id="Picture 18122" style="position:absolute;width:79;height:1036;left:0;top:0;" filled="f">
                  <v:imagedata r:id="rId13"/>
                </v:shape>
              </v:group>
            </w:pict>
          </mc:Fallback>
        </mc:AlternateContent>
      </w:r>
    </w:p>
    <w:p w:rsidR="007617AD" w:rsidRDefault="00EE75C8">
      <w:pPr>
        <w:pStyle w:val="Ttulo3"/>
        <w:tabs>
          <w:tab w:val="center" w:pos="2579"/>
          <w:tab w:val="center" w:pos="5164"/>
          <w:tab w:val="center" w:pos="7743"/>
          <w:tab w:val="center" w:pos="8743"/>
          <w:tab w:val="center" w:pos="9413"/>
        </w:tabs>
        <w:ind w:left="0" w:firstLine="0"/>
      </w:pPr>
      <w:r>
        <w:rPr>
          <w:noProof/>
          <w:sz w:val="22"/>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299567" name="Group 29956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8125" name="Rectangle 1812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8126" name="Rectangle 18126"/>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86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99567" style="width:12.7031pt;height:280.02pt;position:absolute;mso-position-horizontal-relative:page;mso-position-horizontal:absolute;margin-left:682.278pt;mso-position-vertical-relative:page;margin-top:531.9pt;" coordsize="1613,35562">
                <v:rect id="Rectangle 1812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8126"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192 </w:t>
                        </w:r>
                      </w:p>
                    </w:txbxContent>
                  </v:textbox>
                </v:rect>
                <w10:wrap type="topAndBottom"/>
              </v:group>
            </w:pict>
          </mc:Fallback>
        </mc:AlternateContent>
      </w:r>
      <w:r>
        <w:rPr>
          <w:b w:val="0"/>
          <w:sz w:val="22"/>
        </w:rPr>
        <w:tab/>
      </w:r>
      <w:r>
        <w:t>NATURALEZA DEL COSTE</w:t>
      </w:r>
      <w:r>
        <w:tab/>
        <w:t>CONCEPTO DEL COSTE</w:t>
      </w:r>
      <w:r>
        <w:tab/>
        <w:t>€/año</w:t>
      </w:r>
      <w:r>
        <w:tab/>
        <w:t>€/m3</w:t>
      </w:r>
      <w:r>
        <w:tab/>
        <w:t>%</w:t>
      </w:r>
    </w:p>
    <w:tbl>
      <w:tblPr>
        <w:tblStyle w:val="TableGrid"/>
        <w:tblW w:w="8103" w:type="dxa"/>
        <w:tblInd w:w="1607" w:type="dxa"/>
        <w:tblCellMar>
          <w:top w:w="30" w:type="dxa"/>
          <w:left w:w="0" w:type="dxa"/>
          <w:bottom w:w="0" w:type="dxa"/>
          <w:right w:w="115" w:type="dxa"/>
        </w:tblCellMar>
        <w:tblLook w:val="04A0" w:firstRow="1" w:lastRow="0" w:firstColumn="1" w:lastColumn="0" w:noHBand="0" w:noVBand="1"/>
      </w:tblPr>
      <w:tblGrid>
        <w:gridCol w:w="2667"/>
        <w:gridCol w:w="7"/>
        <w:gridCol w:w="2982"/>
        <w:gridCol w:w="7"/>
        <w:gridCol w:w="1191"/>
        <w:gridCol w:w="757"/>
        <w:gridCol w:w="7"/>
        <w:gridCol w:w="485"/>
        <w:gridCol w:w="7"/>
      </w:tblGrid>
      <w:tr w:rsidR="007617AD">
        <w:trPr>
          <w:gridAfter w:val="1"/>
          <w:wAfter w:w="7" w:type="dxa"/>
          <w:trHeight w:val="282"/>
        </w:trPr>
        <w:tc>
          <w:tcPr>
            <w:tcW w:w="2667" w:type="dxa"/>
            <w:tcBorders>
              <w:top w:val="single" w:sz="10" w:space="0" w:color="000000"/>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Propio CIATF</w:t>
            </w:r>
          </w:p>
        </w:tc>
        <w:tc>
          <w:tcPr>
            <w:tcW w:w="2989" w:type="dxa"/>
            <w:gridSpan w:val="2"/>
            <w:tcBorders>
              <w:top w:val="single" w:sz="10" w:space="0" w:color="000000"/>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Gestión y Control (1)</w:t>
            </w:r>
          </w:p>
        </w:tc>
        <w:tc>
          <w:tcPr>
            <w:tcW w:w="1198" w:type="dxa"/>
            <w:gridSpan w:val="2"/>
            <w:tcBorders>
              <w:top w:val="single" w:sz="10" w:space="0" w:color="000000"/>
              <w:left w:val="nil"/>
              <w:bottom w:val="nil"/>
              <w:right w:val="nil"/>
            </w:tcBorders>
          </w:tcPr>
          <w:p w:rsidR="007617AD" w:rsidRDefault="00EE75C8">
            <w:pPr>
              <w:spacing w:after="0" w:line="259" w:lineRule="auto"/>
              <w:ind w:left="223" w:firstLine="0"/>
              <w:jc w:val="center"/>
            </w:pPr>
            <w:r>
              <w:rPr>
                <w:rFonts w:ascii="Calibri" w:eastAsia="Calibri" w:hAnsi="Calibri" w:cs="Calibri"/>
                <w:sz w:val="19"/>
              </w:rPr>
              <w:t>77.048,82 €</w:t>
            </w:r>
          </w:p>
        </w:tc>
        <w:tc>
          <w:tcPr>
            <w:tcW w:w="757"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0,03 </w:t>
            </w:r>
          </w:p>
        </w:tc>
        <w:tc>
          <w:tcPr>
            <w:tcW w:w="492" w:type="dxa"/>
            <w:gridSpan w:val="2"/>
            <w:tcBorders>
              <w:top w:val="single" w:sz="10" w:space="0" w:color="000000"/>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4%</w:t>
            </w:r>
          </w:p>
        </w:tc>
      </w:tr>
      <w:tr w:rsidR="007617AD">
        <w:trPr>
          <w:gridAfter w:val="1"/>
          <w:wAfter w:w="7" w:type="dxa"/>
          <w:trHeight w:val="258"/>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Contrato de servicios</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Operación y mantenimiento</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398.361,49 €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0,16 </w:t>
            </w:r>
          </w:p>
        </w:tc>
        <w:tc>
          <w:tcPr>
            <w:tcW w:w="492" w:type="dxa"/>
            <w:gridSpan w:val="2"/>
            <w:tcBorders>
              <w:top w:val="nil"/>
              <w:left w:val="nil"/>
              <w:bottom w:val="nil"/>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22%</w:t>
            </w:r>
          </w:p>
        </w:tc>
      </w:tr>
      <w:tr w:rsidR="007617AD">
        <w:trPr>
          <w:gridAfter w:val="1"/>
          <w:wAfter w:w="7" w:type="dxa"/>
          <w:trHeight w:val="258"/>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Contrato de suministro</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Electricidad (Costes Fijos)</w:t>
            </w:r>
          </w:p>
        </w:tc>
        <w:tc>
          <w:tcPr>
            <w:tcW w:w="1198" w:type="dxa"/>
            <w:gridSpan w:val="2"/>
            <w:tcBorders>
              <w:top w:val="nil"/>
              <w:left w:val="nil"/>
              <w:bottom w:val="nil"/>
              <w:right w:val="nil"/>
            </w:tcBorders>
          </w:tcPr>
          <w:p w:rsidR="007617AD" w:rsidRDefault="00EE75C8">
            <w:pPr>
              <w:spacing w:after="0" w:line="259" w:lineRule="auto"/>
              <w:ind w:left="223" w:firstLine="0"/>
              <w:jc w:val="center"/>
            </w:pPr>
            <w:r>
              <w:rPr>
                <w:rFonts w:ascii="Calibri" w:eastAsia="Calibri" w:hAnsi="Calibri" w:cs="Calibri"/>
                <w:sz w:val="19"/>
              </w:rPr>
              <w:t>73.996,12 €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w:t>
            </w:r>
            <w:r>
              <w:rPr>
                <w:rFonts w:ascii="Calibri" w:eastAsia="Calibri" w:hAnsi="Calibri" w:cs="Calibri"/>
                <w:sz w:val="19"/>
              </w:rPr>
              <w:t xml:space="preserve">0 ,03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4%</w:t>
            </w:r>
          </w:p>
        </w:tc>
      </w:tr>
      <w:tr w:rsidR="007617AD">
        <w:trPr>
          <w:gridAfter w:val="1"/>
          <w:wAfter w:w="7" w:type="dxa"/>
          <w:trHeight w:val="252"/>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Propio CIATF</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Inversiones (2)</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154.097,65 €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0 ,06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9%</w:t>
            </w:r>
          </w:p>
        </w:tc>
      </w:tr>
      <w:tr w:rsidR="007617AD">
        <w:trPr>
          <w:gridAfter w:val="1"/>
          <w:wAfter w:w="7" w:type="dxa"/>
          <w:trHeight w:val="258"/>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Contrato de servicios</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Seguimiento medioambiental (3)</w:t>
            </w:r>
          </w:p>
        </w:tc>
        <w:tc>
          <w:tcPr>
            <w:tcW w:w="1198" w:type="dxa"/>
            <w:gridSpan w:val="2"/>
            <w:tcBorders>
              <w:top w:val="nil"/>
              <w:left w:val="nil"/>
              <w:bottom w:val="nil"/>
              <w:right w:val="nil"/>
            </w:tcBorders>
          </w:tcPr>
          <w:p w:rsidR="007617AD" w:rsidRDefault="00EE75C8">
            <w:pPr>
              <w:spacing w:after="0" w:line="259" w:lineRule="auto"/>
              <w:ind w:left="223" w:firstLine="0"/>
              <w:jc w:val="center"/>
            </w:pPr>
            <w:r>
              <w:rPr>
                <w:rFonts w:ascii="Calibri" w:eastAsia="Calibri" w:hAnsi="Calibri" w:cs="Calibri"/>
                <w:sz w:val="19"/>
              </w:rPr>
              <w:t>52.108,25 €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0 ,02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3%</w:t>
            </w:r>
          </w:p>
        </w:tc>
      </w:tr>
      <w:tr w:rsidR="007617AD">
        <w:trPr>
          <w:gridAfter w:val="1"/>
          <w:wAfter w:w="7" w:type="dxa"/>
          <w:trHeight w:val="241"/>
        </w:trPr>
        <w:tc>
          <w:tcPr>
            <w:tcW w:w="2667" w:type="dxa"/>
            <w:tcBorders>
              <w:top w:val="nil"/>
              <w:left w:val="single" w:sz="5" w:space="0" w:color="000000"/>
              <w:bottom w:val="single" w:sz="10" w:space="0" w:color="000000"/>
              <w:right w:val="nil"/>
            </w:tcBorders>
          </w:tcPr>
          <w:p w:rsidR="007617AD" w:rsidRDefault="00EE75C8">
            <w:pPr>
              <w:spacing w:after="0" w:line="259" w:lineRule="auto"/>
              <w:ind w:left="31" w:firstLine="0"/>
              <w:jc w:val="left"/>
            </w:pPr>
            <w:r>
              <w:rPr>
                <w:rFonts w:ascii="Calibri" w:eastAsia="Calibri" w:hAnsi="Calibri" w:cs="Calibri"/>
                <w:sz w:val="19"/>
              </w:rPr>
              <w:t>Contrato de suministro</w:t>
            </w:r>
          </w:p>
        </w:tc>
        <w:tc>
          <w:tcPr>
            <w:tcW w:w="2989" w:type="dxa"/>
            <w:gridSpan w:val="2"/>
            <w:tcBorders>
              <w:top w:val="nil"/>
              <w:left w:val="nil"/>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sz w:val="19"/>
              </w:rPr>
              <w:t>Comunicaciones</w:t>
            </w:r>
          </w:p>
        </w:tc>
        <w:tc>
          <w:tcPr>
            <w:tcW w:w="1198" w:type="dxa"/>
            <w:gridSpan w:val="2"/>
            <w:tcBorders>
              <w:top w:val="nil"/>
              <w:left w:val="nil"/>
              <w:bottom w:val="single" w:sz="10" w:space="0" w:color="000000"/>
              <w:right w:val="nil"/>
            </w:tcBorders>
          </w:tcPr>
          <w:p w:rsidR="007617AD" w:rsidRDefault="00EE75C8">
            <w:pPr>
              <w:spacing w:after="0" w:line="259" w:lineRule="auto"/>
              <w:ind w:left="454" w:firstLine="0"/>
              <w:jc w:val="left"/>
            </w:pPr>
            <w:r>
              <w:rPr>
                <w:rFonts w:ascii="Calibri" w:eastAsia="Calibri" w:hAnsi="Calibri" w:cs="Calibri"/>
                <w:sz w:val="19"/>
              </w:rPr>
              <w:t>801,84 €</w:t>
            </w:r>
          </w:p>
        </w:tc>
        <w:tc>
          <w:tcPr>
            <w:tcW w:w="757" w:type="dxa"/>
            <w:tcBorders>
              <w:top w:val="nil"/>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sz w:val="19"/>
              </w:rPr>
              <w:t xml:space="preserve">    0,00 </w:t>
            </w:r>
          </w:p>
        </w:tc>
        <w:tc>
          <w:tcPr>
            <w:tcW w:w="492" w:type="dxa"/>
            <w:gridSpan w:val="2"/>
            <w:tcBorders>
              <w:top w:val="nil"/>
              <w:left w:val="nil"/>
              <w:bottom w:val="single" w:sz="10" w:space="0" w:color="000000"/>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0%</w:t>
            </w:r>
          </w:p>
        </w:tc>
      </w:tr>
      <w:tr w:rsidR="007617AD">
        <w:trPr>
          <w:gridAfter w:val="1"/>
          <w:wAfter w:w="7" w:type="dxa"/>
          <w:trHeight w:val="264"/>
        </w:trPr>
        <w:tc>
          <w:tcPr>
            <w:tcW w:w="2667"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2989" w:type="dxa"/>
            <w:gridSpan w:val="2"/>
            <w:tcBorders>
              <w:top w:val="single" w:sz="10" w:space="0" w:color="000000"/>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b/>
                <w:sz w:val="19"/>
              </w:rPr>
              <w:t>Subtotal costes fijos</w:t>
            </w:r>
          </w:p>
        </w:tc>
        <w:tc>
          <w:tcPr>
            <w:tcW w:w="1198" w:type="dxa"/>
            <w:gridSpan w:val="2"/>
            <w:tcBorders>
              <w:top w:val="single" w:sz="10" w:space="0" w:color="000000"/>
              <w:left w:val="nil"/>
              <w:bottom w:val="single" w:sz="10" w:space="0" w:color="000000"/>
              <w:right w:val="nil"/>
            </w:tcBorders>
          </w:tcPr>
          <w:p w:rsidR="007617AD" w:rsidRDefault="00EE75C8">
            <w:pPr>
              <w:spacing w:after="0" w:line="259" w:lineRule="auto"/>
              <w:ind w:left="139" w:firstLine="0"/>
              <w:jc w:val="left"/>
            </w:pPr>
            <w:r>
              <w:rPr>
                <w:rFonts w:ascii="Calibri" w:eastAsia="Calibri" w:hAnsi="Calibri" w:cs="Calibri"/>
                <w:b/>
                <w:sz w:val="19"/>
              </w:rPr>
              <w:t>756.414,17 €</w:t>
            </w:r>
          </w:p>
        </w:tc>
        <w:tc>
          <w:tcPr>
            <w:tcW w:w="757"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0,30 </w:t>
            </w:r>
          </w:p>
        </w:tc>
        <w:tc>
          <w:tcPr>
            <w:tcW w:w="492" w:type="dxa"/>
            <w:gridSpan w:val="2"/>
            <w:tcBorders>
              <w:top w:val="single" w:sz="10" w:space="0" w:color="000000"/>
              <w:left w:val="nil"/>
              <w:bottom w:val="single" w:sz="10" w:space="0" w:color="000000"/>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43%</w:t>
            </w:r>
          </w:p>
        </w:tc>
      </w:tr>
      <w:tr w:rsidR="007617AD">
        <w:trPr>
          <w:gridAfter w:val="1"/>
          <w:wAfter w:w="7" w:type="dxa"/>
          <w:trHeight w:val="282"/>
        </w:trPr>
        <w:tc>
          <w:tcPr>
            <w:tcW w:w="5656" w:type="dxa"/>
            <w:gridSpan w:val="3"/>
            <w:tcBorders>
              <w:top w:val="single" w:sz="10" w:space="0" w:color="000000"/>
              <w:left w:val="single" w:sz="5" w:space="0" w:color="000000"/>
              <w:bottom w:val="nil"/>
              <w:right w:val="nil"/>
            </w:tcBorders>
          </w:tcPr>
          <w:p w:rsidR="007617AD" w:rsidRDefault="00EE75C8">
            <w:pPr>
              <w:tabs>
                <w:tab w:val="center" w:pos="3800"/>
              </w:tabs>
              <w:spacing w:after="0" w:line="259" w:lineRule="auto"/>
              <w:ind w:left="0" w:firstLine="0"/>
              <w:jc w:val="left"/>
            </w:pPr>
            <w:r>
              <w:rPr>
                <w:rFonts w:ascii="Calibri" w:eastAsia="Calibri" w:hAnsi="Calibri" w:cs="Calibri"/>
                <w:sz w:val="19"/>
              </w:rPr>
              <w:t>Contrato de servicios</w:t>
            </w:r>
            <w:r>
              <w:rPr>
                <w:rFonts w:ascii="Calibri" w:eastAsia="Calibri" w:hAnsi="Calibri" w:cs="Calibri"/>
                <w:sz w:val="19"/>
              </w:rPr>
              <w:tab/>
              <w:t>Operación y mantenimiento</w:t>
            </w:r>
          </w:p>
        </w:tc>
        <w:tc>
          <w:tcPr>
            <w:tcW w:w="1198" w:type="dxa"/>
            <w:gridSpan w:val="2"/>
            <w:tcBorders>
              <w:top w:val="single" w:sz="10" w:space="0" w:color="000000"/>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232.853,09 €</w:t>
            </w:r>
          </w:p>
        </w:tc>
        <w:tc>
          <w:tcPr>
            <w:tcW w:w="757"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0,09 </w:t>
            </w:r>
          </w:p>
        </w:tc>
        <w:tc>
          <w:tcPr>
            <w:tcW w:w="492" w:type="dxa"/>
            <w:gridSpan w:val="2"/>
            <w:tcBorders>
              <w:top w:val="single" w:sz="10" w:space="0" w:color="000000"/>
              <w:left w:val="nil"/>
              <w:bottom w:val="nil"/>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13%</w:t>
            </w:r>
          </w:p>
        </w:tc>
      </w:tr>
      <w:tr w:rsidR="007617AD">
        <w:trPr>
          <w:gridAfter w:val="1"/>
          <w:wAfter w:w="7" w:type="dxa"/>
          <w:trHeight w:val="252"/>
        </w:trPr>
        <w:tc>
          <w:tcPr>
            <w:tcW w:w="5656" w:type="dxa"/>
            <w:gridSpan w:val="3"/>
            <w:tcBorders>
              <w:top w:val="nil"/>
              <w:left w:val="single" w:sz="5" w:space="0" w:color="000000"/>
              <w:bottom w:val="nil"/>
              <w:right w:val="nil"/>
            </w:tcBorders>
          </w:tcPr>
          <w:p w:rsidR="007617AD" w:rsidRDefault="00EE75C8">
            <w:pPr>
              <w:tabs>
                <w:tab w:val="center" w:pos="3878"/>
              </w:tabs>
              <w:spacing w:after="0" w:line="259" w:lineRule="auto"/>
              <w:ind w:left="0" w:firstLine="0"/>
              <w:jc w:val="left"/>
            </w:pPr>
            <w:r>
              <w:rPr>
                <w:rFonts w:ascii="Calibri" w:eastAsia="Calibri" w:hAnsi="Calibri" w:cs="Calibri"/>
                <w:sz w:val="19"/>
              </w:rPr>
              <w:t>Contrato de suministro</w:t>
            </w:r>
            <w:r>
              <w:rPr>
                <w:rFonts w:ascii="Calibri" w:eastAsia="Calibri" w:hAnsi="Calibri" w:cs="Calibri"/>
                <w:sz w:val="19"/>
              </w:rPr>
              <w:tab/>
              <w:t>Electricidad (Costes Variables)</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644.780,90 €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0 ,25 </w:t>
            </w:r>
          </w:p>
        </w:tc>
        <w:tc>
          <w:tcPr>
            <w:tcW w:w="492" w:type="dxa"/>
            <w:gridSpan w:val="2"/>
            <w:tcBorders>
              <w:top w:val="nil"/>
              <w:left w:val="nil"/>
              <w:bottom w:val="nil"/>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36%</w:t>
            </w:r>
          </w:p>
        </w:tc>
      </w:tr>
      <w:tr w:rsidR="007617AD">
        <w:trPr>
          <w:gridAfter w:val="1"/>
          <w:wAfter w:w="7" w:type="dxa"/>
          <w:trHeight w:val="252"/>
        </w:trPr>
        <w:tc>
          <w:tcPr>
            <w:tcW w:w="5656" w:type="dxa"/>
            <w:gridSpan w:val="3"/>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Tasas Cabildo Insular de Tenerife Tasas servicio P.I.R.S. Arico</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138.074,76 €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0 ,05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8%</w:t>
            </w:r>
          </w:p>
        </w:tc>
      </w:tr>
      <w:tr w:rsidR="007617AD">
        <w:trPr>
          <w:gridAfter w:val="1"/>
          <w:wAfter w:w="7" w:type="dxa"/>
          <w:trHeight w:val="234"/>
        </w:trPr>
        <w:tc>
          <w:tcPr>
            <w:tcW w:w="5656" w:type="dxa"/>
            <w:gridSpan w:val="3"/>
            <w:tcBorders>
              <w:top w:val="nil"/>
              <w:left w:val="single" w:sz="5" w:space="0" w:color="000000"/>
              <w:bottom w:val="single" w:sz="10" w:space="0" w:color="000000"/>
              <w:right w:val="nil"/>
            </w:tcBorders>
          </w:tcPr>
          <w:p w:rsidR="007617AD" w:rsidRDefault="00EE75C8">
            <w:pPr>
              <w:tabs>
                <w:tab w:val="center" w:pos="3220"/>
              </w:tabs>
              <w:spacing w:after="0" w:line="259" w:lineRule="auto"/>
              <w:ind w:left="0" w:firstLine="0"/>
              <w:jc w:val="left"/>
            </w:pPr>
            <w:r>
              <w:rPr>
                <w:rFonts w:ascii="Calibri" w:eastAsia="Calibri" w:hAnsi="Calibri" w:cs="Calibri"/>
                <w:sz w:val="19"/>
              </w:rPr>
              <w:t>Tasas municipales</w:t>
            </w:r>
            <w:r>
              <w:rPr>
                <w:rFonts w:ascii="Calibri" w:eastAsia="Calibri" w:hAnsi="Calibri" w:cs="Calibri"/>
                <w:sz w:val="19"/>
              </w:rPr>
              <w:tab/>
              <w:t>Agua servicio</w:t>
            </w:r>
          </w:p>
        </w:tc>
        <w:tc>
          <w:tcPr>
            <w:tcW w:w="1198" w:type="dxa"/>
            <w:gridSpan w:val="2"/>
            <w:tcBorders>
              <w:top w:val="nil"/>
              <w:left w:val="nil"/>
              <w:bottom w:val="single" w:sz="10" w:space="0" w:color="000000"/>
              <w:right w:val="nil"/>
            </w:tcBorders>
          </w:tcPr>
          <w:p w:rsidR="007617AD" w:rsidRDefault="00EE75C8">
            <w:pPr>
              <w:spacing w:after="0" w:line="259" w:lineRule="auto"/>
              <w:ind w:left="0" w:firstLine="0"/>
              <w:jc w:val="right"/>
            </w:pPr>
            <w:r>
              <w:rPr>
                <w:rFonts w:ascii="Calibri" w:eastAsia="Calibri" w:hAnsi="Calibri" w:cs="Calibri"/>
                <w:sz w:val="19"/>
              </w:rPr>
              <w:t>0,00 €</w:t>
            </w:r>
          </w:p>
        </w:tc>
        <w:tc>
          <w:tcPr>
            <w:tcW w:w="757" w:type="dxa"/>
            <w:tcBorders>
              <w:top w:val="nil"/>
              <w:left w:val="nil"/>
              <w:bottom w:val="single" w:sz="10" w:space="0" w:color="000000"/>
              <w:right w:val="nil"/>
            </w:tcBorders>
          </w:tcPr>
          <w:p w:rsidR="007617AD" w:rsidRDefault="00EE75C8">
            <w:pPr>
              <w:tabs>
                <w:tab w:val="center" w:pos="428"/>
              </w:tabs>
              <w:spacing w:after="0" w:line="259" w:lineRule="auto"/>
              <w:ind w:left="0" w:firstLine="0"/>
              <w:jc w:val="left"/>
            </w:pPr>
            <w:r>
              <w:rPr>
                <w:rFonts w:ascii="Calibri" w:eastAsia="Calibri" w:hAnsi="Calibri" w:cs="Calibri"/>
                <w:sz w:val="19"/>
              </w:rPr>
              <w:t xml:space="preserve">      -</w:t>
            </w:r>
            <w:r>
              <w:rPr>
                <w:rFonts w:ascii="Calibri" w:eastAsia="Calibri" w:hAnsi="Calibri" w:cs="Calibri"/>
                <w:sz w:val="19"/>
              </w:rPr>
              <w:tab/>
              <w:t xml:space="preserve"> </w:t>
            </w:r>
          </w:p>
        </w:tc>
        <w:tc>
          <w:tcPr>
            <w:tcW w:w="492" w:type="dxa"/>
            <w:gridSpan w:val="2"/>
            <w:tcBorders>
              <w:top w:val="nil"/>
              <w:left w:val="nil"/>
              <w:bottom w:val="single" w:sz="10" w:space="0" w:color="000000"/>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0%</w:t>
            </w:r>
          </w:p>
        </w:tc>
      </w:tr>
      <w:tr w:rsidR="007617AD">
        <w:trPr>
          <w:gridAfter w:val="1"/>
          <w:wAfter w:w="7" w:type="dxa"/>
          <w:trHeight w:val="265"/>
        </w:trPr>
        <w:tc>
          <w:tcPr>
            <w:tcW w:w="2667"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2989" w:type="dxa"/>
            <w:gridSpan w:val="2"/>
            <w:tcBorders>
              <w:top w:val="single" w:sz="10" w:space="0" w:color="000000"/>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b/>
                <w:sz w:val="19"/>
              </w:rPr>
              <w:t>Subtotal costes variables</w:t>
            </w:r>
          </w:p>
        </w:tc>
        <w:tc>
          <w:tcPr>
            <w:tcW w:w="1198" w:type="dxa"/>
            <w:gridSpan w:val="2"/>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1.015.708,75 €</w:t>
            </w:r>
          </w:p>
        </w:tc>
        <w:tc>
          <w:tcPr>
            <w:tcW w:w="757"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0 ,40 </w:t>
            </w:r>
          </w:p>
        </w:tc>
        <w:tc>
          <w:tcPr>
            <w:tcW w:w="492" w:type="dxa"/>
            <w:gridSpan w:val="2"/>
            <w:tcBorders>
              <w:top w:val="single" w:sz="10" w:space="0" w:color="000000"/>
              <w:left w:val="nil"/>
              <w:bottom w:val="single" w:sz="10" w:space="0" w:color="000000"/>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57%</w:t>
            </w:r>
          </w:p>
        </w:tc>
      </w:tr>
      <w:tr w:rsidR="007617AD">
        <w:tblPrEx>
          <w:tblCellMar>
            <w:top w:w="60" w:type="dxa"/>
            <w:right w:w="92" w:type="dxa"/>
          </w:tblCellMar>
        </w:tblPrEx>
        <w:trPr>
          <w:gridBefore w:val="2"/>
          <w:wBefore w:w="2674" w:type="dxa"/>
          <w:trHeight w:val="264"/>
        </w:trPr>
        <w:tc>
          <w:tcPr>
            <w:tcW w:w="2989" w:type="dxa"/>
            <w:gridSpan w:val="2"/>
            <w:tcBorders>
              <w:top w:val="single" w:sz="10" w:space="0" w:color="000000"/>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b/>
                <w:sz w:val="19"/>
              </w:rPr>
              <w:t>COSTES TOTALES</w:t>
            </w:r>
          </w:p>
        </w:tc>
        <w:tc>
          <w:tcPr>
            <w:tcW w:w="1955" w:type="dxa"/>
            <w:gridSpan w:val="3"/>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1.772.122,92 €    0,69 </w:t>
            </w:r>
          </w:p>
        </w:tc>
        <w:tc>
          <w:tcPr>
            <w:tcW w:w="492" w:type="dxa"/>
            <w:gridSpan w:val="2"/>
            <w:tcBorders>
              <w:top w:val="single" w:sz="10" w:space="0" w:color="000000"/>
              <w:left w:val="nil"/>
              <w:bottom w:val="single" w:sz="10" w:space="0" w:color="000000"/>
              <w:right w:val="single" w:sz="10" w:space="0" w:color="000000"/>
            </w:tcBorders>
          </w:tcPr>
          <w:p w:rsidR="007617AD" w:rsidRDefault="00EE75C8">
            <w:pPr>
              <w:spacing w:after="0" w:line="259" w:lineRule="auto"/>
              <w:ind w:left="0" w:firstLine="0"/>
            </w:pPr>
            <w:r>
              <w:rPr>
                <w:rFonts w:ascii="Calibri" w:eastAsia="Calibri" w:hAnsi="Calibri" w:cs="Calibri"/>
                <w:sz w:val="19"/>
              </w:rPr>
              <w:t>100%</w:t>
            </w:r>
          </w:p>
        </w:tc>
      </w:tr>
    </w:tbl>
    <w:p w:rsidR="007617AD" w:rsidRDefault="00EE75C8">
      <w:pPr>
        <w:numPr>
          <w:ilvl w:val="0"/>
          <w:numId w:val="35"/>
        </w:numPr>
        <w:spacing w:after="41" w:line="259" w:lineRule="auto"/>
        <w:ind w:right="366" w:firstLine="570"/>
        <w:jc w:val="left"/>
      </w:pPr>
      <w:r>
        <w:rPr>
          <w:rFonts w:ascii="Calibri" w:eastAsia="Calibri" w:hAnsi="Calibri" w:cs="Calibri"/>
          <w:sz w:val="15"/>
        </w:rPr>
        <w:t>5% sobre gastos fijos y variables a excepción de las Inversiones</w:t>
      </w:r>
    </w:p>
    <w:p w:rsidR="007617AD" w:rsidRDefault="00EE75C8">
      <w:pPr>
        <w:numPr>
          <w:ilvl w:val="0"/>
          <w:numId w:val="35"/>
        </w:numPr>
        <w:spacing w:after="153" w:line="259" w:lineRule="auto"/>
        <w:ind w:right="366" w:firstLine="570"/>
        <w:jc w:val="left"/>
      </w:pPr>
      <w:r>
        <w:rPr>
          <w:rFonts w:ascii="Calibri" w:eastAsia="Calibri" w:hAnsi="Calibri" w:cs="Calibri"/>
          <w:sz w:val="15"/>
        </w:rPr>
        <w:t>10% sobre gastos fijos y variables a excepción de los gastos de gestión y control</w:t>
      </w:r>
    </w:p>
    <w:p w:rsidR="007617AD" w:rsidRDefault="00EE75C8">
      <w:pPr>
        <w:numPr>
          <w:ilvl w:val="0"/>
          <w:numId w:val="35"/>
        </w:numPr>
        <w:spacing w:after="0" w:line="494" w:lineRule="auto"/>
        <w:ind w:right="366" w:firstLine="570"/>
        <w:jc w:val="left"/>
      </w:pPr>
      <w:r>
        <w:rPr>
          <w:rFonts w:ascii="Calibri" w:eastAsia="Calibri" w:hAnsi="Calibri" w:cs="Calibri"/>
          <w:sz w:val="15"/>
        </w:rPr>
        <w:t>Realización de los Programas de Vigilancia y Control ambiental.</w:t>
      </w:r>
      <w:r>
        <w:rPr>
          <w:rFonts w:ascii="Times New Roman" w:eastAsia="Times New Roman" w:hAnsi="Times New Roman" w:cs="Times New Roman"/>
          <w:sz w:val="24"/>
        </w:rPr>
        <w:t xml:space="preserve"> </w:t>
      </w:r>
      <w:r>
        <w:t xml:space="preserve">2. </w:t>
      </w:r>
      <w:r>
        <w:rPr>
          <w:u w:val="single" w:color="000000"/>
        </w:rPr>
        <w:t>Servicio de depuración de aguas residuales industriales</w:t>
      </w:r>
      <w:r>
        <w:t xml:space="preserve">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p w:rsidR="007617AD" w:rsidRDefault="00EE75C8">
      <w:pPr>
        <w:pStyle w:val="Ttulo2"/>
        <w:ind w:left="3120"/>
      </w:pPr>
      <w:r>
        <w:t>Servicio DEPURACIÓN Aguas Residuales Industriale</w:t>
      </w:r>
      <w:r>
        <w:t>s</w:t>
      </w:r>
    </w:p>
    <w:p w:rsidR="007617AD" w:rsidRDefault="00EE75C8">
      <w:pPr>
        <w:pStyle w:val="Ttulo3"/>
        <w:tabs>
          <w:tab w:val="center" w:pos="2645"/>
          <w:tab w:val="center" w:pos="5275"/>
          <w:tab w:val="center" w:pos="7898"/>
          <w:tab w:val="center" w:pos="8915"/>
          <w:tab w:val="center" w:pos="9598"/>
        </w:tabs>
        <w:ind w:left="0" w:firstLine="0"/>
      </w:pPr>
      <w:r>
        <w:rPr>
          <w:b w:val="0"/>
          <w:sz w:val="22"/>
        </w:rPr>
        <w:tab/>
      </w:r>
      <w:r>
        <w:t>NATURALEZA DEL COSTE</w:t>
      </w:r>
      <w:r>
        <w:tab/>
        <w:t>CONCEPTO DEL COSTE</w:t>
      </w:r>
      <w:r>
        <w:tab/>
        <w:t>€/año</w:t>
      </w:r>
      <w:r>
        <w:tab/>
        <w:t>€/m3</w:t>
      </w:r>
      <w:r>
        <w:tab/>
        <w:t>%</w:t>
      </w:r>
    </w:p>
    <w:tbl>
      <w:tblPr>
        <w:tblStyle w:val="TableGrid"/>
        <w:tblW w:w="8249" w:type="dxa"/>
        <w:tblInd w:w="1650" w:type="dxa"/>
        <w:tblCellMar>
          <w:top w:w="30" w:type="dxa"/>
          <w:left w:w="0" w:type="dxa"/>
          <w:bottom w:w="0" w:type="dxa"/>
          <w:right w:w="115" w:type="dxa"/>
        </w:tblCellMar>
        <w:tblLook w:val="04A0" w:firstRow="1" w:lastRow="0" w:firstColumn="1" w:lastColumn="0" w:noHBand="0" w:noVBand="1"/>
      </w:tblPr>
      <w:tblGrid>
        <w:gridCol w:w="2720"/>
        <w:gridCol w:w="3182"/>
        <w:gridCol w:w="1078"/>
        <w:gridCol w:w="769"/>
        <w:gridCol w:w="500"/>
      </w:tblGrid>
      <w:tr w:rsidR="007617AD">
        <w:trPr>
          <w:trHeight w:val="287"/>
        </w:trPr>
        <w:tc>
          <w:tcPr>
            <w:tcW w:w="2720" w:type="dxa"/>
            <w:tcBorders>
              <w:top w:val="single" w:sz="10" w:space="0" w:color="000000"/>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Propio CIATF</w:t>
            </w:r>
          </w:p>
        </w:tc>
        <w:tc>
          <w:tcPr>
            <w:tcW w:w="3182" w:type="dxa"/>
            <w:tcBorders>
              <w:top w:val="single" w:sz="10" w:space="0" w:color="000000"/>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Gestión y Control (1)</w:t>
            </w:r>
          </w:p>
        </w:tc>
        <w:tc>
          <w:tcPr>
            <w:tcW w:w="1078" w:type="dxa"/>
            <w:tcBorders>
              <w:top w:val="single" w:sz="10" w:space="0" w:color="000000"/>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32.801,29 €</w:t>
            </w:r>
          </w:p>
        </w:tc>
        <w:tc>
          <w:tcPr>
            <w:tcW w:w="769"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0,08 </w:t>
            </w:r>
          </w:p>
        </w:tc>
        <w:tc>
          <w:tcPr>
            <w:tcW w:w="500" w:type="dxa"/>
            <w:tcBorders>
              <w:top w:val="single" w:sz="10" w:space="0" w:color="000000"/>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4%</w:t>
            </w:r>
          </w:p>
        </w:tc>
      </w:tr>
      <w:tr w:rsidR="007617AD">
        <w:trPr>
          <w:trHeight w:val="256"/>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Contrato de servicios</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Operación y mantenimiento</w:t>
            </w:r>
          </w:p>
        </w:tc>
        <w:tc>
          <w:tcPr>
            <w:tcW w:w="1078"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274.950,33 €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0 ,66 </w:t>
            </w:r>
          </w:p>
        </w:tc>
        <w:tc>
          <w:tcPr>
            <w:tcW w:w="500" w:type="dxa"/>
            <w:tcBorders>
              <w:top w:val="nil"/>
              <w:left w:val="nil"/>
              <w:bottom w:val="nil"/>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36%</w:t>
            </w:r>
          </w:p>
        </w:tc>
      </w:tr>
      <w:tr w:rsidR="007617AD">
        <w:trPr>
          <w:trHeight w:val="256"/>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Contrato de suministro</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Electricidad (Costes Fijos)</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17.078,26 €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0,04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2%</w:t>
            </w:r>
          </w:p>
        </w:tc>
      </w:tr>
      <w:tr w:rsidR="007617AD">
        <w:trPr>
          <w:trHeight w:val="257"/>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Propio CIATF</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Inversiones (2)</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65.602,59 €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0,16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9%</w:t>
            </w:r>
          </w:p>
        </w:tc>
      </w:tr>
      <w:tr w:rsidR="007617AD">
        <w:trPr>
          <w:trHeight w:val="256"/>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Contrato de servicios</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Seguimiento medioambiental (3)</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52.108,25 €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0,13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7%</w:t>
            </w:r>
          </w:p>
        </w:tc>
      </w:tr>
      <w:tr w:rsidR="007617AD">
        <w:trPr>
          <w:trHeight w:val="238"/>
        </w:trPr>
        <w:tc>
          <w:tcPr>
            <w:tcW w:w="2720" w:type="dxa"/>
            <w:tcBorders>
              <w:top w:val="nil"/>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sz w:val="19"/>
              </w:rPr>
              <w:t>Contrato de suministro</w:t>
            </w:r>
          </w:p>
        </w:tc>
        <w:tc>
          <w:tcPr>
            <w:tcW w:w="3182" w:type="dxa"/>
            <w:tcBorders>
              <w:top w:val="nil"/>
              <w:left w:val="nil"/>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sz w:val="19"/>
              </w:rPr>
              <w:t>Comunicaciones</w:t>
            </w:r>
          </w:p>
        </w:tc>
        <w:tc>
          <w:tcPr>
            <w:tcW w:w="1078" w:type="dxa"/>
            <w:tcBorders>
              <w:top w:val="nil"/>
              <w:left w:val="nil"/>
              <w:bottom w:val="single" w:sz="10" w:space="0" w:color="000000"/>
              <w:right w:val="nil"/>
            </w:tcBorders>
          </w:tcPr>
          <w:p w:rsidR="007617AD" w:rsidRDefault="00EE75C8">
            <w:pPr>
              <w:spacing w:after="0" w:line="259" w:lineRule="auto"/>
              <w:ind w:left="321" w:firstLine="0"/>
              <w:jc w:val="left"/>
            </w:pPr>
            <w:r>
              <w:rPr>
                <w:rFonts w:ascii="Calibri" w:eastAsia="Calibri" w:hAnsi="Calibri" w:cs="Calibri"/>
                <w:sz w:val="19"/>
              </w:rPr>
              <w:t>801,84 €</w:t>
            </w:r>
          </w:p>
        </w:tc>
        <w:tc>
          <w:tcPr>
            <w:tcW w:w="769" w:type="dxa"/>
            <w:tcBorders>
              <w:top w:val="nil"/>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sz w:val="19"/>
              </w:rPr>
              <w:t xml:space="preserve">    0,00 </w:t>
            </w:r>
          </w:p>
        </w:tc>
        <w:tc>
          <w:tcPr>
            <w:tcW w:w="500" w:type="dxa"/>
            <w:tcBorders>
              <w:top w:val="nil"/>
              <w:left w:val="nil"/>
              <w:bottom w:val="single" w:sz="10" w:space="0" w:color="000000"/>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0%</w:t>
            </w:r>
          </w:p>
        </w:tc>
      </w:tr>
      <w:tr w:rsidR="007617AD">
        <w:trPr>
          <w:trHeight w:val="270"/>
        </w:trPr>
        <w:tc>
          <w:tcPr>
            <w:tcW w:w="2720"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3182" w:type="dxa"/>
            <w:tcBorders>
              <w:top w:val="single" w:sz="10" w:space="0" w:color="000000"/>
              <w:left w:val="single" w:sz="10" w:space="0" w:color="000000"/>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b/>
                <w:sz w:val="19"/>
              </w:rPr>
              <w:t>Subtotal costes fijos</w:t>
            </w:r>
          </w:p>
        </w:tc>
        <w:tc>
          <w:tcPr>
            <w:tcW w:w="1078"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443.342,56 €</w:t>
            </w:r>
          </w:p>
        </w:tc>
        <w:tc>
          <w:tcPr>
            <w:tcW w:w="769"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1,07 </w:t>
            </w:r>
          </w:p>
        </w:tc>
        <w:tc>
          <w:tcPr>
            <w:tcW w:w="500" w:type="dxa"/>
            <w:tcBorders>
              <w:top w:val="single" w:sz="10" w:space="0" w:color="000000"/>
              <w:left w:val="nil"/>
              <w:bottom w:val="single" w:sz="10" w:space="0" w:color="000000"/>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59%</w:t>
            </w:r>
          </w:p>
        </w:tc>
      </w:tr>
      <w:tr w:rsidR="007617AD">
        <w:trPr>
          <w:trHeight w:val="261"/>
        </w:trPr>
        <w:tc>
          <w:tcPr>
            <w:tcW w:w="5902" w:type="dxa"/>
            <w:gridSpan w:val="2"/>
            <w:tcBorders>
              <w:top w:val="single" w:sz="10" w:space="0" w:color="000000"/>
              <w:left w:val="single" w:sz="10" w:space="0" w:color="000000"/>
              <w:bottom w:val="nil"/>
              <w:right w:val="nil"/>
            </w:tcBorders>
          </w:tcPr>
          <w:p w:rsidR="007617AD" w:rsidRDefault="00EE75C8">
            <w:pPr>
              <w:tabs>
                <w:tab w:val="center" w:pos="3872"/>
              </w:tabs>
              <w:spacing w:after="0" w:line="259" w:lineRule="auto"/>
              <w:ind w:left="0" w:firstLine="0"/>
              <w:jc w:val="left"/>
            </w:pPr>
            <w:r>
              <w:rPr>
                <w:rFonts w:ascii="Calibri" w:eastAsia="Calibri" w:hAnsi="Calibri" w:cs="Calibri"/>
                <w:sz w:val="19"/>
              </w:rPr>
              <w:t>Contrato de servicios</w:t>
            </w:r>
            <w:r>
              <w:rPr>
                <w:rFonts w:ascii="Calibri" w:eastAsia="Calibri" w:hAnsi="Calibri" w:cs="Calibri"/>
                <w:sz w:val="19"/>
              </w:rPr>
              <w:tab/>
              <w:t>Operación y mantenimiento</w:t>
            </w:r>
          </w:p>
        </w:tc>
        <w:tc>
          <w:tcPr>
            <w:tcW w:w="1078" w:type="dxa"/>
            <w:tcBorders>
              <w:top w:val="single" w:sz="10" w:space="0" w:color="000000"/>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41.734,83 €</w:t>
            </w:r>
          </w:p>
        </w:tc>
        <w:tc>
          <w:tcPr>
            <w:tcW w:w="769"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0,10 </w:t>
            </w:r>
          </w:p>
        </w:tc>
        <w:tc>
          <w:tcPr>
            <w:tcW w:w="500" w:type="dxa"/>
            <w:tcBorders>
              <w:top w:val="single" w:sz="10" w:space="0" w:color="000000"/>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6%</w:t>
            </w:r>
          </w:p>
        </w:tc>
      </w:tr>
      <w:tr w:rsidR="007617AD">
        <w:trPr>
          <w:trHeight w:val="257"/>
        </w:trPr>
        <w:tc>
          <w:tcPr>
            <w:tcW w:w="5902" w:type="dxa"/>
            <w:gridSpan w:val="2"/>
            <w:tcBorders>
              <w:top w:val="nil"/>
              <w:left w:val="single" w:sz="10" w:space="0" w:color="000000"/>
              <w:bottom w:val="nil"/>
              <w:right w:val="nil"/>
            </w:tcBorders>
          </w:tcPr>
          <w:p w:rsidR="007617AD" w:rsidRDefault="00EE75C8">
            <w:pPr>
              <w:tabs>
                <w:tab w:val="center" w:pos="3952"/>
              </w:tabs>
              <w:spacing w:after="0" w:line="259" w:lineRule="auto"/>
              <w:ind w:left="0" w:firstLine="0"/>
              <w:jc w:val="left"/>
            </w:pPr>
            <w:r>
              <w:rPr>
                <w:rFonts w:ascii="Calibri" w:eastAsia="Calibri" w:hAnsi="Calibri" w:cs="Calibri"/>
                <w:sz w:val="19"/>
              </w:rPr>
              <w:t>Contrato de suministro</w:t>
            </w:r>
            <w:r>
              <w:rPr>
                <w:rFonts w:ascii="Calibri" w:eastAsia="Calibri" w:hAnsi="Calibri" w:cs="Calibri"/>
                <w:sz w:val="19"/>
              </w:rPr>
              <w:tab/>
              <w:t>Electricidad (Costes Variables)</w:t>
            </w:r>
          </w:p>
        </w:tc>
        <w:tc>
          <w:tcPr>
            <w:tcW w:w="1078"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225.136,31 €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0,54 </w:t>
            </w:r>
          </w:p>
        </w:tc>
        <w:tc>
          <w:tcPr>
            <w:tcW w:w="500" w:type="dxa"/>
            <w:tcBorders>
              <w:top w:val="nil"/>
              <w:left w:val="nil"/>
              <w:bottom w:val="nil"/>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30%</w:t>
            </w:r>
          </w:p>
        </w:tc>
      </w:tr>
      <w:tr w:rsidR="007617AD">
        <w:trPr>
          <w:trHeight w:val="256"/>
        </w:trPr>
        <w:tc>
          <w:tcPr>
            <w:tcW w:w="5902" w:type="dxa"/>
            <w:gridSpan w:val="2"/>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Tasas Cabildo Insular de Tenerife Tasas servicio P.I.R.S. Arico</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44.216,04 €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0,11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6%</w:t>
            </w:r>
          </w:p>
        </w:tc>
      </w:tr>
      <w:tr w:rsidR="007617AD">
        <w:trPr>
          <w:trHeight w:val="239"/>
        </w:trPr>
        <w:tc>
          <w:tcPr>
            <w:tcW w:w="5902" w:type="dxa"/>
            <w:gridSpan w:val="2"/>
            <w:tcBorders>
              <w:top w:val="nil"/>
              <w:left w:val="single" w:sz="10" w:space="0" w:color="000000"/>
              <w:bottom w:val="single" w:sz="10" w:space="0" w:color="000000"/>
              <w:right w:val="nil"/>
            </w:tcBorders>
          </w:tcPr>
          <w:p w:rsidR="007617AD" w:rsidRDefault="00EE75C8">
            <w:pPr>
              <w:tabs>
                <w:tab w:val="center" w:pos="3282"/>
              </w:tabs>
              <w:spacing w:after="0" w:line="259" w:lineRule="auto"/>
              <w:ind w:left="0" w:firstLine="0"/>
              <w:jc w:val="left"/>
            </w:pPr>
            <w:r>
              <w:rPr>
                <w:rFonts w:ascii="Calibri" w:eastAsia="Calibri" w:hAnsi="Calibri" w:cs="Calibri"/>
                <w:sz w:val="19"/>
              </w:rPr>
              <w:t>Tasas municipales</w:t>
            </w:r>
            <w:r>
              <w:rPr>
                <w:rFonts w:ascii="Calibri" w:eastAsia="Calibri" w:hAnsi="Calibri" w:cs="Calibri"/>
                <w:sz w:val="19"/>
              </w:rPr>
              <w:tab/>
              <w:t>Agua servicio</w:t>
            </w:r>
          </w:p>
        </w:tc>
        <w:tc>
          <w:tcPr>
            <w:tcW w:w="1078" w:type="dxa"/>
            <w:tcBorders>
              <w:top w:val="nil"/>
              <w:left w:val="nil"/>
              <w:bottom w:val="single" w:sz="10" w:space="0" w:color="000000"/>
              <w:right w:val="nil"/>
            </w:tcBorders>
          </w:tcPr>
          <w:p w:rsidR="007617AD" w:rsidRDefault="00EE75C8">
            <w:pPr>
              <w:spacing w:after="0" w:line="259" w:lineRule="auto"/>
              <w:ind w:left="500" w:firstLine="0"/>
              <w:jc w:val="left"/>
            </w:pPr>
            <w:r>
              <w:rPr>
                <w:rFonts w:ascii="Calibri" w:eastAsia="Calibri" w:hAnsi="Calibri" w:cs="Calibri"/>
                <w:sz w:val="19"/>
              </w:rPr>
              <w:t>0,00 €</w:t>
            </w:r>
          </w:p>
        </w:tc>
        <w:tc>
          <w:tcPr>
            <w:tcW w:w="769" w:type="dxa"/>
            <w:tcBorders>
              <w:top w:val="nil"/>
              <w:left w:val="nil"/>
              <w:bottom w:val="single" w:sz="10" w:space="0" w:color="000000"/>
              <w:right w:val="nil"/>
            </w:tcBorders>
          </w:tcPr>
          <w:p w:rsidR="007617AD" w:rsidRDefault="00EE75C8">
            <w:pPr>
              <w:tabs>
                <w:tab w:val="center" w:pos="436"/>
              </w:tabs>
              <w:spacing w:after="0" w:line="259" w:lineRule="auto"/>
              <w:ind w:left="0" w:firstLine="0"/>
              <w:jc w:val="left"/>
            </w:pPr>
            <w:r>
              <w:rPr>
                <w:rFonts w:ascii="Calibri" w:eastAsia="Calibri" w:hAnsi="Calibri" w:cs="Calibri"/>
                <w:sz w:val="19"/>
              </w:rPr>
              <w:t xml:space="preserve">      -</w:t>
            </w:r>
            <w:r>
              <w:rPr>
                <w:rFonts w:ascii="Calibri" w:eastAsia="Calibri" w:hAnsi="Calibri" w:cs="Calibri"/>
                <w:sz w:val="19"/>
              </w:rPr>
              <w:tab/>
              <w:t xml:space="preserve"> </w:t>
            </w:r>
          </w:p>
        </w:tc>
        <w:tc>
          <w:tcPr>
            <w:tcW w:w="500" w:type="dxa"/>
            <w:tcBorders>
              <w:top w:val="nil"/>
              <w:left w:val="nil"/>
              <w:bottom w:val="single" w:sz="10" w:space="0" w:color="000000"/>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0%</w:t>
            </w:r>
          </w:p>
        </w:tc>
      </w:tr>
      <w:tr w:rsidR="007617AD">
        <w:trPr>
          <w:trHeight w:val="269"/>
        </w:trPr>
        <w:tc>
          <w:tcPr>
            <w:tcW w:w="2720"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3182" w:type="dxa"/>
            <w:tcBorders>
              <w:top w:val="single" w:sz="10" w:space="0" w:color="000000"/>
              <w:left w:val="single" w:sz="10" w:space="0" w:color="000000"/>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b/>
                <w:sz w:val="19"/>
              </w:rPr>
              <w:t>Subtotal costes variables</w:t>
            </w:r>
          </w:p>
        </w:tc>
        <w:tc>
          <w:tcPr>
            <w:tcW w:w="1078"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311.087,18 €</w:t>
            </w:r>
          </w:p>
        </w:tc>
        <w:tc>
          <w:tcPr>
            <w:tcW w:w="769"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0,75 </w:t>
            </w:r>
          </w:p>
        </w:tc>
        <w:tc>
          <w:tcPr>
            <w:tcW w:w="500" w:type="dxa"/>
            <w:tcBorders>
              <w:top w:val="single" w:sz="10" w:space="0" w:color="000000"/>
              <w:left w:val="nil"/>
              <w:bottom w:val="single" w:sz="10" w:space="0" w:color="000000"/>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41%</w:t>
            </w:r>
          </w:p>
        </w:tc>
      </w:tr>
      <w:tr w:rsidR="007617AD">
        <w:tblPrEx>
          <w:tblCellMar>
            <w:top w:w="61" w:type="dxa"/>
            <w:right w:w="94" w:type="dxa"/>
          </w:tblCellMar>
        </w:tblPrEx>
        <w:trPr>
          <w:gridBefore w:val="1"/>
          <w:wBefore w:w="2720" w:type="dxa"/>
          <w:trHeight w:val="270"/>
        </w:trPr>
        <w:tc>
          <w:tcPr>
            <w:tcW w:w="3182" w:type="dxa"/>
            <w:tcBorders>
              <w:top w:val="single" w:sz="10" w:space="0" w:color="000000"/>
              <w:left w:val="single" w:sz="10" w:space="0" w:color="000000"/>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b/>
                <w:sz w:val="19"/>
              </w:rPr>
              <w:t>COSTES TOTALES</w:t>
            </w:r>
          </w:p>
        </w:tc>
        <w:tc>
          <w:tcPr>
            <w:tcW w:w="1847" w:type="dxa"/>
            <w:gridSpan w:val="2"/>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754.429,74 €    1,81 </w:t>
            </w:r>
          </w:p>
        </w:tc>
        <w:tc>
          <w:tcPr>
            <w:tcW w:w="500" w:type="dxa"/>
            <w:tcBorders>
              <w:top w:val="single" w:sz="10" w:space="0" w:color="000000"/>
              <w:left w:val="nil"/>
              <w:bottom w:val="single" w:sz="10" w:space="0" w:color="000000"/>
              <w:right w:val="single" w:sz="10" w:space="0" w:color="000000"/>
            </w:tcBorders>
          </w:tcPr>
          <w:p w:rsidR="007617AD" w:rsidRDefault="00EE75C8">
            <w:pPr>
              <w:spacing w:after="0" w:line="259" w:lineRule="auto"/>
              <w:ind w:left="0" w:firstLine="0"/>
            </w:pPr>
            <w:r>
              <w:rPr>
                <w:rFonts w:ascii="Calibri" w:eastAsia="Calibri" w:hAnsi="Calibri" w:cs="Calibri"/>
                <w:sz w:val="19"/>
              </w:rPr>
              <w:t>100%</w:t>
            </w:r>
          </w:p>
        </w:tc>
      </w:tr>
    </w:tbl>
    <w:p w:rsidR="007617AD" w:rsidRDefault="00EE75C8">
      <w:pPr>
        <w:numPr>
          <w:ilvl w:val="0"/>
          <w:numId w:val="36"/>
        </w:numPr>
        <w:spacing w:after="41" w:line="259" w:lineRule="auto"/>
        <w:ind w:right="366" w:hanging="217"/>
        <w:jc w:val="left"/>
      </w:pPr>
      <w:r>
        <w:rPr>
          <w:rFonts w:ascii="Calibri" w:eastAsia="Calibri" w:hAnsi="Calibri" w:cs="Calibri"/>
          <w:sz w:val="15"/>
        </w:rPr>
        <w:t>5% sobre gastos fijos y variables a excepción de las Inversiones</w:t>
      </w:r>
    </w:p>
    <w:p w:rsidR="007617AD" w:rsidRDefault="00EE75C8">
      <w:pPr>
        <w:numPr>
          <w:ilvl w:val="0"/>
          <w:numId w:val="36"/>
        </w:numPr>
        <w:spacing w:after="95" w:line="259" w:lineRule="auto"/>
        <w:ind w:right="366" w:hanging="217"/>
        <w:jc w:val="left"/>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99312" name="Group 29931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8380" name="Rectangle 1838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8381" name="Rectangle 18381"/>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87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99312" style="width:12.7031pt;height:280.02pt;position:absolute;mso-position-horizontal-relative:page;mso-position-horizontal:absolute;margin-left:682.278pt;mso-position-vertical-relative:page;margin-top:531.9pt;" coordsize="1613,35562">
                <v:rect id="Rectangle 1838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8381"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192 </w:t>
                        </w:r>
                      </w:p>
                    </w:txbxContent>
                  </v:textbox>
                </v:rect>
                <w10:wrap type="square"/>
              </v:group>
            </w:pict>
          </mc:Fallback>
        </mc:AlternateContent>
      </w:r>
      <w:r>
        <w:rPr>
          <w:rFonts w:ascii="Calibri" w:eastAsia="Calibri" w:hAnsi="Calibri" w:cs="Calibri"/>
          <w:sz w:val="15"/>
        </w:rPr>
        <w:t>10% sobre gastos fijos y variables a excepción de los gastos d</w:t>
      </w:r>
      <w:r>
        <w:rPr>
          <w:rFonts w:ascii="Calibri" w:eastAsia="Calibri" w:hAnsi="Calibri" w:cs="Calibri"/>
          <w:sz w:val="15"/>
        </w:rPr>
        <w:t>e gestión y control</w:t>
      </w:r>
    </w:p>
    <w:p w:rsidR="007617AD" w:rsidRDefault="00EE75C8">
      <w:pPr>
        <w:numPr>
          <w:ilvl w:val="0"/>
          <w:numId w:val="36"/>
        </w:numPr>
        <w:spacing w:after="168" w:line="259" w:lineRule="auto"/>
        <w:ind w:right="366" w:hanging="217"/>
        <w:jc w:val="left"/>
      </w:pPr>
      <w:r>
        <w:rPr>
          <w:rFonts w:ascii="Calibri" w:eastAsia="Calibri" w:hAnsi="Calibri" w:cs="Calibri"/>
          <w:sz w:val="15"/>
        </w:rPr>
        <w:t>Realización de los Programas de Vigilancia y Control ambiental.</w:t>
      </w:r>
      <w:r>
        <w:rPr>
          <w:rFonts w:ascii="Calibri" w:eastAsia="Calibri" w:hAnsi="Calibri" w:cs="Calibri"/>
          <w:sz w:val="15"/>
        </w:rPr>
        <w:tab/>
      </w:r>
      <w:r>
        <w:rPr>
          <w:rFonts w:ascii="Times New Roman" w:eastAsia="Times New Roman" w:hAnsi="Times New Roman" w:cs="Times New Roman"/>
          <w:sz w:val="24"/>
        </w:rPr>
        <w:t xml:space="preserve"> </w:t>
      </w:r>
    </w:p>
    <w:p w:rsidR="007617AD" w:rsidRDefault="00EE75C8">
      <w:pPr>
        <w:spacing w:after="0"/>
        <w:ind w:left="703" w:right="62"/>
      </w:pPr>
      <w:r>
        <w:t>Estos costes son estimativos y podrían verse alterados a la baja o al alza en función de varias variables como los costes de la energía eléctrica o los costes de operación y mantenimiento que resulten de los procesos de licitación de los diversos contratos</w:t>
      </w:r>
      <w:r>
        <w:t xml:space="preserve"> asociados o como pudiera ser los cambios normativos en materia de depuración y control de vertidos. </w:t>
      </w:r>
    </w:p>
    <w:p w:rsidR="007617AD" w:rsidRDefault="00EE75C8">
      <w:pPr>
        <w:spacing w:after="0" w:line="259" w:lineRule="auto"/>
        <w:ind w:left="699" w:firstLine="0"/>
        <w:jc w:val="center"/>
      </w:pPr>
      <w:r>
        <w:t xml:space="preserve"> </w:t>
      </w:r>
    </w:p>
    <w:p w:rsidR="007617AD" w:rsidRDefault="00EE75C8">
      <w:pPr>
        <w:spacing w:after="91"/>
        <w:ind w:left="703" w:right="58"/>
      </w:pPr>
      <w:r>
        <w:rPr>
          <w:b/>
        </w:rPr>
        <w:t xml:space="preserve">OCTAVO. - REPARTO DE COSTES FIJOS. </w:t>
      </w:r>
      <w:r>
        <w:rPr>
          <w:rFonts w:ascii="Times New Roman" w:eastAsia="Times New Roman" w:hAnsi="Times New Roman" w:cs="Times New Roman"/>
          <w:sz w:val="24"/>
        </w:rPr>
        <w:t xml:space="preserve"> </w:t>
      </w:r>
    </w:p>
    <w:p w:rsidR="007617AD" w:rsidRDefault="00EE75C8">
      <w:pPr>
        <w:ind w:left="703" w:right="62"/>
      </w:pPr>
      <w:r>
        <w:t xml:space="preserve">En virtud de lo establecido en el expositivo séptimo, el reparto de los costes fijos se realizará en función de la </w:t>
      </w:r>
      <w:r>
        <w:t xml:space="preserve">cuota de participación de cada Ayuntamiento en los costes fijos bajo la premisa de </w:t>
      </w:r>
      <w:r>
        <w:rPr>
          <w:u w:val="single" w:color="000000"/>
        </w:rPr>
        <w:t>proporcionalidad entre la cuota de tratamiento asignada por municipio y los costes fijos de cada</w:t>
      </w:r>
      <w:r>
        <w:t xml:space="preserve"> </w:t>
      </w:r>
      <w:r>
        <w:rPr>
          <w:u w:val="single" w:color="000000"/>
        </w:rPr>
        <w:t>una de las instalaciones.</w:t>
      </w:r>
      <w:r>
        <w:rPr>
          <w:rFonts w:ascii="Times New Roman" w:eastAsia="Times New Roman" w:hAnsi="Times New Roman" w:cs="Times New Roman"/>
          <w:sz w:val="24"/>
        </w:rPr>
        <w:t xml:space="preserve"> </w:t>
      </w:r>
    </w:p>
    <w:p w:rsidR="007617AD" w:rsidRDefault="00EE75C8">
      <w:pPr>
        <w:numPr>
          <w:ilvl w:val="0"/>
          <w:numId w:val="37"/>
        </w:numPr>
        <w:spacing w:after="111" w:line="249" w:lineRule="auto"/>
        <w:ind w:hanging="360"/>
        <w:jc w:val="left"/>
      </w:pPr>
      <w:r>
        <w:rPr>
          <w:u w:val="single" w:color="000000"/>
        </w:rPr>
        <w:t>Servicio de depuración de aguas residuales urbana</w:t>
      </w:r>
      <w:r>
        <w:rPr>
          <w:u w:val="single" w:color="000000"/>
        </w:rPr>
        <w:t>s</w:t>
      </w:r>
      <w:r>
        <w:t xml:space="preserve"> </w:t>
      </w:r>
    </w:p>
    <w:p w:rsidR="007617AD" w:rsidRDefault="00EE75C8">
      <w:pPr>
        <w:spacing w:after="27" w:line="259" w:lineRule="auto"/>
        <w:ind w:left="690" w:firstLine="0"/>
        <w:jc w:val="center"/>
      </w:pPr>
      <w:r>
        <w:rPr>
          <w:noProof/>
        </w:rPr>
        <w:drawing>
          <wp:inline distT="0" distB="0" distL="0" distR="0">
            <wp:extent cx="2281428" cy="1030224"/>
            <wp:effectExtent l="0" t="0" r="0" b="0"/>
            <wp:docPr id="18377" name="Picture 18377"/>
            <wp:cNvGraphicFramePr/>
            <a:graphic xmlns:a="http://schemas.openxmlformats.org/drawingml/2006/main">
              <a:graphicData uri="http://schemas.openxmlformats.org/drawingml/2006/picture">
                <pic:pic xmlns:pic="http://schemas.openxmlformats.org/drawingml/2006/picture">
                  <pic:nvPicPr>
                    <pic:cNvPr id="18377" name="Picture 18377"/>
                    <pic:cNvPicPr/>
                  </pic:nvPicPr>
                  <pic:blipFill>
                    <a:blip r:embed="rId14"/>
                    <a:stretch>
                      <a:fillRect/>
                    </a:stretch>
                  </pic:blipFill>
                  <pic:spPr>
                    <a:xfrm>
                      <a:off x="0" y="0"/>
                      <a:ext cx="2281428" cy="1030224"/>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numPr>
          <w:ilvl w:val="0"/>
          <w:numId w:val="37"/>
        </w:numPr>
        <w:spacing w:after="111" w:line="249" w:lineRule="auto"/>
        <w:ind w:hanging="360"/>
        <w:jc w:val="left"/>
      </w:pPr>
      <w:r>
        <w:rPr>
          <w:u w:val="single" w:color="000000"/>
        </w:rPr>
        <w:t>Servicio de depuración de aguas residuales industriales</w:t>
      </w:r>
      <w:r>
        <w:t xml:space="preserve"> </w:t>
      </w:r>
    </w:p>
    <w:p w:rsidR="007617AD" w:rsidRDefault="00EE75C8">
      <w:pPr>
        <w:spacing w:after="43" w:line="259" w:lineRule="auto"/>
        <w:ind w:left="693" w:firstLine="0"/>
        <w:jc w:val="center"/>
      </w:pPr>
      <w:r>
        <w:rPr>
          <w:noProof/>
        </w:rPr>
        <w:drawing>
          <wp:inline distT="0" distB="0" distL="0" distR="0">
            <wp:extent cx="2304288" cy="883920"/>
            <wp:effectExtent l="0" t="0" r="0" b="0"/>
            <wp:docPr id="18584" name="Picture 18584"/>
            <wp:cNvGraphicFramePr/>
            <a:graphic xmlns:a="http://schemas.openxmlformats.org/drawingml/2006/main">
              <a:graphicData uri="http://schemas.openxmlformats.org/drawingml/2006/picture">
                <pic:pic xmlns:pic="http://schemas.openxmlformats.org/drawingml/2006/picture">
                  <pic:nvPicPr>
                    <pic:cNvPr id="18584" name="Picture 18584"/>
                    <pic:cNvPicPr/>
                  </pic:nvPicPr>
                  <pic:blipFill>
                    <a:blip r:embed="rId15"/>
                    <a:stretch>
                      <a:fillRect/>
                    </a:stretch>
                  </pic:blipFill>
                  <pic:spPr>
                    <a:xfrm>
                      <a:off x="0" y="0"/>
                      <a:ext cx="2304288" cy="883920"/>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ind w:left="703" w:right="62"/>
      </w:pPr>
      <w:r>
        <w:t xml:space="preserve">A tal efecto, de conformidad con lo expuesto, las partes acuerdan suscribir el presente convenio sobre la base de las siguientes: </w:t>
      </w:r>
    </w:p>
    <w:p w:rsidR="007617AD" w:rsidRDefault="00EE75C8">
      <w:pPr>
        <w:spacing w:after="0" w:line="259" w:lineRule="auto"/>
        <w:ind w:left="708" w:firstLine="0"/>
        <w:jc w:val="left"/>
      </w:pPr>
      <w:r>
        <w:rPr>
          <w:b/>
        </w:rPr>
        <w:t xml:space="preserve"> </w:t>
      </w:r>
    </w:p>
    <w:p w:rsidR="007617AD" w:rsidRDefault="00EE75C8">
      <w:pPr>
        <w:pStyle w:val="Ttulo3"/>
        <w:spacing w:after="215"/>
        <w:ind w:left="643"/>
        <w:jc w:val="center"/>
      </w:pPr>
      <w:r>
        <w:rPr>
          <w:rFonts w:ascii="Arial" w:eastAsia="Arial" w:hAnsi="Arial" w:cs="Arial"/>
          <w:sz w:val="22"/>
          <w:u w:val="single" w:color="000000"/>
        </w:rPr>
        <w:t>CLÁUSULAS</w:t>
      </w:r>
      <w:r>
        <w:rPr>
          <w:rFonts w:ascii="Arial" w:eastAsia="Arial" w:hAnsi="Arial" w:cs="Arial"/>
          <w:sz w:val="22"/>
        </w:rPr>
        <w:t xml:space="preserve"> </w:t>
      </w:r>
    </w:p>
    <w:p w:rsidR="007617AD" w:rsidRDefault="00EE75C8">
      <w:pPr>
        <w:spacing w:after="234"/>
        <w:ind w:left="703" w:right="58"/>
      </w:pPr>
      <w:r>
        <w:rPr>
          <w:b/>
        </w:rPr>
        <w:t xml:space="preserve">PRIMERA. - OBJETO DEL CONVENIO. </w:t>
      </w:r>
    </w:p>
    <w:p w:rsidR="007617AD" w:rsidRDefault="00EE75C8">
      <w:pPr>
        <w:ind w:left="703" w:right="62"/>
      </w:pPr>
      <w:r>
        <w:t>Es objeto del presente Convenio establecer las bases de colaboración entre el Consejo Insular de Aguas de Tenerife (CIATF) y los Ayuntamientos de Candelaria, Arafo y Güímar, para la gestión conjunta por el CIATF de las infraestructuras de depuración y vert</w:t>
      </w:r>
      <w:r>
        <w:t xml:space="preserve">ido integradas en los Sistemas Territoriales de Saneamiento del Valle de Güímar y del Polígono Industrial del Valle de Güímar, que se identifican a continuación, con el fin de garantizar el servicio público de depuración y tratamiento de aguas residuales, </w:t>
      </w:r>
      <w:r>
        <w:t>de origen urbano e industrial, procedentes de los núcleos de población identificados en la presente cláusula, y cumplir con las obligaciones medioambientales y de calidad del agua residual, dimanantes de la Directiva 271/91, del RD Ley 11/95 que la traspon</w:t>
      </w:r>
      <w:r>
        <w:t xml:space="preserve">e a nuestro ordenamiento jurídico y del Real Decreto 509/1996 que lo desarrolla: </w:t>
      </w:r>
    </w:p>
    <w:p w:rsidR="007617AD" w:rsidRDefault="00EE75C8">
      <w:pPr>
        <w:numPr>
          <w:ilvl w:val="0"/>
          <w:numId w:val="38"/>
        </w:numPr>
        <w:spacing w:after="91"/>
        <w:ind w:right="62" w:hanging="360"/>
      </w:pPr>
      <w:r>
        <w:t xml:space="preserve">EDARU:  Estación Depuradora de Aguas Residuales Urbanas. </w:t>
      </w:r>
    </w:p>
    <w:p w:rsidR="007617AD" w:rsidRDefault="00EE75C8">
      <w:pPr>
        <w:numPr>
          <w:ilvl w:val="0"/>
          <w:numId w:val="38"/>
        </w:numPr>
        <w:spacing w:after="91"/>
        <w:ind w:right="62" w:hanging="360"/>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6506" name="Group 26650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8587" name="Rectangle 1858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8588" name="Rectangle 18588"/>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w:t>
                              </w:r>
                              <w:r>
                                <w:rPr>
                                  <w:sz w:val="12"/>
                                </w:rPr>
                                <w:t xml:space="preserve">mado electrónicamente desde la plataforma esPublico Gestiona | Página 88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6506" style="width:12.7031pt;height:280.02pt;position:absolute;mso-position-horizontal-relative:page;mso-position-horizontal:absolute;margin-left:682.278pt;mso-position-vertical-relative:page;margin-top:531.9pt;" coordsize="1613,35562">
                <v:rect id="Rectangle 1858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8588"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192 </w:t>
                        </w:r>
                      </w:p>
                    </w:txbxContent>
                  </v:textbox>
                </v:rect>
                <w10:wrap type="square"/>
              </v:group>
            </w:pict>
          </mc:Fallback>
        </mc:AlternateContent>
      </w:r>
      <w:r>
        <w:t xml:space="preserve">EDARI: Estación Depuradora de Aguas Residuales Industriales. </w:t>
      </w:r>
    </w:p>
    <w:p w:rsidR="007617AD" w:rsidRDefault="00EE75C8">
      <w:pPr>
        <w:numPr>
          <w:ilvl w:val="0"/>
          <w:numId w:val="38"/>
        </w:numPr>
        <w:ind w:right="62" w:hanging="360"/>
      </w:pPr>
      <w:r>
        <w:t xml:space="preserve">Emisario terrestre y emisario submarino del Valle de Güímar. </w:t>
      </w:r>
    </w:p>
    <w:p w:rsidR="007617AD" w:rsidRDefault="00EE75C8">
      <w:pPr>
        <w:numPr>
          <w:ilvl w:val="0"/>
          <w:numId w:val="38"/>
        </w:numPr>
        <w:spacing w:after="93"/>
        <w:ind w:right="62" w:hanging="360"/>
      </w:pPr>
      <w:r>
        <w:t xml:space="preserve">Estaciones de Bombeo, colectores y conducciones de </w:t>
      </w:r>
      <w:r>
        <w:t>transporte de carácter supramunicipal que se determinen por la Comisión de Seguimiento durante la vigencia del convenio, cuya inclusión requerirá la modificación del convenio que deberá plasmarse en la correspondiente Adenda.</w:t>
      </w:r>
      <w:r>
        <w:rPr>
          <w:rFonts w:ascii="Times New Roman" w:eastAsia="Times New Roman" w:hAnsi="Times New Roman" w:cs="Times New Roman"/>
          <w:sz w:val="24"/>
        </w:rPr>
        <w:t xml:space="preserve"> </w:t>
      </w:r>
    </w:p>
    <w:p w:rsidR="007617AD" w:rsidRDefault="00EE75C8">
      <w:pPr>
        <w:ind w:left="703" w:right="62"/>
      </w:pPr>
      <w:r>
        <w:t>Sin perjuicio de lo anterior,</w:t>
      </w:r>
      <w:r>
        <w:t xml:space="preserve"> previa conformidad de las partes, se podrá ampliar el objeto del presente convenio extendiéndolo a otras infraestructuras necesarias para la depuración y vertido de las aguas residuales generadas en el marco del presente Sistema Territorial, modificación </w:t>
      </w:r>
      <w:r>
        <w:t xml:space="preserve">que deberá plasmarse en la correspondiente Adenda en la que se describirán las nuevas infraestructuras que se añadan. </w:t>
      </w:r>
    </w:p>
    <w:p w:rsidR="007617AD" w:rsidRDefault="00EE75C8">
      <w:pPr>
        <w:spacing w:after="203"/>
        <w:ind w:left="703" w:right="62"/>
      </w:pPr>
      <w:r>
        <w:t>A los efectos de lo señalado anteriormente, a continuación, se relacionan los núcleos de población incluidos en el ámbito del presente co</w:t>
      </w:r>
      <w:r>
        <w:t xml:space="preserve">nvenio (Anexo X del vigente PHDHT): </w:t>
      </w:r>
    </w:p>
    <w:p w:rsidR="007617AD" w:rsidRDefault="00EE75C8">
      <w:pPr>
        <w:numPr>
          <w:ilvl w:val="0"/>
          <w:numId w:val="44"/>
        </w:numPr>
        <w:spacing w:after="144"/>
        <w:ind w:right="62" w:hanging="360"/>
      </w:pPr>
      <w:r>
        <w:t xml:space="preserve">Arafo-Güímar </w:t>
      </w:r>
      <w:r>
        <w:tab/>
        <w:t xml:space="preserve">Norte-Polígono </w:t>
      </w:r>
      <w:r>
        <w:tab/>
        <w:t xml:space="preserve">Industrial </w:t>
      </w:r>
      <w:r>
        <w:tab/>
        <w:t xml:space="preserve">(Nº </w:t>
      </w:r>
      <w:r>
        <w:tab/>
        <w:t xml:space="preserve">identificativo </w:t>
      </w:r>
      <w:r>
        <w:tab/>
        <w:t xml:space="preserve">de </w:t>
      </w:r>
      <w:r>
        <w:tab/>
        <w:t xml:space="preserve">la </w:t>
      </w:r>
      <w:r>
        <w:tab/>
        <w:t>aglomeración ES5380040130834)</w:t>
      </w:r>
      <w:r>
        <w:rPr>
          <w:rFonts w:ascii="Times New Roman" w:eastAsia="Times New Roman" w:hAnsi="Times New Roman" w:cs="Times New Roman"/>
          <w:sz w:val="24"/>
        </w:rPr>
        <w:t xml:space="preserve"> </w:t>
      </w:r>
    </w:p>
    <w:p w:rsidR="007617AD" w:rsidRDefault="00EE75C8">
      <w:pPr>
        <w:numPr>
          <w:ilvl w:val="0"/>
          <w:numId w:val="44"/>
        </w:numPr>
        <w:ind w:right="62" w:hanging="360"/>
      </w:pPr>
      <w:r>
        <w:t>Güímar Sur-Puertito (Nº identificativo de la aglomeración ES5380200130835)</w:t>
      </w:r>
      <w:r>
        <w:rPr>
          <w:rFonts w:ascii="Times New Roman" w:eastAsia="Times New Roman" w:hAnsi="Times New Roman" w:cs="Times New Roman"/>
          <w:sz w:val="24"/>
        </w:rPr>
        <w:t xml:space="preserve"> </w:t>
      </w:r>
    </w:p>
    <w:p w:rsidR="007617AD" w:rsidRDefault="00EE75C8">
      <w:pPr>
        <w:numPr>
          <w:ilvl w:val="0"/>
          <w:numId w:val="44"/>
        </w:numPr>
        <w:ind w:right="62" w:hanging="360"/>
      </w:pPr>
      <w:r>
        <w:t xml:space="preserve">Candelaria - </w:t>
      </w:r>
      <w:r>
        <w:t>Caletillas (Nº identificativo de la aglomeración ES5380110130831)</w:t>
      </w:r>
      <w:r>
        <w:rPr>
          <w:rFonts w:ascii="Times New Roman" w:eastAsia="Times New Roman" w:hAnsi="Times New Roman" w:cs="Times New Roman"/>
          <w:sz w:val="24"/>
        </w:rPr>
        <w:t xml:space="preserve"> </w:t>
      </w:r>
    </w:p>
    <w:p w:rsidR="007617AD" w:rsidRDefault="00EE75C8">
      <w:pPr>
        <w:numPr>
          <w:ilvl w:val="0"/>
          <w:numId w:val="44"/>
        </w:numPr>
        <w:ind w:right="62" w:hanging="360"/>
      </w:pPr>
      <w:r>
        <w:t>Candelaria - Casco (Nº identificativo de la aglomeración ES5380110130832)</w:t>
      </w:r>
      <w:r>
        <w:rPr>
          <w:rFonts w:ascii="Times New Roman" w:eastAsia="Times New Roman" w:hAnsi="Times New Roman" w:cs="Times New Roman"/>
          <w:sz w:val="24"/>
        </w:rPr>
        <w:t xml:space="preserve"> </w:t>
      </w:r>
    </w:p>
    <w:p w:rsidR="007617AD" w:rsidRDefault="00EE75C8">
      <w:pPr>
        <w:numPr>
          <w:ilvl w:val="0"/>
          <w:numId w:val="44"/>
        </w:numPr>
        <w:ind w:right="62" w:hanging="360"/>
      </w:pPr>
      <w:r>
        <w:t>Candelaria - Punta Larga (Nº identificativo de la aglomeración ES5380110130833)</w:t>
      </w:r>
      <w:r>
        <w:rPr>
          <w:rFonts w:ascii="Times New Roman" w:eastAsia="Times New Roman" w:hAnsi="Times New Roman" w:cs="Times New Roman"/>
          <w:sz w:val="24"/>
        </w:rPr>
        <w:t xml:space="preserve"> </w:t>
      </w:r>
    </w:p>
    <w:p w:rsidR="007617AD" w:rsidRDefault="00EE75C8">
      <w:pPr>
        <w:numPr>
          <w:ilvl w:val="0"/>
          <w:numId w:val="44"/>
        </w:numPr>
        <w:spacing w:after="213"/>
        <w:ind w:right="62" w:hanging="360"/>
      </w:pPr>
      <w:r>
        <w:t>Barranco Hondo en el T.M de Cande</w:t>
      </w:r>
      <w:r>
        <w:t>laria con Nº identificativo de la aglomeración ES5380110130725)</w:t>
      </w:r>
      <w:r>
        <w:rPr>
          <w:rFonts w:ascii="Times New Roman" w:eastAsia="Times New Roman" w:hAnsi="Times New Roman" w:cs="Times New Roman"/>
          <w:sz w:val="24"/>
        </w:rPr>
        <w:t xml:space="preserve"> </w:t>
      </w:r>
    </w:p>
    <w:p w:rsidR="007617AD" w:rsidRDefault="00EE75C8">
      <w:pPr>
        <w:ind w:left="642" w:right="58"/>
      </w:pPr>
      <w:r>
        <w:rPr>
          <w:b/>
        </w:rPr>
        <w:t xml:space="preserve">SEGUNDA. -  OBLIGACIONES DEL CONSEJO INSULAR DE AGUAS DE TENERIFE. </w:t>
      </w:r>
    </w:p>
    <w:p w:rsidR="007617AD" w:rsidRDefault="00EE75C8">
      <w:pPr>
        <w:spacing w:after="137"/>
        <w:ind w:left="703" w:right="58"/>
      </w:pPr>
      <w:r>
        <w:rPr>
          <w:b/>
        </w:rPr>
        <w:t>El Consejo Insular de Aguas de Tenerife (CIATF) se compromete a gestionar, en colaboración con los Ayuntamientos de Candela</w:t>
      </w:r>
      <w:r>
        <w:rPr>
          <w:b/>
        </w:rPr>
        <w:t xml:space="preserve">ria, Arafo y Güímar, las infraestructuras identificadas en la cláusula primera integradas en los Sistemas Territoriales de depuración, regeneración y vertido del Valle de Güimar y Polígono Industrial de Güímar, y en los términos siguientes: </w:t>
      </w:r>
    </w:p>
    <w:p w:rsidR="007617AD" w:rsidRDefault="00EE75C8">
      <w:pPr>
        <w:numPr>
          <w:ilvl w:val="0"/>
          <w:numId w:val="39"/>
        </w:numPr>
        <w:spacing w:after="134"/>
        <w:ind w:right="62" w:hanging="360"/>
      </w:pPr>
      <w:r>
        <w:t>La forma de ge</w:t>
      </w:r>
      <w:r>
        <w:t>stión podrá ser, total o parcialmente, cualquiera de las previstas en la legislación vigente (por sus propios medios; celebrando contratos de servicios, suministros y obras; mediante órgano especial, convenio con otras administraciones, encomienda a medios</w:t>
      </w:r>
      <w:r>
        <w:t xml:space="preserve"> propios; etc.) </w:t>
      </w:r>
    </w:p>
    <w:p w:rsidR="007617AD" w:rsidRDefault="00EE75C8">
      <w:pPr>
        <w:numPr>
          <w:ilvl w:val="0"/>
          <w:numId w:val="39"/>
        </w:numPr>
        <w:spacing w:after="137"/>
        <w:ind w:right="62" w:hanging="360"/>
      </w:pPr>
      <w:r>
        <w:t xml:space="preserve">Todos los costes generados por el sistema, incluso gestión, control, mantenimiento, consumos, reposiciones e inversiones complementarias, serán sufragados por los perceptores.  </w:t>
      </w:r>
    </w:p>
    <w:p w:rsidR="007617AD" w:rsidRDefault="00EE75C8">
      <w:pPr>
        <w:numPr>
          <w:ilvl w:val="0"/>
          <w:numId w:val="39"/>
        </w:numPr>
        <w:spacing w:after="134"/>
        <w:ind w:right="62" w:hanging="360"/>
      </w:pPr>
      <w:r>
        <w:t>Los contratos de suministros, servicios, asistencias técnicas</w:t>
      </w:r>
      <w:r>
        <w:t xml:space="preserve"> y obras e inversiones complementarias que celebre el CIATF en relación con la gestión de este sistema y tengan repercusión en sus costes, se someterán previamente a la Comisión de Seguimiento, en los términos previstos en la estipulación sexta. </w:t>
      </w:r>
    </w:p>
    <w:p w:rsidR="007617AD" w:rsidRDefault="00EE75C8">
      <w:pPr>
        <w:numPr>
          <w:ilvl w:val="0"/>
          <w:numId w:val="39"/>
        </w:numPr>
        <w:spacing w:after="149"/>
        <w:ind w:right="62" w:hanging="360"/>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6657" name="Group 26665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8715" name="Rectangle 1871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8716" name="Rectangle 18716"/>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89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6657" style="width:12.7031pt;height:280.02pt;position:absolute;mso-position-horizontal-relative:page;mso-position-horizontal:absolute;margin-left:682.278pt;mso-position-vertical-relative:page;margin-top:531.9pt;" coordsize="1613,35562">
                <v:rect id="Rectangle 1871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8716"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192 </w:t>
                        </w:r>
                      </w:p>
                    </w:txbxContent>
                  </v:textbox>
                </v:rect>
                <w10:wrap type="square"/>
              </v:group>
            </w:pict>
          </mc:Fallback>
        </mc:AlternateContent>
      </w:r>
      <w:r>
        <w:t>A través de sus servicios técnicos y los mecanismos de control</w:t>
      </w:r>
      <w:r>
        <w:t xml:space="preserve"> que resulten más procedentes el CIATF procurará en todo momento garantizar que no se produzcan efectos medioambientales o sanitarios inadmisibles a tenor de la normativa vigente que sea de aplicación.  </w:t>
      </w:r>
    </w:p>
    <w:p w:rsidR="007617AD" w:rsidRDefault="00EE75C8">
      <w:pPr>
        <w:numPr>
          <w:ilvl w:val="0"/>
          <w:numId w:val="39"/>
        </w:numPr>
        <w:spacing w:after="5"/>
        <w:ind w:right="62" w:hanging="360"/>
      </w:pPr>
      <w:r>
        <w:t>El efluente regenerado procedente de la Estación Dep</w:t>
      </w:r>
      <w:r>
        <w:t>uradora de Aguas Residuales Urbanas (EDARu) se entregará en su totalidad a la Entidad Pública Empresarial Local Balsas de Tenerife (BALTEN) para su destino al servicio público de suministro de agua para riego gestionado por dicha entidad. Ello sin perjuici</w:t>
      </w:r>
      <w:r>
        <w:t>o de que por parte de esta EPEL, conforme al acuerdo que se formalice con los Ayuntamientos, se entreguen</w:t>
      </w:r>
      <w:r>
        <w:rPr>
          <w:i/>
        </w:rPr>
        <w:t xml:space="preserve"> </w:t>
      </w:r>
      <w:r>
        <w:t>los caudales disponibles con destino a los usos y servicios urbanos de aguas regeneradas, cuyo reparto por municipio se realizará de acuerdo a los caudales aportados.</w:t>
      </w:r>
      <w:r>
        <w:rPr>
          <w:rFonts w:ascii="Times New Roman" w:eastAsia="Times New Roman" w:hAnsi="Times New Roman" w:cs="Times New Roman"/>
          <w:sz w:val="24"/>
        </w:rPr>
        <w:t xml:space="preserve"> </w:t>
      </w:r>
    </w:p>
    <w:p w:rsidR="007617AD" w:rsidRDefault="00EE75C8">
      <w:pPr>
        <w:spacing w:after="12" w:line="259" w:lineRule="auto"/>
        <w:ind w:left="1068" w:firstLine="0"/>
        <w:jc w:val="left"/>
      </w:pPr>
      <w:r>
        <w:rPr>
          <w:rFonts w:ascii="Times New Roman" w:eastAsia="Times New Roman" w:hAnsi="Times New Roman" w:cs="Times New Roman"/>
          <w:sz w:val="24"/>
        </w:rPr>
        <w:t xml:space="preserve"> </w:t>
      </w:r>
    </w:p>
    <w:p w:rsidR="007617AD" w:rsidRDefault="00EE75C8">
      <w:pPr>
        <w:numPr>
          <w:ilvl w:val="0"/>
          <w:numId w:val="39"/>
        </w:numPr>
        <w:spacing w:after="5"/>
        <w:ind w:right="62" w:hanging="360"/>
      </w:pPr>
      <w:r>
        <w:t>Salvo acuerdo expreso y unánime en contrario, la recepción de las aguas residuales bru</w:t>
      </w:r>
      <w:r>
        <w:t xml:space="preserve">tas de </w:t>
      </w:r>
      <w:r>
        <w:rPr>
          <w:u w:val="single" w:color="000000"/>
        </w:rPr>
        <w:t>origen urbano</w:t>
      </w:r>
      <w:r>
        <w:t xml:space="preserve"> se efectuará en los puntos determinados en el plano del anexo I, así como en los nuevos puntos o estaciones de bombeo por desarrollar, que sean determinados previa conformidad de las partes, y que deberán plasmarse en la correspondient</w:t>
      </w:r>
      <w:r>
        <w:t xml:space="preserve">e Adenda, en la que se detallarán las infraestructuras. </w:t>
      </w:r>
      <w:r>
        <w:rPr>
          <w:rFonts w:ascii="Times New Roman" w:eastAsia="Times New Roman" w:hAnsi="Times New Roman" w:cs="Times New Roman"/>
          <w:sz w:val="24"/>
        </w:rPr>
        <w:t xml:space="preserve"> </w:t>
      </w:r>
    </w:p>
    <w:p w:rsidR="007617AD" w:rsidRDefault="00EE75C8">
      <w:pPr>
        <w:spacing w:after="0" w:line="259" w:lineRule="auto"/>
        <w:ind w:left="1428" w:firstLine="0"/>
        <w:jc w:val="left"/>
      </w:pPr>
      <w:r>
        <w:rPr>
          <w:rFonts w:ascii="Times New Roman" w:eastAsia="Times New Roman" w:hAnsi="Times New Roman" w:cs="Times New Roman"/>
          <w:sz w:val="24"/>
        </w:rPr>
        <w:t xml:space="preserve"> </w:t>
      </w:r>
    </w:p>
    <w:p w:rsidR="007617AD" w:rsidRDefault="00EE75C8">
      <w:pPr>
        <w:numPr>
          <w:ilvl w:val="0"/>
          <w:numId w:val="39"/>
        </w:numPr>
        <w:spacing w:after="7"/>
        <w:ind w:right="62" w:hanging="360"/>
      </w:pPr>
      <w:r>
        <w:t xml:space="preserve">Salvo acuerdo expreso y unánime en contrario, la recepción de las aguas residuales brutas de </w:t>
      </w:r>
      <w:r>
        <w:rPr>
          <w:u w:val="single" w:color="000000"/>
        </w:rPr>
        <w:t>origen industrial</w:t>
      </w:r>
      <w:r>
        <w:t xml:space="preserve"> se efectuará en los puntos determinados en el plano del anexo II, así como en los nue</w:t>
      </w:r>
      <w:r>
        <w:t>vos puntos por desarrollar, que sean determinados previa conformidad de las partes, y que deberán plasmarse en la correspondiente Adenda, en la que se detallarán las infraestructuras. A tal efecto el volumen de caudal que corresponda a cada Ayuntamiento, v</w:t>
      </w:r>
      <w:r>
        <w:t xml:space="preserve">endrá determinado por las lecturas de los caudalímetros a implantar. Transitoriamente, hasta la instalación de estos caudalímetros, los volúmenes serán estimados por el CIATF de acuerdo con los Ayuntamientos. </w:t>
      </w:r>
      <w:r>
        <w:rPr>
          <w:rFonts w:ascii="Times New Roman" w:eastAsia="Times New Roman" w:hAnsi="Times New Roman" w:cs="Times New Roman"/>
          <w:sz w:val="24"/>
        </w:rPr>
        <w:t xml:space="preserve"> </w:t>
      </w:r>
    </w:p>
    <w:p w:rsidR="007617AD" w:rsidRDefault="00EE75C8">
      <w:pPr>
        <w:spacing w:after="0" w:line="259" w:lineRule="auto"/>
        <w:ind w:left="1428" w:firstLine="0"/>
        <w:jc w:val="left"/>
      </w:pPr>
      <w:r>
        <w:rPr>
          <w:rFonts w:ascii="Times New Roman" w:eastAsia="Times New Roman" w:hAnsi="Times New Roman" w:cs="Times New Roman"/>
          <w:sz w:val="24"/>
        </w:rPr>
        <w:t xml:space="preserve"> </w:t>
      </w:r>
    </w:p>
    <w:p w:rsidR="007617AD" w:rsidRDefault="00EE75C8">
      <w:pPr>
        <w:numPr>
          <w:ilvl w:val="0"/>
          <w:numId w:val="39"/>
        </w:numPr>
        <w:spacing w:after="5"/>
        <w:ind w:right="62" w:hanging="360"/>
      </w:pPr>
      <w:r>
        <w:t>El servicio de control de vertidos al Siste</w:t>
      </w:r>
      <w:r>
        <w:t>ma se incluirá entre sus costes mediante el correspondiente contrato específico que se formalizará una vez se disponga de los datos de explotación de la Estación Depuradora de Aguas Residuales Industriales (EDARi) durante el período de un año. La elaboraci</w:t>
      </w:r>
      <w:r>
        <w:t xml:space="preserve">ón de los criterios de control privilegiará la trazabilidad de los posibles incumplimientos a través de las lecturas de los sensores especializados que se dispondrán en la línea de proceso y de los diagnósticos que se operarán en las redes municipales. </w:t>
      </w:r>
      <w:r>
        <w:rPr>
          <w:rFonts w:ascii="Times New Roman" w:eastAsia="Times New Roman" w:hAnsi="Times New Roman" w:cs="Times New Roman"/>
          <w:sz w:val="24"/>
        </w:rPr>
        <w:t xml:space="preserve"> </w:t>
      </w:r>
    </w:p>
    <w:p w:rsidR="007617AD" w:rsidRDefault="00EE75C8">
      <w:pPr>
        <w:spacing w:after="0" w:line="259" w:lineRule="auto"/>
        <w:ind w:left="1428" w:firstLine="0"/>
        <w:jc w:val="left"/>
      </w:pPr>
      <w:r>
        <w:rPr>
          <w:color w:val="00B050"/>
        </w:rPr>
        <w:t xml:space="preserve"> </w:t>
      </w:r>
      <w:r>
        <w:rPr>
          <w:rFonts w:ascii="Times New Roman" w:eastAsia="Times New Roman" w:hAnsi="Times New Roman" w:cs="Times New Roman"/>
          <w:sz w:val="24"/>
        </w:rPr>
        <w:t xml:space="preserve"> </w:t>
      </w:r>
    </w:p>
    <w:p w:rsidR="007617AD" w:rsidRDefault="00EE75C8">
      <w:pPr>
        <w:numPr>
          <w:ilvl w:val="0"/>
          <w:numId w:val="39"/>
        </w:numPr>
        <w:spacing w:after="0"/>
        <w:ind w:right="62" w:hanging="360"/>
      </w:pPr>
      <w:r>
        <w:t>Una vez que cada una de las Estaciones Depuradoras sea recibida para su normal funcionamiento y entre en operación, de conformidad con las Fases temporales reguladas en la cláusula séptima, el Consejo Insular de Aguas, emitirá mensualmente a cada Ayuntam</w:t>
      </w:r>
      <w:r>
        <w:t xml:space="preserve">iento las correspondientes notas de cargo con los gastos que correspondan de cada una de las dos estaciones con el criterio siguiente: </w:t>
      </w:r>
    </w:p>
    <w:p w:rsidR="007617AD" w:rsidRDefault="00EE75C8">
      <w:pPr>
        <w:spacing w:after="29" w:line="259" w:lineRule="auto"/>
        <w:ind w:left="1560" w:firstLine="0"/>
        <w:jc w:val="left"/>
      </w:pPr>
      <w:r>
        <w:t xml:space="preserve"> </w:t>
      </w:r>
    </w:p>
    <w:p w:rsidR="007617AD" w:rsidRDefault="00EE75C8">
      <w:pPr>
        <w:numPr>
          <w:ilvl w:val="2"/>
          <w:numId w:val="40"/>
        </w:numPr>
        <w:spacing w:after="0"/>
        <w:ind w:right="62" w:hanging="139"/>
      </w:pPr>
      <w:r>
        <w:t xml:space="preserve">Los </w:t>
      </w:r>
      <w:r>
        <w:rPr>
          <w:b/>
        </w:rPr>
        <w:t>gastos fijos</w:t>
      </w:r>
      <w:r>
        <w:t xml:space="preserve"> se distribuirán teniendo en cuenta la cuota de tratamiento asignada para cada municipio. Con carácter</w:t>
      </w:r>
      <w:r>
        <w:t xml:space="preserve"> indicativo el reparto previsto es el que se determina en el expositivo octavo.</w:t>
      </w:r>
      <w:r>
        <w:rPr>
          <w:rFonts w:ascii="Times New Roman" w:eastAsia="Times New Roman" w:hAnsi="Times New Roman" w:cs="Times New Roman"/>
          <w:sz w:val="24"/>
        </w:rPr>
        <w:t xml:space="preserve"> </w:t>
      </w:r>
    </w:p>
    <w:p w:rsidR="007617AD" w:rsidRDefault="00EE75C8">
      <w:pPr>
        <w:spacing w:after="29" w:line="259" w:lineRule="auto"/>
        <w:ind w:left="2268" w:firstLine="0"/>
        <w:jc w:val="left"/>
      </w:pPr>
      <w:r>
        <w:t xml:space="preserve"> </w:t>
      </w:r>
    </w:p>
    <w:p w:rsidR="007617AD" w:rsidRDefault="00EE75C8">
      <w:pPr>
        <w:numPr>
          <w:ilvl w:val="2"/>
          <w:numId w:val="40"/>
        </w:numPr>
        <w:spacing w:after="0"/>
        <w:ind w:right="62" w:hanging="139"/>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6498" name="Group 26649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8852" name="Rectangle 1885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8853" name="Rectangle 18853"/>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plataforma esPublico Gesti</w:t>
                              </w:r>
                              <w:r>
                                <w:rPr>
                                  <w:sz w:val="12"/>
                                </w:rPr>
                                <w:t xml:space="preserve">ona | Página 90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6498" style="width:12.7031pt;height:280.02pt;position:absolute;mso-position-horizontal-relative:page;mso-position-horizontal:absolute;margin-left:682.278pt;mso-position-vertical-relative:page;margin-top:531.9pt;" coordsize="1613,35562">
                <v:rect id="Rectangle 1885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8853"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192 </w:t>
                        </w:r>
                      </w:p>
                    </w:txbxContent>
                  </v:textbox>
                </v:rect>
                <w10:wrap type="square"/>
              </v:group>
            </w:pict>
          </mc:Fallback>
        </mc:AlternateContent>
      </w:r>
      <w:r>
        <w:t xml:space="preserve">Los </w:t>
      </w:r>
      <w:r>
        <w:rPr>
          <w:b/>
        </w:rPr>
        <w:t>gastos variables</w:t>
      </w:r>
      <w:r>
        <w:t xml:space="preserve"> se aplicarán en base a los volúmenes realmente aportados por cada Ayuntamiento al sistema, según reflejen las lecturas de los equipos de medida (contadores) dispuestos para este fin. </w:t>
      </w:r>
      <w:r>
        <w:rPr>
          <w:rFonts w:ascii="Times New Roman" w:eastAsia="Times New Roman" w:hAnsi="Times New Roman" w:cs="Times New Roman"/>
          <w:sz w:val="24"/>
        </w:rPr>
        <w:t xml:space="preserve"> </w:t>
      </w:r>
    </w:p>
    <w:p w:rsidR="007617AD" w:rsidRDefault="00EE75C8">
      <w:pPr>
        <w:spacing w:after="100" w:line="259" w:lineRule="auto"/>
        <w:ind w:left="708" w:firstLine="0"/>
        <w:jc w:val="left"/>
      </w:pPr>
      <w:r>
        <w:rPr>
          <w:color w:val="00B050"/>
        </w:rPr>
        <w:t xml:space="preserve"> </w:t>
      </w:r>
    </w:p>
    <w:p w:rsidR="007617AD" w:rsidRDefault="00EE75C8">
      <w:pPr>
        <w:numPr>
          <w:ilvl w:val="0"/>
          <w:numId w:val="39"/>
        </w:numPr>
        <w:ind w:right="62" w:hanging="360"/>
      </w:pPr>
      <w:r>
        <w:t>Impulsar y desarrollar l</w:t>
      </w:r>
      <w:r>
        <w:t>as inversiones de ámbito supramunicipal que se describen en el Anexo III de forma que se garantice el cumplimiento de las obligaciones de recogida y/o tratamiento de las aguas residuales urbanas establecidas en la Directiva 91/271/CEE del Consejo, de 21 de</w:t>
      </w:r>
      <w:r>
        <w:t xml:space="preserve"> mayo de 1991, sobre el tratamiento de las aguas residuales urbanas. </w:t>
      </w:r>
    </w:p>
    <w:p w:rsidR="007617AD" w:rsidRDefault="00EE75C8">
      <w:pPr>
        <w:spacing w:after="96" w:line="259" w:lineRule="auto"/>
        <w:ind w:left="708" w:firstLine="0"/>
        <w:jc w:val="left"/>
      </w:pPr>
      <w:r>
        <w:rPr>
          <w:color w:val="00B050"/>
        </w:rPr>
        <w:t xml:space="preserve"> </w:t>
      </w:r>
    </w:p>
    <w:p w:rsidR="007617AD" w:rsidRDefault="00EE75C8">
      <w:pPr>
        <w:ind w:left="703" w:right="58"/>
      </w:pPr>
      <w:r>
        <w:rPr>
          <w:b/>
        </w:rPr>
        <w:t xml:space="preserve">TERCERA. - OBLIGACIONES DE LOS AYUNTAMIENTOS.   </w:t>
      </w:r>
    </w:p>
    <w:p w:rsidR="007617AD" w:rsidRDefault="00EE75C8">
      <w:pPr>
        <w:ind w:left="703" w:right="62"/>
      </w:pPr>
      <w:r>
        <w:t>Los Ayuntamientos de Candelaria, Arafo y Güímar, se comprometen a colaborar, con el Consejo Insular de Aguas de Tenerife, en la gestión</w:t>
      </w:r>
      <w:r>
        <w:t xml:space="preserve"> conjunta de las infraestructuras identificadas en la cláusula primera integradas en los Sistemas Territoriales de Saneamiento del Valle de Güímar y Polígono Industrial de Valle de Güímar, en los términos siguientes:</w:t>
      </w:r>
      <w:r>
        <w:rPr>
          <w:rFonts w:ascii="Times New Roman" w:eastAsia="Times New Roman" w:hAnsi="Times New Roman" w:cs="Times New Roman"/>
          <w:sz w:val="24"/>
        </w:rPr>
        <w:t xml:space="preserve"> </w:t>
      </w:r>
    </w:p>
    <w:p w:rsidR="007617AD" w:rsidRDefault="00EE75C8">
      <w:pPr>
        <w:numPr>
          <w:ilvl w:val="0"/>
          <w:numId w:val="43"/>
        </w:numPr>
        <w:ind w:right="62" w:hanging="360"/>
      </w:pPr>
      <w:r>
        <w:t xml:space="preserve">Participarán de forma activa y efectiva en la Comisión de Seguimiento que se regula en la cláusula quinta. </w:t>
      </w:r>
      <w:r>
        <w:rPr>
          <w:rFonts w:ascii="Times New Roman" w:eastAsia="Times New Roman" w:hAnsi="Times New Roman" w:cs="Times New Roman"/>
          <w:sz w:val="24"/>
        </w:rPr>
        <w:t xml:space="preserve"> </w:t>
      </w:r>
    </w:p>
    <w:p w:rsidR="007617AD" w:rsidRDefault="00EE75C8">
      <w:pPr>
        <w:numPr>
          <w:ilvl w:val="0"/>
          <w:numId w:val="43"/>
        </w:numPr>
        <w:ind w:right="62" w:hanging="360"/>
      </w:pPr>
      <w:r>
        <w:t>Entregarán sus aguas residuales brutas de origen urbano e industrial en los puntos inicialmente previstos al efecto en la cláusula anterior.</w:t>
      </w:r>
      <w:r>
        <w:rPr>
          <w:rFonts w:ascii="Times New Roman" w:eastAsia="Times New Roman" w:hAnsi="Times New Roman" w:cs="Times New Roman"/>
          <w:sz w:val="24"/>
        </w:rPr>
        <w:t xml:space="preserve"> </w:t>
      </w:r>
    </w:p>
    <w:p w:rsidR="007617AD" w:rsidRDefault="00EE75C8">
      <w:pPr>
        <w:numPr>
          <w:ilvl w:val="0"/>
          <w:numId w:val="43"/>
        </w:numPr>
        <w:ind w:right="62" w:hanging="360"/>
      </w:pPr>
      <w:r>
        <w:t>Velar</w:t>
      </w:r>
      <w:r>
        <w:t xml:space="preserve">án por que el </w:t>
      </w:r>
      <w:r>
        <w:rPr>
          <w:b/>
        </w:rPr>
        <w:t>contenido de dichas aguas brutas</w:t>
      </w:r>
      <w:r>
        <w:t xml:space="preserve"> tanto urbanas como industriales cumplan la normativa aplicable en los Reglamentos de Alcantarillado, Depuración y Vertido vigentes.   </w:t>
      </w:r>
      <w:r>
        <w:rPr>
          <w:rFonts w:ascii="Times New Roman" w:eastAsia="Times New Roman" w:hAnsi="Times New Roman" w:cs="Times New Roman"/>
          <w:sz w:val="24"/>
        </w:rPr>
        <w:t xml:space="preserve"> </w:t>
      </w:r>
    </w:p>
    <w:p w:rsidR="007617AD" w:rsidRDefault="00EE75C8">
      <w:pPr>
        <w:numPr>
          <w:ilvl w:val="0"/>
          <w:numId w:val="43"/>
        </w:numPr>
        <w:ind w:right="62" w:hanging="360"/>
      </w:pPr>
      <w:r>
        <w:t xml:space="preserve">Adoptarán las medidas de </w:t>
      </w:r>
      <w:r>
        <w:rPr>
          <w:b/>
        </w:rPr>
        <w:t>policía de vertidos</w:t>
      </w:r>
      <w:r>
        <w:t xml:space="preserve"> </w:t>
      </w:r>
      <w:r>
        <w:t>pertinentes en el ámbito municipal respectivo prestando especial interés en evitar los vertidos al alcantarillado de productos tóxicos, grasas y aguas de salinidad excesiva.</w:t>
      </w:r>
      <w:r>
        <w:rPr>
          <w:rFonts w:ascii="Times New Roman" w:eastAsia="Times New Roman" w:hAnsi="Times New Roman" w:cs="Times New Roman"/>
          <w:sz w:val="24"/>
        </w:rPr>
        <w:t xml:space="preserve"> </w:t>
      </w:r>
    </w:p>
    <w:p w:rsidR="007617AD" w:rsidRDefault="00EE75C8">
      <w:pPr>
        <w:numPr>
          <w:ilvl w:val="0"/>
          <w:numId w:val="43"/>
        </w:numPr>
        <w:spacing w:after="146"/>
        <w:ind w:right="62" w:hanging="360"/>
      </w:pPr>
      <w:r>
        <w:t>Impulsar y desarrollar las inversiones de ámbito municipal que se describen en el</w:t>
      </w:r>
      <w:r>
        <w:t xml:space="preserve"> Anexo III de forma que se garantice el cumplimiento de las obligaciones de recogida de las aguas residuales urbanas establecidas en la Directiva 91/271/CEE del Consejo, de 21 de mayo de 1991, sobre el tratamiento de las aguas residuales urbanas. </w:t>
      </w:r>
    </w:p>
    <w:p w:rsidR="007617AD" w:rsidRDefault="00EE75C8">
      <w:pPr>
        <w:numPr>
          <w:ilvl w:val="0"/>
          <w:numId w:val="43"/>
        </w:numPr>
        <w:ind w:right="62" w:hanging="360"/>
      </w:pPr>
      <w:r>
        <w:t>Cumplirá</w:t>
      </w:r>
      <w:r>
        <w:t>n las obligaciones económicas que se definen en la cláusula cuarta una vez recibidas las notas de cargo que emitidas por el CIATF.</w:t>
      </w:r>
      <w:r>
        <w:rPr>
          <w:rFonts w:ascii="Times New Roman" w:eastAsia="Times New Roman" w:hAnsi="Times New Roman" w:cs="Times New Roman"/>
          <w:sz w:val="24"/>
        </w:rPr>
        <w:t xml:space="preserve"> </w:t>
      </w:r>
    </w:p>
    <w:p w:rsidR="007617AD" w:rsidRDefault="00EE75C8">
      <w:pPr>
        <w:numPr>
          <w:ilvl w:val="0"/>
          <w:numId w:val="43"/>
        </w:numPr>
        <w:ind w:right="62" w:hanging="360"/>
      </w:pPr>
      <w:r>
        <w:t>Asumirán los costes provocados por un vertido incontrolado proveniente del municipio en cuestión, previa tramitación del exp</w:t>
      </w:r>
      <w:r>
        <w:t>ediente correspondiente.</w:t>
      </w:r>
      <w:r>
        <w:rPr>
          <w:rFonts w:ascii="Times New Roman" w:eastAsia="Times New Roman" w:hAnsi="Times New Roman" w:cs="Times New Roman"/>
          <w:sz w:val="24"/>
        </w:rPr>
        <w:t xml:space="preserve"> </w:t>
      </w:r>
    </w:p>
    <w:p w:rsidR="007617AD" w:rsidRDefault="00EE75C8">
      <w:pPr>
        <w:spacing w:after="112" w:line="259" w:lineRule="auto"/>
        <w:ind w:left="708" w:firstLine="0"/>
        <w:jc w:val="left"/>
      </w:pPr>
      <w:r>
        <w:rPr>
          <w:b/>
        </w:rPr>
        <w:t xml:space="preserve"> </w:t>
      </w:r>
    </w:p>
    <w:p w:rsidR="007617AD" w:rsidRDefault="00EE75C8">
      <w:pPr>
        <w:spacing w:after="91"/>
        <w:ind w:left="703" w:right="58"/>
      </w:pPr>
      <w:r>
        <w:rPr>
          <w:b/>
        </w:rPr>
        <w:t>CUARTA. -OBLIGACIONES ECONÓMICAS.</w:t>
      </w:r>
      <w:r>
        <w:rPr>
          <w:rFonts w:ascii="Times New Roman" w:eastAsia="Times New Roman" w:hAnsi="Times New Roman" w:cs="Times New Roman"/>
          <w:sz w:val="24"/>
        </w:rPr>
        <w:t xml:space="preserve"> </w:t>
      </w:r>
    </w:p>
    <w:p w:rsidR="007617AD" w:rsidRDefault="00EE75C8">
      <w:pPr>
        <w:ind w:left="703" w:right="58"/>
      </w:pPr>
      <w:r>
        <w:rPr>
          <w:b/>
        </w:rPr>
        <w:t xml:space="preserve">Para el cumplimiento de las </w:t>
      </w:r>
      <w:r>
        <w:rPr>
          <w:b/>
          <w:i/>
        </w:rPr>
        <w:t>obligaciones económicas</w:t>
      </w:r>
      <w:r>
        <w:rPr>
          <w:b/>
        </w:rPr>
        <w:t xml:space="preserve"> derivadas de este Convenio se establecen las condiciones siguientes:</w:t>
      </w:r>
      <w:r>
        <w:rPr>
          <w:rFonts w:ascii="Calibri" w:eastAsia="Calibri" w:hAnsi="Calibri" w:cs="Calibri"/>
          <w:sz w:val="24"/>
        </w:rPr>
        <w:t xml:space="preserve"> </w:t>
      </w:r>
    </w:p>
    <w:p w:rsidR="007617AD" w:rsidRDefault="00EE75C8">
      <w:pPr>
        <w:ind w:left="1428" w:right="62" w:hanging="360"/>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8036" name="Group 26803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8987" name="Rectangle 1898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Verificación: https://c</w:t>
                              </w:r>
                              <w:r>
                                <w:rPr>
                                  <w:sz w:val="12"/>
                                </w:rPr>
                                <w:t xml:space="preserve">andelaria.sedelectronica.es/ </w:t>
                              </w:r>
                            </w:p>
                          </w:txbxContent>
                        </wps:txbx>
                        <wps:bodyPr horzOverflow="overflow" vert="horz" lIns="0" tIns="0" rIns="0" bIns="0" rtlCol="0">
                          <a:noAutofit/>
                        </wps:bodyPr>
                      </wps:wsp>
                      <wps:wsp>
                        <wps:cNvPr id="18988" name="Rectangle 18988"/>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91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8036" style="width:12.7031pt;height:280.02pt;position:absolute;mso-position-horizontal-relative:page;mso-position-horizontal:absolute;margin-left:682.278pt;mso-position-vertical-relative:page;margin-top:531.9pt;" coordsize="1613,35562">
                <v:rect id="Rectangle 1898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8988"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192 </w:t>
                        </w:r>
                      </w:p>
                    </w:txbxContent>
                  </v:textbox>
                </v:rect>
                <w10:wrap type="square"/>
              </v:group>
            </w:pict>
          </mc:Fallback>
        </mc:AlternateContent>
      </w:r>
      <w:r>
        <w:rPr>
          <w:rFonts w:ascii="Times New Roman" w:eastAsia="Times New Roman" w:hAnsi="Times New Roman" w:cs="Times New Roman"/>
          <w:sz w:val="24"/>
        </w:rPr>
        <w:t>a)</w:t>
      </w:r>
      <w:r>
        <w:rPr>
          <w:sz w:val="24"/>
        </w:rPr>
        <w:t xml:space="preserve"> </w:t>
      </w:r>
      <w:r>
        <w:t>El CIATF realizará las actuaciones necesarias para la operación y mantenimiento del Sistema de Saneamiento y Depuración, a trav</w:t>
      </w:r>
      <w:r>
        <w:t>és de la licitación y adjudicación de los contratos correspondientes, previa generación y aprobación del crédito necesario con cargo al compromiso de ingreso de los Ayuntamientos derivado del presente convenio tras su formalización. A tal efecto el importe</w:t>
      </w:r>
      <w:r>
        <w:t xml:space="preserve"> total estimado del convenio incluidos los costes fijos y variables asciende a </w:t>
      </w:r>
      <w:r>
        <w:rPr>
          <w:b/>
        </w:rPr>
        <w:t xml:space="preserve">3.953.601,06 euros </w:t>
      </w:r>
      <w:r>
        <w:t>del cual:</w:t>
      </w:r>
      <w:r>
        <w:rPr>
          <w:rFonts w:ascii="Times New Roman" w:eastAsia="Times New Roman" w:hAnsi="Times New Roman" w:cs="Times New Roman"/>
          <w:sz w:val="24"/>
        </w:rPr>
        <w:t xml:space="preserve"> </w:t>
      </w:r>
    </w:p>
    <w:p w:rsidR="007617AD" w:rsidRDefault="00EE75C8">
      <w:pPr>
        <w:numPr>
          <w:ilvl w:val="1"/>
          <w:numId w:val="39"/>
        </w:numPr>
        <w:ind w:right="62" w:hanging="360"/>
      </w:pPr>
      <w:r>
        <w:t xml:space="preserve">El importe total estimativo que será repercutido a los Ayuntamientos correspondiente a los </w:t>
      </w:r>
      <w:r>
        <w:rPr>
          <w:b/>
          <w:u w:val="single" w:color="000000"/>
        </w:rPr>
        <w:t>costes fijos</w:t>
      </w:r>
      <w:r>
        <w:rPr>
          <w:b/>
        </w:rPr>
        <w:t xml:space="preserve"> </w:t>
      </w:r>
      <w:r>
        <w:t xml:space="preserve">en los que se </w:t>
      </w:r>
      <w:r>
        <w:t xml:space="preserve">incurre necesariamente para la operación y mantenimiento del Sistema, descritos en los expositivos séptimo y octavo, asciende durante todo el período de vigencia del convenio a </w:t>
      </w:r>
      <w:r>
        <w:rPr>
          <w:b/>
        </w:rPr>
        <w:t xml:space="preserve">2.365.839,69 euros </w:t>
      </w:r>
      <w:r>
        <w:t>de acuerdo al desglose por Subsistema, anualidades y Ayuntam</w:t>
      </w:r>
      <w:r>
        <w:t>iento que se recogen en Anexo IV del presente convenio atendiendo a la entrada en vigor escalonada que se regula en la cláusula séptima.</w:t>
      </w:r>
      <w:r>
        <w:rPr>
          <w:rFonts w:ascii="Times New Roman" w:eastAsia="Times New Roman" w:hAnsi="Times New Roman" w:cs="Times New Roman"/>
          <w:sz w:val="24"/>
        </w:rPr>
        <w:t xml:space="preserve"> </w:t>
      </w:r>
    </w:p>
    <w:p w:rsidR="007617AD" w:rsidRDefault="00EE75C8">
      <w:pPr>
        <w:numPr>
          <w:ilvl w:val="1"/>
          <w:numId w:val="39"/>
        </w:numPr>
        <w:spacing w:after="93"/>
        <w:ind w:right="62" w:hanging="360"/>
      </w:pPr>
      <w:r>
        <w:t xml:space="preserve">En relación a los </w:t>
      </w:r>
      <w:r>
        <w:rPr>
          <w:b/>
          <w:u w:val="single" w:color="000000"/>
        </w:rPr>
        <w:t>costes variables</w:t>
      </w:r>
      <w:r>
        <w:rPr>
          <w:b/>
        </w:rPr>
        <w:t xml:space="preserve"> </w:t>
      </w:r>
      <w:r>
        <w:t xml:space="preserve">el importe total estimativo a repercutir asciende a la cantidad de </w:t>
      </w:r>
      <w:r>
        <w:rPr>
          <w:b/>
        </w:rPr>
        <w:t>1.587.761,60 eur</w:t>
      </w:r>
      <w:r>
        <w:rPr>
          <w:b/>
        </w:rPr>
        <w:t>os</w:t>
      </w:r>
      <w:r>
        <w:t>, de acuerdo al desglose por Subsistema, anualidades y Ayuntamiento que se recoge en Anexo IV del presente convenio atendiendo a la entrada en vigor escalonada que se regula en la cláusula séptima y considerando el volumen de caudal estimado para cada Ay</w:t>
      </w:r>
      <w:r>
        <w:t>untamiento incluido en el cronograma de inversiones que figura en Anexo III.</w:t>
      </w:r>
      <w:r>
        <w:rPr>
          <w:rFonts w:ascii="Times New Roman" w:eastAsia="Times New Roman" w:hAnsi="Times New Roman" w:cs="Times New Roman"/>
          <w:sz w:val="24"/>
        </w:rPr>
        <w:t xml:space="preserve"> </w:t>
      </w:r>
    </w:p>
    <w:p w:rsidR="007617AD" w:rsidRDefault="00EE75C8">
      <w:pPr>
        <w:numPr>
          <w:ilvl w:val="0"/>
          <w:numId w:val="41"/>
        </w:numPr>
        <w:spacing w:after="145"/>
        <w:ind w:right="62" w:hanging="360"/>
      </w:pPr>
      <w:r>
        <w:t>Mensualmente el CIATF extenderá las correspondientes notas de cargo a los Ayuntamientos, según el modelo que defina la Comisión de Seguimiento, que deberán estar desglosadas de m</w:t>
      </w:r>
      <w:r>
        <w:t xml:space="preserve">anera separada de acuerdo a los epígrafes de costes establecidos en el expositivo décimo en relación al coste de cada servicio de depuración del agua residual, tanto urbana como industrial.  </w:t>
      </w:r>
    </w:p>
    <w:p w:rsidR="007617AD" w:rsidRDefault="00EE75C8">
      <w:pPr>
        <w:numPr>
          <w:ilvl w:val="0"/>
          <w:numId w:val="41"/>
        </w:numPr>
        <w:ind w:right="62" w:hanging="360"/>
      </w:pPr>
      <w:r>
        <w:t xml:space="preserve">Recibidas las notas de cargo por cada Ayuntamiento, éste deberá </w:t>
      </w:r>
      <w:r>
        <w:t>hacer efectivo el pago de su importe al CIATF en el plazo máximo de dos (2) meses, contados a partir de la fecha de recepción.</w:t>
      </w:r>
      <w:r>
        <w:rPr>
          <w:rFonts w:ascii="Times New Roman" w:eastAsia="Times New Roman" w:hAnsi="Times New Roman" w:cs="Times New Roman"/>
          <w:sz w:val="24"/>
        </w:rPr>
        <w:t xml:space="preserve"> </w:t>
      </w:r>
    </w:p>
    <w:p w:rsidR="007617AD" w:rsidRDefault="00EE75C8">
      <w:pPr>
        <w:numPr>
          <w:ilvl w:val="0"/>
          <w:numId w:val="41"/>
        </w:numPr>
        <w:spacing w:after="134"/>
        <w:ind w:right="62" w:hanging="360"/>
      </w:pPr>
      <w:r>
        <w:t xml:space="preserve">Caso de que se supere dicho plazo y permaneciese </w:t>
      </w:r>
      <w:r>
        <w:rPr>
          <w:b/>
        </w:rPr>
        <w:t>la situación de impago de alguna nota de cargo</w:t>
      </w:r>
      <w:r>
        <w:t>, el CIATF queda facultado para r</w:t>
      </w:r>
      <w:r>
        <w:t xml:space="preserve">ecabar su cobro a través del Cabildo Insular de Tenerife, con cargo a los ingresos que proceda efectuar a dicho Ayuntamiento en concepto de </w:t>
      </w:r>
      <w:r>
        <w:rPr>
          <w:b/>
        </w:rPr>
        <w:t>carta municipal</w:t>
      </w:r>
      <w:r>
        <w:t xml:space="preserve"> o por la recaudación de tasas, gravámenes y precios públicos municipales a través del </w:t>
      </w:r>
      <w:r>
        <w:rPr>
          <w:b/>
        </w:rPr>
        <w:t>Consorcio de Tributos</w:t>
      </w:r>
      <w:r>
        <w:t>.</w:t>
      </w:r>
      <w:r>
        <w:rPr>
          <w:rFonts w:ascii="Times New Roman" w:eastAsia="Times New Roman" w:hAnsi="Times New Roman" w:cs="Times New Roman"/>
          <w:sz w:val="24"/>
        </w:rPr>
        <w:t xml:space="preserve"> </w:t>
      </w:r>
    </w:p>
    <w:p w:rsidR="007617AD" w:rsidRDefault="00EE75C8">
      <w:pPr>
        <w:numPr>
          <w:ilvl w:val="0"/>
          <w:numId w:val="41"/>
        </w:numPr>
        <w:ind w:right="62" w:hanging="360"/>
      </w:pPr>
      <w:r>
        <w:t xml:space="preserve">Los </w:t>
      </w:r>
      <w:r>
        <w:rPr>
          <w:b/>
        </w:rPr>
        <w:t>costes financieros</w:t>
      </w:r>
      <w:r>
        <w:t xml:space="preserve"> que acarreen las demoras en los pagos por parte de alguno de los Ayuntamientos firmantes podrán ser reclamados, previa instrucción del correspondiente procedimiento, a aquél que los causare.</w:t>
      </w:r>
      <w:r>
        <w:rPr>
          <w:rFonts w:ascii="Times New Roman" w:eastAsia="Times New Roman" w:hAnsi="Times New Roman" w:cs="Times New Roman"/>
          <w:sz w:val="24"/>
        </w:rPr>
        <w:t xml:space="preserve"> </w:t>
      </w:r>
    </w:p>
    <w:p w:rsidR="007617AD" w:rsidRDefault="00EE75C8">
      <w:pPr>
        <w:numPr>
          <w:ilvl w:val="0"/>
          <w:numId w:val="41"/>
        </w:numPr>
        <w:spacing w:after="93"/>
        <w:ind w:right="62" w:hanging="360"/>
      </w:pPr>
      <w:r>
        <w:t>Los Ayuntamientos</w:t>
      </w:r>
      <w:r>
        <w:t xml:space="preserve"> deberán realizar las aportaciones necesarias al </w:t>
      </w:r>
      <w:r>
        <w:rPr>
          <w:b/>
        </w:rPr>
        <w:t>fondo de inversión</w:t>
      </w:r>
      <w:r>
        <w:t xml:space="preserve"> destinado a las reposiciones, ampliaciones y mejoras del sistema de saneamiento y depuración que se determinen por la Comisión de Seguimiento.</w:t>
      </w:r>
      <w:r>
        <w:rPr>
          <w:rFonts w:ascii="Times New Roman" w:eastAsia="Times New Roman" w:hAnsi="Times New Roman" w:cs="Times New Roman"/>
          <w:sz w:val="24"/>
        </w:rPr>
        <w:t xml:space="preserve"> </w:t>
      </w:r>
    </w:p>
    <w:p w:rsidR="007617AD" w:rsidRDefault="00EE75C8">
      <w:pPr>
        <w:spacing w:after="98" w:line="259" w:lineRule="auto"/>
        <w:ind w:left="1428" w:firstLine="0"/>
        <w:jc w:val="left"/>
      </w:pPr>
      <w:r>
        <w:t xml:space="preserve"> </w:t>
      </w:r>
    </w:p>
    <w:p w:rsidR="007617AD" w:rsidRDefault="00EE75C8">
      <w:pPr>
        <w:spacing w:after="11"/>
        <w:ind w:left="703" w:right="58"/>
      </w:pPr>
      <w:r>
        <w:rPr>
          <w:b/>
        </w:rPr>
        <w:t>QUINTA. - COMISIÓN DE SEGUIMIENTO DEL CONV</w:t>
      </w:r>
      <w:r>
        <w:rPr>
          <w:b/>
        </w:rPr>
        <w:t>ENIO DE COLABORACIÓN</w:t>
      </w:r>
      <w:r>
        <w:rPr>
          <w:color w:val="1F4D78"/>
        </w:rPr>
        <w:t>.</w:t>
      </w:r>
      <w:r>
        <w:rPr>
          <w:rFonts w:ascii="Calibri" w:eastAsia="Calibri" w:hAnsi="Calibri" w:cs="Calibri"/>
          <w:color w:val="1F4D78"/>
          <w:sz w:val="24"/>
        </w:rPr>
        <w:t xml:space="preserve"> </w:t>
      </w:r>
    </w:p>
    <w:p w:rsidR="007617AD" w:rsidRDefault="00EE75C8">
      <w:pPr>
        <w:spacing w:after="0" w:line="259" w:lineRule="auto"/>
        <w:ind w:left="708" w:firstLine="0"/>
        <w:jc w:val="left"/>
      </w:pPr>
      <w:r>
        <w:t xml:space="preserve"> </w:t>
      </w:r>
    </w:p>
    <w:p w:rsidR="007617AD" w:rsidRDefault="00EE75C8">
      <w:pPr>
        <w:spacing w:after="0"/>
        <w:ind w:left="703" w:right="62"/>
      </w:pPr>
      <w:r>
        <w:t xml:space="preserve">Para el seguimiento de este Convenio y una real y efectiva coordinación y participación de las partes en su ejecución, se crea una Comisión paritaria de seguimiento.  </w:t>
      </w:r>
    </w:p>
    <w:p w:rsidR="007617AD" w:rsidRDefault="00EE75C8">
      <w:pPr>
        <w:spacing w:after="5" w:line="259" w:lineRule="auto"/>
        <w:ind w:left="708" w:firstLine="0"/>
        <w:jc w:val="left"/>
      </w:pPr>
      <w:r>
        <w:t xml:space="preserve"> </w:t>
      </w:r>
    </w:p>
    <w:p w:rsidR="007617AD" w:rsidRDefault="00EE75C8">
      <w:pPr>
        <w:numPr>
          <w:ilvl w:val="0"/>
          <w:numId w:val="42"/>
        </w:numPr>
        <w:spacing w:after="0"/>
        <w:ind w:right="62" w:hanging="360"/>
      </w:pPr>
      <w:r>
        <w:rPr>
          <w:b/>
        </w:rPr>
        <w:t>Competencias</w:t>
      </w:r>
      <w:r>
        <w:t xml:space="preserve">: Interpretar las dudas que pudieran suscitarse con motivo de la aplicación del presente Convenio. </w:t>
      </w:r>
      <w:r>
        <w:rPr>
          <w:rFonts w:ascii="Times New Roman" w:eastAsia="Times New Roman" w:hAnsi="Times New Roman" w:cs="Times New Roman"/>
          <w:sz w:val="24"/>
        </w:rPr>
        <w:t xml:space="preserve"> </w:t>
      </w:r>
    </w:p>
    <w:p w:rsidR="007617AD" w:rsidRDefault="00EE75C8">
      <w:pPr>
        <w:spacing w:after="5" w:line="259" w:lineRule="auto"/>
        <w:ind w:left="708" w:firstLine="0"/>
        <w:jc w:val="left"/>
      </w:pPr>
      <w:r>
        <w:t xml:space="preserve"> </w:t>
      </w:r>
    </w:p>
    <w:p w:rsidR="007617AD" w:rsidRDefault="00EE75C8">
      <w:pPr>
        <w:numPr>
          <w:ilvl w:val="0"/>
          <w:numId w:val="42"/>
        </w:numPr>
        <w:spacing w:after="0"/>
        <w:ind w:right="62" w:hanging="360"/>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7716" name="Group 26771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9129" name="Rectangle 1912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9130" name="Rectangle 19130"/>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w:t>
                              </w:r>
                              <w:r>
                                <w:rPr>
                                  <w:sz w:val="12"/>
                                </w:rPr>
                                <w:t xml:space="preserve">orma esPublico Gestiona | Página 92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7716" style="width:12.7031pt;height:280.02pt;position:absolute;mso-position-horizontal-relative:page;mso-position-horizontal:absolute;margin-left:682.278pt;mso-position-vertical-relative:page;margin-top:531.9pt;" coordsize="1613,35562">
                <v:rect id="Rectangle 1912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9130"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192 </w:t>
                        </w:r>
                      </w:p>
                    </w:txbxContent>
                  </v:textbox>
                </v:rect>
                <w10:wrap type="square"/>
              </v:group>
            </w:pict>
          </mc:Fallback>
        </mc:AlternateContent>
      </w:r>
      <w:r>
        <w:rPr>
          <w:b/>
        </w:rPr>
        <w:t>Composición:</w:t>
      </w:r>
      <w:r>
        <w:t xml:space="preserve"> La Comisión paritaria estará constituida por ocho (8) vocales, correspondiendo designar dos (2) vocales a cada una de las Administraciones Públicas firmantes. La designación de estos vocales se efect</w:t>
      </w:r>
      <w:r>
        <w:t xml:space="preserve">uará en el momento de la firma de este Convenio o, subsidiariamente, en un plazo máximo de un (1) mes desde la misma. </w:t>
      </w:r>
      <w:r>
        <w:rPr>
          <w:rFonts w:ascii="Times New Roman" w:eastAsia="Times New Roman" w:hAnsi="Times New Roman" w:cs="Times New Roman"/>
          <w:sz w:val="24"/>
        </w:rPr>
        <w:t xml:space="preserve"> </w:t>
      </w:r>
    </w:p>
    <w:p w:rsidR="007617AD" w:rsidRDefault="00EE75C8">
      <w:pPr>
        <w:spacing w:after="0"/>
        <w:ind w:left="1426" w:right="62"/>
      </w:pPr>
      <w:r>
        <w:t>La Presidencia de la Comisión corresponderá a uno de los vocales designados por el Consejo Insular de Aguas y la Vicepresidencia será al</w:t>
      </w:r>
      <w:r>
        <w:t xml:space="preserve">ternativa, por años, entre los representantes de los Ayuntamientos. Los miembros de la Comisión podrán venir asistidos de Técnicos asesores, que tendrán voz, pero no voto.  </w:t>
      </w:r>
    </w:p>
    <w:p w:rsidR="007617AD" w:rsidRDefault="00EE75C8">
      <w:pPr>
        <w:spacing w:after="2" w:line="259" w:lineRule="auto"/>
        <w:ind w:left="1416" w:firstLine="0"/>
        <w:jc w:val="left"/>
      </w:pPr>
      <w:r>
        <w:t xml:space="preserve"> </w:t>
      </w:r>
    </w:p>
    <w:p w:rsidR="007617AD" w:rsidRDefault="00EE75C8">
      <w:pPr>
        <w:numPr>
          <w:ilvl w:val="0"/>
          <w:numId w:val="42"/>
        </w:numPr>
        <w:spacing w:after="0"/>
        <w:ind w:right="62" w:hanging="360"/>
      </w:pPr>
      <w:r>
        <w:rPr>
          <w:b/>
        </w:rPr>
        <w:t>Lugar de celebración:</w:t>
      </w:r>
      <w:r>
        <w:t xml:space="preserve"> las Comisiones se celebran en el lugar que en cada caso de</w:t>
      </w:r>
      <w:r>
        <w:t>signe la Presidencia.</w:t>
      </w:r>
      <w:r>
        <w:rPr>
          <w:rFonts w:ascii="Times New Roman" w:eastAsia="Times New Roman" w:hAnsi="Times New Roman" w:cs="Times New Roman"/>
          <w:sz w:val="24"/>
        </w:rPr>
        <w:t xml:space="preserve"> </w:t>
      </w:r>
    </w:p>
    <w:p w:rsidR="007617AD" w:rsidRDefault="00EE75C8">
      <w:pPr>
        <w:spacing w:after="5" w:line="259" w:lineRule="auto"/>
        <w:ind w:left="1428" w:firstLine="0"/>
        <w:jc w:val="left"/>
      </w:pPr>
      <w:r>
        <w:t xml:space="preserve"> </w:t>
      </w:r>
    </w:p>
    <w:p w:rsidR="007617AD" w:rsidRDefault="00EE75C8">
      <w:pPr>
        <w:numPr>
          <w:ilvl w:val="0"/>
          <w:numId w:val="42"/>
        </w:numPr>
        <w:spacing w:after="0"/>
        <w:ind w:right="62" w:hanging="360"/>
      </w:pPr>
      <w:r>
        <w:rPr>
          <w:b/>
        </w:rPr>
        <w:t>Secretaría y Actas:</w:t>
      </w:r>
      <w:r>
        <w:t xml:space="preserve"> la Secretaría de la Comisión será desempeñada por un Técnico de Administración General designado por el CIATF de entre los que desempeñan el trabajo en dicho Organismo. De cada sesión de la Comisión se levantará</w:t>
      </w:r>
      <w:r>
        <w:t xml:space="preserve"> acta por dicha Secretaría, que será aprobada, si procede, en la siguiente sesión que la comisión celebre.</w:t>
      </w:r>
      <w:r>
        <w:rPr>
          <w:rFonts w:ascii="Times New Roman" w:eastAsia="Times New Roman" w:hAnsi="Times New Roman" w:cs="Times New Roman"/>
          <w:sz w:val="24"/>
        </w:rPr>
        <w:t xml:space="preserve"> </w:t>
      </w:r>
    </w:p>
    <w:p w:rsidR="007617AD" w:rsidRDefault="00EE75C8">
      <w:pPr>
        <w:spacing w:after="5" w:line="259" w:lineRule="auto"/>
        <w:ind w:left="1416" w:firstLine="0"/>
        <w:jc w:val="left"/>
      </w:pPr>
      <w:r>
        <w:t xml:space="preserve"> </w:t>
      </w:r>
    </w:p>
    <w:p w:rsidR="007617AD" w:rsidRDefault="00EE75C8">
      <w:pPr>
        <w:numPr>
          <w:ilvl w:val="0"/>
          <w:numId w:val="42"/>
        </w:numPr>
        <w:spacing w:after="0"/>
        <w:ind w:right="62" w:hanging="360"/>
      </w:pPr>
      <w:r>
        <w:rPr>
          <w:b/>
        </w:rPr>
        <w:t>Régimen de adopción de acuerdos:</w:t>
      </w:r>
      <w:r>
        <w:t xml:space="preserve"> </w:t>
      </w:r>
      <w:r>
        <w:t>Los Acuerdos de la Comisión de Seguimiento habrán de ser tomados por unanimidad y, en caso de que sea necesario, serán elevados a los órganos de gobierno de las respectivas administraciones para su aprobación definitiva.</w:t>
      </w:r>
      <w:r>
        <w:rPr>
          <w:rFonts w:ascii="Times New Roman" w:eastAsia="Times New Roman" w:hAnsi="Times New Roman" w:cs="Times New Roman"/>
          <w:sz w:val="24"/>
        </w:rPr>
        <w:t xml:space="preserve"> </w:t>
      </w:r>
    </w:p>
    <w:p w:rsidR="007617AD" w:rsidRDefault="00EE75C8">
      <w:pPr>
        <w:spacing w:after="2" w:line="259" w:lineRule="auto"/>
        <w:ind w:left="1416" w:firstLine="0"/>
        <w:jc w:val="left"/>
      </w:pPr>
      <w:r>
        <w:t xml:space="preserve"> </w:t>
      </w:r>
    </w:p>
    <w:p w:rsidR="007617AD" w:rsidRDefault="00EE75C8">
      <w:pPr>
        <w:numPr>
          <w:ilvl w:val="0"/>
          <w:numId w:val="42"/>
        </w:numPr>
        <w:spacing w:after="0"/>
        <w:ind w:right="62" w:hanging="360"/>
      </w:pPr>
      <w:r>
        <w:rPr>
          <w:b/>
        </w:rPr>
        <w:t xml:space="preserve">Régimen jurídico: </w:t>
      </w:r>
      <w:r>
        <w:t>el funcionamie</w:t>
      </w:r>
      <w:r>
        <w:t>nto de la Comisión, en todo lo no previsto por esta norma, se regirá por las normas establecidas en la Ley 40/2015, de 1 de octubre, para el funcionamiento de los órganos colegiados.</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ind w:left="703" w:right="58"/>
      </w:pPr>
      <w:r>
        <w:rPr>
          <w:b/>
        </w:rPr>
        <w:t>SEXTA. -  MODIFICACIÓN Y RESOLUCIÓN DEL CONVENIO.</w:t>
      </w:r>
      <w:r>
        <w:rPr>
          <w:rFonts w:ascii="Times New Roman" w:eastAsia="Times New Roman" w:hAnsi="Times New Roman" w:cs="Times New Roman"/>
          <w:sz w:val="24"/>
        </w:rPr>
        <w:t xml:space="preserve"> </w:t>
      </w:r>
    </w:p>
    <w:p w:rsidR="007617AD" w:rsidRDefault="00EE75C8">
      <w:pPr>
        <w:ind w:left="703" w:right="62"/>
      </w:pPr>
      <w:r>
        <w:t>Cualquiera de las partes podrá promover la revisión del Convenio para incorporar aspectos no previstos, modificarlo o ampliarlo en su alcance y contenido, debiendo comunicarlo con un plazo mínimo de antelación de dos meses.</w:t>
      </w:r>
      <w:r>
        <w:rPr>
          <w:b/>
        </w:rPr>
        <w:t xml:space="preserve"> </w:t>
      </w:r>
      <w:r>
        <w:rPr>
          <w:rFonts w:ascii="Times New Roman" w:eastAsia="Times New Roman" w:hAnsi="Times New Roman" w:cs="Times New Roman"/>
          <w:sz w:val="24"/>
        </w:rPr>
        <w:t xml:space="preserve"> </w:t>
      </w:r>
    </w:p>
    <w:p w:rsidR="007617AD" w:rsidRDefault="00EE75C8">
      <w:pPr>
        <w:ind w:left="703" w:right="62"/>
      </w:pPr>
      <w:r>
        <w:t>El presente Convenio se exting</w:t>
      </w:r>
      <w:r>
        <w:t xml:space="preserve">uirá por terminación de su plazo o si concurriesen las causas de resolución a que se refiere el art. 51.2 de la Ley 40/2015, de 1 de octubre. </w:t>
      </w:r>
      <w:r>
        <w:rPr>
          <w:rFonts w:ascii="Times New Roman" w:eastAsia="Times New Roman" w:hAnsi="Times New Roman" w:cs="Times New Roman"/>
          <w:sz w:val="24"/>
        </w:rPr>
        <w:t xml:space="preserve"> </w:t>
      </w:r>
    </w:p>
    <w:p w:rsidR="007617AD" w:rsidRDefault="00EE75C8">
      <w:pPr>
        <w:ind w:left="703" w:right="62"/>
      </w:pPr>
      <w:r>
        <w:t>En caso de resolución del Convenio, las partes quedan obligadas al cumplimiento de sus respectivos compromisos h</w:t>
      </w:r>
      <w:r>
        <w:t>asta la fecha en que ésta se produzca. Los efectos de la resolución se adecuarán a lo establecido por el artículo 52 de la Ley 40/2015, de 1 de octubre.</w:t>
      </w:r>
      <w:r>
        <w:rPr>
          <w:b/>
        </w:rPr>
        <w:t xml:space="preserve"> </w:t>
      </w:r>
      <w:r>
        <w:rPr>
          <w:rFonts w:ascii="Times New Roman" w:eastAsia="Times New Roman" w:hAnsi="Times New Roman" w:cs="Times New Roman"/>
          <w:sz w:val="24"/>
        </w:rPr>
        <w:t xml:space="preserve"> </w:t>
      </w:r>
    </w:p>
    <w:p w:rsidR="007617AD" w:rsidRDefault="00EE75C8">
      <w:pPr>
        <w:spacing w:after="0" w:line="259" w:lineRule="auto"/>
        <w:ind w:left="699" w:firstLine="0"/>
        <w:jc w:val="left"/>
      </w:pPr>
      <w:r>
        <w:rPr>
          <w:b/>
        </w:rPr>
        <w:t xml:space="preserve"> </w:t>
      </w:r>
    </w:p>
    <w:p w:rsidR="007617AD" w:rsidRDefault="00EE75C8">
      <w:pPr>
        <w:ind w:left="703" w:right="58"/>
      </w:pPr>
      <w:r>
        <w:rPr>
          <w:b/>
        </w:rPr>
        <w:t xml:space="preserve">SÉPTIMA. - VIGENCIA. </w:t>
      </w:r>
    </w:p>
    <w:p w:rsidR="007617AD" w:rsidRDefault="00EE75C8">
      <w:pPr>
        <w:ind w:left="703" w:right="62"/>
      </w:pPr>
      <w:r>
        <w:t xml:space="preserve">El presente Convenio tendrá una vigencia de </w:t>
      </w:r>
      <w:r>
        <w:rPr>
          <w:b/>
        </w:rPr>
        <w:t>cuatro (4) años,</w:t>
      </w:r>
      <w:r>
        <w:t xml:space="preserve"> a contar desde e</w:t>
      </w:r>
      <w:r>
        <w:t>l día de su firma,</w:t>
      </w:r>
      <w:r>
        <w:rPr>
          <w:b/>
        </w:rPr>
        <w:t xml:space="preserve"> </w:t>
      </w:r>
      <w:r>
        <w:t xml:space="preserve">prorrogables a otros cuatro (4) años más. </w:t>
      </w:r>
      <w:r>
        <w:rPr>
          <w:rFonts w:ascii="Times New Roman" w:eastAsia="Times New Roman" w:hAnsi="Times New Roman" w:cs="Times New Roman"/>
          <w:sz w:val="24"/>
        </w:rPr>
        <w:t xml:space="preserve"> </w:t>
      </w:r>
    </w:p>
    <w:p w:rsidR="007617AD" w:rsidRDefault="00EE75C8">
      <w:pPr>
        <w:spacing w:after="134"/>
        <w:ind w:left="703" w:right="62"/>
      </w:pPr>
      <w:r>
        <w:t xml:space="preserve">No obstante, se establecen las siguientes Fases para la aplicación efectiva de los compromisos económicos regulados en la cláusula cuarta: </w:t>
      </w:r>
    </w:p>
    <w:p w:rsidR="007617AD" w:rsidRDefault="00EE75C8">
      <w:pPr>
        <w:spacing w:after="137"/>
        <w:ind w:left="703" w:right="58"/>
      </w:pPr>
      <w:r>
        <w:rPr>
          <w:b/>
        </w:rPr>
        <w:t xml:space="preserve">FASE I: Desde la fecha de firma del presente convenio hasta la fecha de recepción de la EDARI (prevista para el mes de enero de 2023). </w:t>
      </w:r>
    </w:p>
    <w:p w:rsidR="007617AD" w:rsidRDefault="00EE75C8">
      <w:pPr>
        <w:spacing w:after="137"/>
        <w:ind w:left="703" w:right="62"/>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7495" name="Group 267495"/>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9236" name="Rectangle 1923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9237" name="Rectangle 19237"/>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w:t>
                              </w:r>
                              <w:r>
                                <w:rPr>
                                  <w:sz w:val="12"/>
                                </w:rPr>
                                <w:t xml:space="preserve"> electrónicamente desde la plataforma esPublico Gestiona | Página 93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7495" style="width:12.7031pt;height:280.02pt;position:absolute;mso-position-horizontal-relative:page;mso-position-horizontal:absolute;margin-left:682.278pt;mso-position-vertical-relative:page;margin-top:531.9pt;" coordsize="1613,35562">
                <v:rect id="Rectangle 1923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9237"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192 </w:t>
                        </w:r>
                      </w:p>
                    </w:txbxContent>
                  </v:textbox>
                </v:rect>
                <w10:wrap type="square"/>
              </v:group>
            </w:pict>
          </mc:Fallback>
        </mc:AlternateContent>
      </w:r>
      <w:r>
        <w:t xml:space="preserve">El CIATF no emitirá notas de cargo a los Ayuntamientos asumiendo con cargo a su presupuesto los costes derivados del tratamiento secundario y físico químico de los caudales de la </w:t>
      </w:r>
      <w:r>
        <w:t xml:space="preserve">EDARI. </w:t>
      </w:r>
    </w:p>
    <w:p w:rsidR="007617AD" w:rsidRDefault="00EE75C8">
      <w:pPr>
        <w:spacing w:after="134"/>
        <w:ind w:left="703" w:right="58"/>
      </w:pPr>
      <w:r>
        <w:rPr>
          <w:b/>
        </w:rPr>
        <w:t xml:space="preserve">FASE II: Desde la fecha de recepción de la EDARI hasta la fecha de puesta en funcionamiento de la EDARU (prevista para el mes de enero de 2025). </w:t>
      </w:r>
    </w:p>
    <w:p w:rsidR="007617AD" w:rsidRDefault="00EE75C8">
      <w:pPr>
        <w:spacing w:after="137"/>
        <w:ind w:left="703" w:right="62"/>
      </w:pPr>
      <w:r>
        <w:t>El CIATF emitirá a partir de la recepción de la EDARI (prevista para el mes de enero de 2023) las nota</w:t>
      </w:r>
      <w:r>
        <w:t xml:space="preserve">s de cargo correspondientes a la operación y mantenimiento de la EDARI de acuerdo a lo regulado en la cláusula cuarta incluyendo los costes en que se haya incurrido desde la puesta en funcionamiento del servicio tras la recepción de las obras. </w:t>
      </w:r>
    </w:p>
    <w:p w:rsidR="007617AD" w:rsidRDefault="00EE75C8">
      <w:pPr>
        <w:spacing w:after="134"/>
        <w:ind w:left="703" w:right="58"/>
      </w:pPr>
      <w:r>
        <w:rPr>
          <w:b/>
        </w:rPr>
        <w:t>FASE III: D</w:t>
      </w:r>
      <w:r>
        <w:rPr>
          <w:b/>
        </w:rPr>
        <w:t xml:space="preserve">esde la fecha de puesta en funcionamiento de la EDARU (prevista para el mes de enero de 2025). </w:t>
      </w:r>
    </w:p>
    <w:p w:rsidR="007617AD" w:rsidRDefault="00EE75C8">
      <w:pPr>
        <w:spacing w:after="134"/>
        <w:ind w:left="703" w:right="62"/>
      </w:pPr>
      <w:r>
        <w:t xml:space="preserve">El CIATF emitirá a partir del mes de enero de 2025 las notas de cargo correspondientes a la operación y mantenimiento de la EDARI y de la EDARU de acuerdo a lo </w:t>
      </w:r>
      <w:r>
        <w:t xml:space="preserve">regulado en la cláusula cuarta. </w:t>
      </w:r>
    </w:p>
    <w:p w:rsidR="007617AD" w:rsidRDefault="00EE75C8">
      <w:pPr>
        <w:ind w:left="703" w:right="62"/>
      </w:pPr>
      <w:r>
        <w:t>Las fechas señaladas tienen carácter indicativo pudiendo verse modificadas atendiendo al cronograma de ejecución de las obras, lo cual requerirá la correspondiente modificación y reajuste de anualidades que deberá ser aprob</w:t>
      </w:r>
      <w:r>
        <w:t xml:space="preserve">ada por las Administraciones firmantes y formalizada en la correspondiente Adenda. </w:t>
      </w:r>
    </w:p>
    <w:p w:rsidR="007617AD" w:rsidRDefault="00EE75C8">
      <w:pPr>
        <w:ind w:left="703" w:right="58"/>
      </w:pPr>
      <w:r>
        <w:rPr>
          <w:b/>
        </w:rPr>
        <w:t>OCTAVA. - RÉGIMEN JURÍDICO, SOLUCIÓN DE CONTROVERSIAS Y JURISDICCIÓN.</w:t>
      </w:r>
      <w:r>
        <w:rPr>
          <w:rFonts w:ascii="Times New Roman" w:eastAsia="Times New Roman" w:hAnsi="Times New Roman" w:cs="Times New Roman"/>
          <w:sz w:val="24"/>
        </w:rPr>
        <w:t xml:space="preserve"> </w:t>
      </w:r>
    </w:p>
    <w:p w:rsidR="007617AD" w:rsidRDefault="00EE75C8">
      <w:pPr>
        <w:spacing w:after="17"/>
        <w:ind w:left="703" w:right="62"/>
      </w:pPr>
      <w:r>
        <w:t>El presente convenio tiene naturaleza administrativa y está excluido del ámbito de aplicación de la L</w:t>
      </w:r>
      <w:r>
        <w:t xml:space="preserve">ey 9/2017, de Contratos del Sector Público conforme a lo establecido en el apartado 2 de su art. </w:t>
      </w:r>
    </w:p>
    <w:p w:rsidR="007617AD" w:rsidRDefault="00EE75C8">
      <w:pPr>
        <w:ind w:left="703" w:right="62"/>
      </w:pPr>
      <w:r>
        <w:t xml:space="preserve">6. Todo ello sin perjuicio de la aplicación de los principios de la citada norma para resolver las dudas y lagunas que pudieran presentarse, según dispone su </w:t>
      </w:r>
      <w:r>
        <w:t>artículo 4.</w:t>
      </w:r>
      <w:r>
        <w:rPr>
          <w:rFonts w:ascii="Times New Roman" w:eastAsia="Times New Roman" w:hAnsi="Times New Roman" w:cs="Times New Roman"/>
          <w:sz w:val="24"/>
        </w:rPr>
        <w:t xml:space="preserve"> </w:t>
      </w:r>
    </w:p>
    <w:p w:rsidR="007617AD" w:rsidRDefault="00EE75C8">
      <w:pPr>
        <w:spacing w:after="137"/>
        <w:ind w:left="703" w:right="62"/>
      </w:pPr>
      <w:r>
        <w:t>Las partes, interpretarán, desarrollarán y ejecutarán el contenido del presente convenio teniendo en cuenta los fines que con el mismo se persiguen, comprometiéndose a resolver de buena fe y común acuerdo todas las cuestiones que puedan surgir</w:t>
      </w:r>
      <w:r>
        <w:t xml:space="preserve"> en relación con su interpretación y ejecución. </w:t>
      </w:r>
    </w:p>
    <w:p w:rsidR="007617AD" w:rsidRDefault="00EE75C8">
      <w:pPr>
        <w:spacing w:after="134"/>
        <w:ind w:left="703" w:right="62"/>
      </w:pPr>
      <w:r>
        <w:t>En defecto de acuerdo cualquiera de las partes podrá recabar la tutela de los Tribunales. A tales efectos para cualquier divergencia o litigio que pueda surgir o derivarse de este convenio, las partes se som</w:t>
      </w:r>
      <w:r>
        <w:t xml:space="preserve">eten voluntariamente a la jurisdicción contencioso-administrativa de los Jueces y Tribunales de Santa Cruz de Tenerife, conforme a lo establecido en la normativa de aplicación. </w:t>
      </w:r>
    </w:p>
    <w:p w:rsidR="007617AD" w:rsidRDefault="00EE75C8">
      <w:pPr>
        <w:spacing w:line="248" w:lineRule="auto"/>
        <w:ind w:left="703" w:right="34"/>
        <w:jc w:val="left"/>
      </w:pPr>
      <w:r>
        <w:t>En todo lo no previsto en el presente convenio se estará a lo dispuesto en la Ley 40/2015, de 1 de octubre de Régimen Jurídico del Sector Público, y cualquier otra disposición normativa que por su naturaleza pudiera resultar de aplicación.</w:t>
      </w:r>
      <w:r>
        <w:rPr>
          <w:b/>
        </w:rPr>
        <w:t xml:space="preserve"> </w:t>
      </w:r>
      <w:r>
        <w:rPr>
          <w:rFonts w:ascii="Times New Roman" w:eastAsia="Times New Roman" w:hAnsi="Times New Roman" w:cs="Times New Roman"/>
          <w:sz w:val="24"/>
        </w:rPr>
        <w:t xml:space="preserve"> </w:t>
      </w:r>
    </w:p>
    <w:p w:rsidR="007617AD" w:rsidRDefault="00EE75C8">
      <w:pPr>
        <w:ind w:left="703" w:right="62"/>
      </w:pPr>
      <w:r>
        <w:t>Y para que así</w:t>
      </w:r>
      <w:r>
        <w:t xml:space="preserve"> conste, en prueba de conformidad, las Partes firman el presente documento, por cuadruplicado ejemplar y a un solo efecto. </w:t>
      </w:r>
    </w:p>
    <w:p w:rsidR="007617AD" w:rsidRDefault="00EE75C8">
      <w:pPr>
        <w:spacing w:after="0" w:line="259" w:lineRule="auto"/>
        <w:ind w:left="708" w:firstLine="0"/>
        <w:jc w:val="left"/>
      </w:pPr>
      <w:r>
        <w:rPr>
          <w:b/>
        </w:rPr>
        <w:t xml:space="preserve"> </w:t>
      </w:r>
    </w:p>
    <w:p w:rsidR="007617AD" w:rsidRDefault="00EE75C8">
      <w:pPr>
        <w:tabs>
          <w:tab w:val="center" w:pos="2034"/>
          <w:tab w:val="center" w:pos="7300"/>
        </w:tabs>
        <w:spacing w:after="11"/>
        <w:ind w:left="0" w:firstLine="0"/>
        <w:jc w:val="left"/>
      </w:pPr>
      <w:r>
        <w:rPr>
          <w:rFonts w:ascii="Calibri" w:eastAsia="Calibri" w:hAnsi="Calibri" w:cs="Calibri"/>
        </w:rPr>
        <w:tab/>
      </w:r>
      <w:r>
        <w:rPr>
          <w:b/>
        </w:rPr>
        <w:t xml:space="preserve">                 El Presidente  </w:t>
      </w:r>
      <w:r>
        <w:rPr>
          <w:b/>
        </w:rPr>
        <w:tab/>
        <w:t xml:space="preserve">La Alcaldesa-Presidenta  </w:t>
      </w:r>
    </w:p>
    <w:p w:rsidR="007617AD" w:rsidRDefault="00EE75C8">
      <w:pPr>
        <w:spacing w:after="0"/>
        <w:ind w:left="2977" w:right="1312" w:hanging="2146"/>
      </w:pPr>
      <w:r>
        <w:rPr>
          <w:b/>
        </w:rPr>
        <w:t xml:space="preserve">del Consejo Insular de Aguas de Tenerife </w:t>
      </w:r>
      <w:r>
        <w:rPr>
          <w:b/>
        </w:rPr>
        <w:tab/>
        <w:t>del Ayuntamiento de Candelar</w:t>
      </w:r>
      <w:r>
        <w:rPr>
          <w:b/>
        </w:rPr>
        <w:t xml:space="preserve">ia  </w:t>
      </w:r>
      <w:r>
        <w:rPr>
          <w:b/>
        </w:rPr>
        <w:tab/>
        <w:t xml:space="preserve"> </w:t>
      </w:r>
    </w:p>
    <w:p w:rsidR="007617AD" w:rsidRDefault="00EE75C8">
      <w:pPr>
        <w:spacing w:after="0" w:line="259" w:lineRule="auto"/>
        <w:ind w:left="816" w:firstLine="0"/>
        <w:jc w:val="left"/>
      </w:pPr>
      <w:r>
        <w:rPr>
          <w:b/>
        </w:rPr>
        <w:t xml:space="preserve"> </w:t>
      </w:r>
      <w:r>
        <w:rPr>
          <w:b/>
        </w:rPr>
        <w:tab/>
        <w:t xml:space="preserve"> </w:t>
      </w:r>
    </w:p>
    <w:p w:rsidR="007617AD" w:rsidRDefault="00EE75C8">
      <w:pPr>
        <w:tabs>
          <w:tab w:val="center" w:pos="2976"/>
          <w:tab w:val="center" w:pos="7301"/>
        </w:tabs>
        <w:spacing w:after="11"/>
        <w:ind w:left="0" w:firstLine="0"/>
        <w:jc w:val="left"/>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7817" name="Group 26781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9376" name="Rectangle 1937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9377" name="Rectangle 19377"/>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94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7817" style="width:12.7031pt;height:280.02pt;position:absolute;mso-position-horizontal-relative:page;mso-position-horizontal:absolute;margin-left:682.278pt;mso-position-vertical-relative:page;margin-top:531.9pt;" coordsize="1613,35562">
                <v:rect id="Rectangle 1937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9377"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192 </w:t>
                        </w:r>
                      </w:p>
                    </w:txbxContent>
                  </v:textbox>
                </v:rect>
                <w10:wrap type="square"/>
              </v:group>
            </w:pict>
          </mc:Fallback>
        </mc:AlternateContent>
      </w:r>
      <w:r>
        <w:rPr>
          <w:rFonts w:ascii="Calibri" w:eastAsia="Calibri" w:hAnsi="Calibri" w:cs="Calibri"/>
        </w:rPr>
        <w:tab/>
      </w:r>
      <w:r>
        <w:t xml:space="preserve">D. Pedro M. Martín Domínguez </w:t>
      </w:r>
      <w:r>
        <w:tab/>
      </w:r>
      <w:r>
        <w:t xml:space="preserve">Dª Maria Concepción Brito Núñez </w:t>
      </w:r>
    </w:p>
    <w:p w:rsidR="007617AD" w:rsidRDefault="00EE75C8">
      <w:pPr>
        <w:spacing w:after="0" w:line="259" w:lineRule="auto"/>
        <w:ind w:left="816" w:firstLine="0"/>
        <w:jc w:val="left"/>
      </w:pPr>
      <w:r>
        <w:rPr>
          <w:b/>
        </w:rPr>
        <w:t xml:space="preserve"> </w:t>
      </w:r>
      <w:r>
        <w:rPr>
          <w:b/>
        </w:rPr>
        <w:tab/>
      </w:r>
      <w:r>
        <w:t xml:space="preserve"> </w:t>
      </w:r>
    </w:p>
    <w:p w:rsidR="007617AD" w:rsidRDefault="00EE75C8">
      <w:pPr>
        <w:spacing w:after="0" w:line="259" w:lineRule="auto"/>
        <w:ind w:left="4319" w:firstLine="0"/>
        <w:jc w:val="center"/>
      </w:pPr>
      <w:r>
        <w:t xml:space="preserve"> </w:t>
      </w:r>
    </w:p>
    <w:p w:rsidR="007617AD" w:rsidRDefault="00EE75C8">
      <w:pPr>
        <w:spacing w:after="4"/>
        <w:ind w:left="801" w:right="1519" w:firstLine="1037"/>
        <w:jc w:val="left"/>
      </w:pPr>
      <w:r>
        <w:rPr>
          <w:b/>
        </w:rPr>
        <w:t xml:space="preserve">El Alcalde-Presidente  </w:t>
      </w:r>
      <w:r>
        <w:rPr>
          <w:b/>
        </w:rPr>
        <w:tab/>
        <w:t xml:space="preserve">El Alcalde-Presidente del Ayuntamiento de Arafo </w:t>
      </w:r>
      <w:r>
        <w:rPr>
          <w:b/>
        </w:rPr>
        <w:tab/>
        <w:t xml:space="preserve"> del Ayuntamiento de Güímar  </w:t>
      </w:r>
      <w:r>
        <w:rPr>
          <w:b/>
        </w:rPr>
        <w:tab/>
        <w:t xml:space="preserve"> </w:t>
      </w:r>
    </w:p>
    <w:p w:rsidR="007617AD" w:rsidRDefault="00EE75C8">
      <w:pPr>
        <w:spacing w:after="0" w:line="259" w:lineRule="auto"/>
        <w:ind w:left="816" w:firstLine="0"/>
        <w:jc w:val="left"/>
      </w:pPr>
      <w:r>
        <w:rPr>
          <w:b/>
        </w:rPr>
        <w:t xml:space="preserve"> </w:t>
      </w:r>
      <w:r>
        <w:rPr>
          <w:b/>
        </w:rPr>
        <w:tab/>
        <w:t xml:space="preserve"> </w:t>
      </w:r>
    </w:p>
    <w:p w:rsidR="007617AD" w:rsidRDefault="00EE75C8">
      <w:pPr>
        <w:tabs>
          <w:tab w:val="center" w:pos="2977"/>
          <w:tab w:val="center" w:pos="7300"/>
        </w:tabs>
        <w:spacing w:after="11"/>
        <w:ind w:left="0" w:firstLine="0"/>
        <w:jc w:val="left"/>
      </w:pPr>
      <w:r>
        <w:rPr>
          <w:rFonts w:ascii="Calibri" w:eastAsia="Calibri" w:hAnsi="Calibri" w:cs="Calibri"/>
        </w:rPr>
        <w:tab/>
      </w:r>
      <w:r>
        <w:t xml:space="preserve">D. José Ramón Martín Pérez </w:t>
      </w:r>
      <w:r>
        <w:tab/>
        <w:t xml:space="preserve">D. Gustavo Pérez Martín </w:t>
      </w:r>
    </w:p>
    <w:p w:rsidR="007617AD" w:rsidRDefault="00EE75C8">
      <w:pPr>
        <w:spacing w:after="0" w:line="259" w:lineRule="auto"/>
        <w:ind w:left="426" w:firstLine="0"/>
        <w:jc w:val="center"/>
      </w:pPr>
      <w:r>
        <w:rPr>
          <w:b/>
        </w:rPr>
        <w:t xml:space="preserve"> </w:t>
      </w:r>
    </w:p>
    <w:p w:rsidR="007617AD" w:rsidRDefault="00EE75C8">
      <w:pPr>
        <w:spacing w:after="0" w:line="259" w:lineRule="auto"/>
        <w:ind w:left="695" w:firstLine="0"/>
        <w:jc w:val="center"/>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4"/>
        <w:ind w:left="1275" w:right="830" w:firstLine="631"/>
        <w:jc w:val="left"/>
      </w:pPr>
      <w:r>
        <w:rPr>
          <w:b/>
        </w:rPr>
        <w:t xml:space="preserve">La Secretaria Delegada Acctal. </w:t>
      </w:r>
      <w:r>
        <w:rPr>
          <w:b/>
        </w:rPr>
        <w:tab/>
        <w:t xml:space="preserve"> </w:t>
      </w:r>
      <w:r>
        <w:rPr>
          <w:b/>
        </w:rPr>
        <w:t xml:space="preserve">El Secretario General   del Consejo Insular de Aguas de Tenerife </w:t>
      </w:r>
      <w:r>
        <w:rPr>
          <w:b/>
        </w:rPr>
        <w:tab/>
        <w:t xml:space="preserve">del Ayuntamiento de Candelaria  </w:t>
      </w:r>
      <w:r>
        <w:rPr>
          <w:b/>
        </w:rPr>
        <w:tab/>
        <w:t xml:space="preserve"> </w:t>
      </w:r>
    </w:p>
    <w:p w:rsidR="007617AD" w:rsidRDefault="00EE75C8">
      <w:pPr>
        <w:tabs>
          <w:tab w:val="center" w:pos="3505"/>
          <w:tab w:val="center" w:pos="7830"/>
        </w:tabs>
        <w:spacing w:after="11"/>
        <w:ind w:left="0" w:firstLine="0"/>
        <w:jc w:val="left"/>
      </w:pPr>
      <w:r>
        <w:rPr>
          <w:rFonts w:ascii="Calibri" w:eastAsia="Calibri" w:hAnsi="Calibri" w:cs="Calibri"/>
        </w:rPr>
        <w:tab/>
      </w:r>
      <w:r>
        <w:t xml:space="preserve">Dª Mª de la O González León </w:t>
      </w:r>
      <w:r>
        <w:tab/>
        <w:t>D. Octavio M. Fernández Hernández</w:t>
      </w:r>
      <w:r>
        <w:rPr>
          <w:rFonts w:ascii="Times New Roman" w:eastAsia="Times New Roman" w:hAnsi="Times New Roman" w:cs="Times New Roman"/>
          <w:sz w:val="24"/>
        </w:rPr>
        <w:t xml:space="preserve"> </w:t>
      </w:r>
    </w:p>
    <w:p w:rsidR="007617AD" w:rsidRDefault="00EE75C8">
      <w:pPr>
        <w:spacing w:after="0" w:line="259" w:lineRule="auto"/>
        <w:ind w:left="3505" w:firstLine="0"/>
        <w:jc w:val="left"/>
      </w:pPr>
      <w:r>
        <w:rPr>
          <w:b/>
        </w:rPr>
        <w:t xml:space="preserve"> </w:t>
      </w:r>
      <w:r>
        <w:rPr>
          <w:b/>
        </w:rPr>
        <w:tab/>
        <w:t xml:space="preserve"> </w:t>
      </w:r>
    </w:p>
    <w:p w:rsidR="007617AD" w:rsidRDefault="00EE75C8">
      <w:pPr>
        <w:spacing w:after="0" w:line="259" w:lineRule="auto"/>
        <w:ind w:left="3505" w:firstLine="0"/>
        <w:jc w:val="left"/>
      </w:pPr>
      <w:r>
        <w:rPr>
          <w:b/>
        </w:rPr>
        <w:t xml:space="preserve"> </w:t>
      </w:r>
      <w:r>
        <w:rPr>
          <w:b/>
        </w:rPr>
        <w:tab/>
        <w:t xml:space="preserve"> </w:t>
      </w:r>
    </w:p>
    <w:p w:rsidR="007617AD" w:rsidRDefault="00EE75C8">
      <w:pPr>
        <w:spacing w:after="9"/>
        <w:ind w:left="2117" w:right="941" w:firstLine="257"/>
      </w:pPr>
      <w:r>
        <w:rPr>
          <w:b/>
        </w:rPr>
        <w:t xml:space="preserve">La Secretaria General  La Secretaria General  del Ayuntamiento de Arafo </w:t>
      </w:r>
      <w:r>
        <w:rPr>
          <w:b/>
        </w:rPr>
        <w:t xml:space="preserve">del Ayuntamiento de Güímar </w:t>
      </w:r>
    </w:p>
    <w:p w:rsidR="007617AD" w:rsidRDefault="00EE75C8">
      <w:pPr>
        <w:spacing w:after="0" w:line="259" w:lineRule="auto"/>
        <w:ind w:left="1275" w:firstLine="0"/>
        <w:jc w:val="left"/>
      </w:pPr>
      <w:r>
        <w:t xml:space="preserve"> </w:t>
      </w:r>
      <w:r>
        <w:tab/>
      </w:r>
      <w:r>
        <w:rPr>
          <w:b/>
        </w:rPr>
        <w:t xml:space="preserve">   </w:t>
      </w:r>
      <w:r>
        <w:rPr>
          <w:rFonts w:ascii="Times New Roman" w:eastAsia="Times New Roman" w:hAnsi="Times New Roman" w:cs="Times New Roman"/>
          <w:sz w:val="24"/>
        </w:rPr>
        <w:t xml:space="preserve"> </w:t>
      </w:r>
    </w:p>
    <w:p w:rsidR="007617AD" w:rsidRDefault="00EE75C8">
      <w:pPr>
        <w:tabs>
          <w:tab w:val="center" w:pos="3505"/>
          <w:tab w:val="center" w:pos="8150"/>
        </w:tabs>
        <w:spacing w:after="28"/>
        <w:ind w:left="0" w:firstLine="0"/>
        <w:jc w:val="left"/>
      </w:pPr>
      <w:r>
        <w:rPr>
          <w:rFonts w:ascii="Calibri" w:eastAsia="Calibri" w:hAnsi="Calibri" w:cs="Calibri"/>
        </w:rPr>
        <w:tab/>
      </w:r>
      <w:r>
        <w:t xml:space="preserve">Dª Ruth Cristina Arteaga González </w:t>
      </w:r>
      <w:r>
        <w:tab/>
        <w:t xml:space="preserve">Dª María Isabel Santos García </w:t>
      </w:r>
    </w:p>
    <w:p w:rsidR="007617AD" w:rsidRDefault="00EE75C8">
      <w:pPr>
        <w:spacing w:after="0" w:line="259" w:lineRule="auto"/>
        <w:ind w:left="698" w:firstLine="0"/>
        <w:jc w:val="center"/>
      </w:pPr>
      <w:r>
        <w:rPr>
          <w:rFonts w:ascii="Times New Roman" w:eastAsia="Times New Roman" w:hAnsi="Times New Roman" w:cs="Times New Roman"/>
          <w:sz w:val="24"/>
        </w:rPr>
        <w:t xml:space="preserve"> </w:t>
      </w:r>
    </w:p>
    <w:p w:rsidR="007617AD" w:rsidRDefault="00EE75C8">
      <w:pPr>
        <w:ind w:left="703" w:right="58"/>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100" w:line="259" w:lineRule="auto"/>
        <w:ind w:left="708" w:firstLine="0"/>
        <w:jc w:val="left"/>
      </w:pPr>
      <w:r>
        <w:rPr>
          <w:b/>
        </w:rPr>
        <w:t xml:space="preserve"> </w:t>
      </w:r>
    </w:p>
    <w:p w:rsidR="007617AD" w:rsidRDefault="00EE75C8">
      <w:pPr>
        <w:spacing w:after="98" w:line="259" w:lineRule="auto"/>
        <w:ind w:left="708" w:firstLine="0"/>
        <w:jc w:val="left"/>
      </w:pPr>
      <w:r>
        <w:rPr>
          <w:b/>
        </w:rPr>
        <w:t xml:space="preserve"> </w:t>
      </w:r>
    </w:p>
    <w:p w:rsidR="007617AD" w:rsidRDefault="00EE75C8">
      <w:pPr>
        <w:spacing w:after="0"/>
        <w:ind w:left="703" w:right="58"/>
      </w:pPr>
      <w:r>
        <w:rPr>
          <w:b/>
        </w:rPr>
        <w:t xml:space="preserve">Consta en el expediente propuesta de la Alcaldesa-Presidenta, de fecha 21 de junio de 2022, cuyo tenor literal es el siguiente: </w:t>
      </w:r>
    </w:p>
    <w:p w:rsidR="007617AD" w:rsidRDefault="00EE75C8">
      <w:pPr>
        <w:spacing w:after="0" w:line="259" w:lineRule="auto"/>
        <w:ind w:left="708" w:firstLine="0"/>
        <w:jc w:val="left"/>
      </w:pPr>
      <w:r>
        <w:rPr>
          <w:b/>
        </w:rPr>
        <w:t xml:space="preserve"> </w:t>
      </w:r>
    </w:p>
    <w:p w:rsidR="007617AD" w:rsidRDefault="00EE75C8">
      <w:pPr>
        <w:spacing w:after="115" w:line="259" w:lineRule="auto"/>
        <w:ind w:left="708" w:firstLine="0"/>
        <w:jc w:val="left"/>
      </w:pPr>
      <w:r>
        <w:rPr>
          <w:b/>
        </w:rPr>
        <w:t xml:space="preserve"> </w:t>
      </w:r>
    </w:p>
    <w:p w:rsidR="007617AD" w:rsidRDefault="00EE75C8">
      <w:pPr>
        <w:ind w:left="703" w:right="58"/>
      </w:pPr>
      <w:r>
        <w:rPr>
          <w:b/>
        </w:rPr>
        <w:t xml:space="preserve">   </w:t>
      </w:r>
      <w:r>
        <w:rPr>
          <w:b/>
        </w:rPr>
        <w:t xml:space="preserve">“Visto el informe jurídico del Secretario General de fecha 21 de junio de 2022 que transcrito literalmente dice: </w:t>
      </w:r>
    </w:p>
    <w:p w:rsidR="007617AD" w:rsidRDefault="00EE75C8">
      <w:pPr>
        <w:spacing w:after="98" w:line="259" w:lineRule="auto"/>
        <w:ind w:left="708" w:firstLine="0"/>
        <w:jc w:val="left"/>
      </w:pPr>
      <w:r>
        <w:rPr>
          <w:b/>
        </w:rPr>
        <w:t xml:space="preserve"> </w:t>
      </w:r>
    </w:p>
    <w:p w:rsidR="007617AD" w:rsidRDefault="00EE75C8">
      <w:pPr>
        <w:spacing w:after="98" w:line="259" w:lineRule="auto"/>
        <w:ind w:left="2976" w:firstLine="0"/>
        <w:jc w:val="left"/>
      </w:pPr>
      <w:r>
        <w:rPr>
          <w:b/>
        </w:rPr>
        <w:t xml:space="preserve"> </w:t>
      </w:r>
    </w:p>
    <w:p w:rsidR="007617AD" w:rsidRDefault="00EE75C8">
      <w:pPr>
        <w:spacing w:after="95" w:line="265" w:lineRule="auto"/>
        <w:ind w:left="905" w:right="190"/>
        <w:jc w:val="center"/>
      </w:pPr>
      <w:r>
        <w:rPr>
          <w:b/>
        </w:rPr>
        <w:t>INFORME JURÍDICO DE SECRETARÍA GENERAL</w:t>
      </w:r>
      <w:r>
        <w:t xml:space="preserve"> </w:t>
      </w:r>
    </w:p>
    <w:p w:rsidR="007617AD" w:rsidRDefault="00EE75C8">
      <w:pPr>
        <w:spacing w:after="98" w:line="259" w:lineRule="auto"/>
        <w:ind w:left="1140" w:firstLine="0"/>
        <w:jc w:val="left"/>
      </w:pPr>
      <w:r>
        <w:rPr>
          <w:b/>
        </w:rPr>
        <w:t xml:space="preserve"> </w:t>
      </w:r>
    </w:p>
    <w:p w:rsidR="007617AD" w:rsidRDefault="00EE75C8">
      <w:pPr>
        <w:pStyle w:val="Ttulo4"/>
        <w:ind w:left="905"/>
      </w:pPr>
      <w:r>
        <w:t xml:space="preserve">ANTECEDENTES DE HECHO </w:t>
      </w:r>
    </w:p>
    <w:p w:rsidR="007617AD" w:rsidRDefault="00EE75C8">
      <w:pPr>
        <w:spacing w:after="98" w:line="259" w:lineRule="auto"/>
        <w:ind w:left="1140" w:firstLine="0"/>
        <w:jc w:val="left"/>
      </w:pPr>
      <w:r>
        <w:rPr>
          <w:b/>
        </w:rPr>
        <w:t xml:space="preserve"> </w:t>
      </w:r>
    </w:p>
    <w:p w:rsidR="007617AD" w:rsidRDefault="00EE75C8">
      <w:pPr>
        <w:ind w:left="693" w:right="58" w:firstLine="432"/>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8236" name="Group 26823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9484" name="Rectangle 1948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9485" name="Rectangle 19485"/>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95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8236" style="width:12.7031pt;height:280.02pt;position:absolute;mso-position-horizontal-relative:page;mso-position-horizontal:absolute;margin-left:682.278pt;mso-position-vertical-relative:page;margin-top:531.9pt;" coordsize="1613,35562">
                <v:rect id="Rectangle 1948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9485"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192 </w:t>
                        </w:r>
                      </w:p>
                    </w:txbxContent>
                  </v:textbox>
                </v:rect>
                <w10:wrap type="square"/>
              </v:group>
            </w:pict>
          </mc:Fallback>
        </mc:AlternateContent>
      </w:r>
      <w:r>
        <w:rPr>
          <w:b/>
        </w:rPr>
        <w:t>PRIMERO.- Vistas las sucesivas reuniones celebradas en el Cons</w:t>
      </w:r>
      <w:r>
        <w:rPr>
          <w:b/>
        </w:rPr>
        <w:t>ejo Insular de Aguas de Tenerife entre la Secretaria del Consejo Insular de Aguas, la Técnico de Administración General del Consejo Insular de Aguas de Tenerife, la Secretaria del Ayuntamiento de Arafo y el Secretario del Ayuntamiento de Candelaria</w:t>
      </w:r>
      <w:r>
        <w:t xml:space="preserve"> relativ</w:t>
      </w:r>
      <w:r>
        <w:t>as a la supervisión jurídica del presente convenio CIATF-Arafo-Candelaria-Güimar para la gestión de las infraestructuras de depuración y vertido de las aguas residuales urbanas e industriales del Polígono Industrial durante los meses desde junio de 2021 ha</w:t>
      </w:r>
      <w:r>
        <w:t xml:space="preserve">sta abril de 2022. </w:t>
      </w:r>
    </w:p>
    <w:p w:rsidR="007617AD" w:rsidRDefault="00EE75C8">
      <w:pPr>
        <w:spacing w:after="98" w:line="259" w:lineRule="auto"/>
        <w:ind w:left="1140" w:firstLine="0"/>
        <w:jc w:val="left"/>
      </w:pPr>
      <w:r>
        <w:rPr>
          <w:b/>
        </w:rPr>
        <w:t xml:space="preserve"> </w:t>
      </w:r>
    </w:p>
    <w:p w:rsidR="007617AD" w:rsidRDefault="00EE75C8">
      <w:pPr>
        <w:ind w:left="693" w:right="58" w:firstLine="432"/>
      </w:pPr>
      <w:r>
        <w:rPr>
          <w:b/>
        </w:rPr>
        <w:t xml:space="preserve">SEGUNDO. - Los instrumentos jurídicos en forma de convenios que se han aprobado por las cuatro administraciones sobre el saneamiento del Valle de Güimar han sido los siguientes: </w:t>
      </w:r>
    </w:p>
    <w:p w:rsidR="007617AD" w:rsidRDefault="00EE75C8">
      <w:pPr>
        <w:ind w:left="693" w:right="62" w:firstLine="432"/>
      </w:pPr>
      <w:r>
        <w:t>1.-Convenio entre el Cabildo Insular de Tenerife, el Co</w:t>
      </w:r>
      <w:r>
        <w:t>nsejo Insular de Aguas de Tenerife y los Ayuntamientos de Arafo, Candelaria y Güimar formalizado el 31 de julio de 2017, para la tramitación de la autorización administrativa de vertido al mar y la concesión de la ocupación de los  bienes del dominio públi</w:t>
      </w:r>
      <w:r>
        <w:t>co marítimo terrestre con destino a un emisario submarino en el Polígono Industrial del Valle de Güimar por el que se encomienda al CIATF a elaborar la documentación técnica requerida para dicha autorización.</w:t>
      </w:r>
      <w:r>
        <w:rPr>
          <w:b/>
        </w:rPr>
        <w:t xml:space="preserve"> </w:t>
      </w:r>
      <w:r>
        <w:t xml:space="preserve"> </w:t>
      </w:r>
    </w:p>
    <w:p w:rsidR="007617AD" w:rsidRDefault="00EE75C8">
      <w:pPr>
        <w:ind w:left="693" w:right="62" w:firstLine="432"/>
      </w:pPr>
      <w:r>
        <w:t>2.-Acuerdos de los Plenos de los Ayuntamiento</w:t>
      </w:r>
      <w:r>
        <w:t>s de Arafo, Candelaria y Güimar durante los meses de julio, agosto y septiembre de 2018 por los que se aprobó el Plan de Etapas en el marco del expediente 2017/11106 relativo al emisario del Polígono Industrial del Valle de Güimar y las posteriores modific</w:t>
      </w:r>
      <w:r>
        <w:t xml:space="preserve">aciones de dicho plan de etapas igualmente aprobadas por los plenos municipales durante los años 2020 y 2021. </w:t>
      </w:r>
    </w:p>
    <w:p w:rsidR="007617AD" w:rsidRDefault="00EE75C8">
      <w:pPr>
        <w:ind w:left="693" w:right="62" w:firstLine="432"/>
      </w:pPr>
      <w:r>
        <w:t>3.-Convenio de colaboración entre el CIATF, el Cabildo Insular de Tenerife y los Ayuntamientos de Arafo, Candelaria y Güímar aprobado por el Ayun</w:t>
      </w:r>
      <w:r>
        <w:t xml:space="preserve">tamiento de Candelaria en el Pleno ordinario de 27 de marzo de 2019 y por los Ayuntamientos de Arafo y Güimar en el mes de mayo de 2019 y formalizado por todas las partes intervinientes el día 10 de junio de 2019. </w:t>
      </w:r>
    </w:p>
    <w:p w:rsidR="007617AD" w:rsidRDefault="00EE75C8">
      <w:pPr>
        <w:spacing w:after="97" w:line="265" w:lineRule="auto"/>
        <w:ind w:left="10" w:right="62"/>
        <w:jc w:val="right"/>
      </w:pPr>
      <w:r>
        <w:t xml:space="preserve">4.-Resolución del Viceconsejero de Lucha </w:t>
      </w:r>
      <w:r>
        <w:t>Contra el Cambio Climático del Gobierno de Canarias de 18 de septiembre de 2019, por la que se autoriza al Ayuntamiento de Arafo en su propio nombre y en representación de los Ayuntamientos de Candelaria y Güimar al vertido de aguas residuales urbanas e in</w:t>
      </w:r>
      <w:r>
        <w:t xml:space="preserve">dustriales depuradas a través del emisario submarino del Polígono Industrial del Valle de Güimar, ubicado en el término municipal de Arafo (VM-013-TF). </w:t>
      </w:r>
    </w:p>
    <w:p w:rsidR="007617AD" w:rsidRDefault="00EE75C8">
      <w:pPr>
        <w:ind w:left="693" w:right="62" w:firstLine="432"/>
      </w:pPr>
      <w:r>
        <w:t>5.-Resolución de la Dirección General de Sostenibilidad y del Mar del Ministerio para la Transición Eco</w:t>
      </w:r>
      <w:r>
        <w:t>lógica de fecha 19 de septiembre de 2019 por el que se otorga al Ayuntamiento de Arafo la concesión de ocupación de 803 metros cuadrados de dominio público marítimo terrestre con destino a conducción principal de vertido y conducción de aliviadero de emerg</w:t>
      </w:r>
      <w:r>
        <w:t xml:space="preserve">encia de aguas procedentes del Polígono Industrial de Güimar, en el término municipal de Arafo, isla de Tenerife (Santa Cruz de Tenerife). </w:t>
      </w:r>
    </w:p>
    <w:p w:rsidR="007617AD" w:rsidRDefault="00EE75C8">
      <w:pPr>
        <w:ind w:left="693" w:right="62" w:firstLine="432"/>
      </w:pPr>
      <w:r>
        <w:t xml:space="preserve">6.-Resolución del Viceconsejero de Lucha contra el Cambio Climático del Gobierno de Canarias nº 207/202 de fecha 30 </w:t>
      </w:r>
      <w:r>
        <w:t xml:space="preserve">de septiembre de 2020 por la que se modifica la autorización de vertido desde tierra a mar referida en el punto anterior. </w:t>
      </w:r>
    </w:p>
    <w:p w:rsidR="007617AD" w:rsidRDefault="00EE75C8">
      <w:pPr>
        <w:ind w:left="693" w:right="62" w:firstLine="432"/>
      </w:pPr>
      <w:r>
        <w:t>7.-Resolución de la Viceconsejería de Lucha contra el Cambio Climático y Transición Ecológica del Gobierno de Canarias Nº 312 de 02 d</w:t>
      </w:r>
      <w:r>
        <w:t>e noviembre de 2021 por la que se modifica la autorización otorgada al Ayuntamiento de Arafo, en su propio nombre y en representación de los Ayuntamientos de Candelaria y Güimar, para el vertido de aguas residuales urbanas e industriales depuradas a través</w:t>
      </w:r>
      <w:r>
        <w:t xml:space="preserve"> del emisario submarino del Polígono Industrial del Valle de Güimar, ubicado en el término municipal de Arafo (VM-013-TF) y sucesivas modificaciones posteriores.  </w:t>
      </w:r>
    </w:p>
    <w:p w:rsidR="007617AD" w:rsidRDefault="00EE75C8">
      <w:pPr>
        <w:ind w:left="693" w:right="62" w:firstLine="432"/>
      </w:pPr>
      <w:r>
        <w:t>8.- Modificación del Plan de Etapas que se han realizado durante los meses de febrero y marz</w:t>
      </w:r>
      <w:r>
        <w:t xml:space="preserve">o de 2022 por los Plenos de los Ayuntamientos de Arafo, Candelaria y Güimar. </w:t>
      </w:r>
    </w:p>
    <w:p w:rsidR="007617AD" w:rsidRDefault="00EE75C8">
      <w:pPr>
        <w:spacing w:after="95" w:line="259" w:lineRule="auto"/>
        <w:ind w:left="708" w:firstLine="0"/>
        <w:jc w:val="left"/>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8519" name="Group 26851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9610" name="Rectangle 1961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9611" name="Rectangle 19611"/>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96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8519" style="width:12.7031pt;height:280.02pt;position:absolute;mso-position-horizontal-relative:page;mso-position-horizontal:absolute;margin-left:682.278pt;mso-position-vertical-relative:page;margin-top:531.9pt;" coordsize="1613,35562">
                <v:rect id="Rectangle 1961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9611"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192 </w:t>
                        </w:r>
                      </w:p>
                    </w:txbxContent>
                  </v:textbox>
                </v:rect>
                <w10:wrap type="square"/>
              </v:group>
            </w:pict>
          </mc:Fallback>
        </mc:AlternateContent>
      </w:r>
      <w:r>
        <w:t xml:space="preserve"> </w:t>
      </w:r>
    </w:p>
    <w:p w:rsidR="007617AD" w:rsidRDefault="00EE75C8">
      <w:pPr>
        <w:ind w:left="693" w:right="58" w:firstLine="432"/>
      </w:pPr>
      <w:r>
        <w:rPr>
          <w:b/>
        </w:rPr>
        <w:t xml:space="preserve">TERCERO. - Visto el informe técnico de fecha 22 de octubre de 2021 que transcrito literalmente dice: </w:t>
      </w:r>
    </w:p>
    <w:p w:rsidR="007617AD" w:rsidRDefault="00EE75C8">
      <w:pPr>
        <w:spacing w:after="110" w:line="248" w:lineRule="auto"/>
        <w:ind w:left="693" w:right="59" w:firstLine="432"/>
      </w:pPr>
      <w:r>
        <w:rPr>
          <w:i/>
        </w:rPr>
        <w:t>“Visto el expediente antedicho, el funcionario, Don Daniel</w:t>
      </w:r>
      <w:r>
        <w:rPr>
          <w:i/>
        </w:rPr>
        <w:t xml:space="preserve"> Espejo Cómez, que desempeña el puesto de trabajo de Ingeniero Técnico Industrial, en la Oficina Técnica de la Concejalía de Planificación y Gestión Urbanística y Ambiental, emite el siguiente informe: </w:t>
      </w:r>
    </w:p>
    <w:p w:rsidR="007617AD" w:rsidRDefault="00EE75C8">
      <w:pPr>
        <w:spacing w:line="259" w:lineRule="auto"/>
        <w:ind w:left="1140" w:firstLine="0"/>
        <w:jc w:val="left"/>
      </w:pPr>
      <w:r>
        <w:rPr>
          <w:i/>
        </w:rPr>
        <w:t xml:space="preserve"> </w:t>
      </w:r>
    </w:p>
    <w:p w:rsidR="007617AD" w:rsidRDefault="00EE75C8">
      <w:pPr>
        <w:shd w:val="clear" w:color="auto" w:fill="E0E0E0"/>
        <w:spacing w:after="200" w:line="259" w:lineRule="auto"/>
        <w:ind w:left="651" w:right="3"/>
        <w:jc w:val="center"/>
      </w:pPr>
      <w:r>
        <w:rPr>
          <w:i/>
        </w:rPr>
        <w:t>ANTECEDENTES DE HECHO</w:t>
      </w:r>
      <w:r>
        <w:rPr>
          <w:rFonts w:ascii="Times New Roman" w:eastAsia="Times New Roman" w:hAnsi="Times New Roman" w:cs="Times New Roman"/>
          <w:sz w:val="24"/>
        </w:rPr>
        <w:t xml:space="preserve"> </w:t>
      </w:r>
    </w:p>
    <w:p w:rsidR="007617AD" w:rsidRDefault="00EE75C8">
      <w:pPr>
        <w:spacing w:after="110" w:line="248" w:lineRule="auto"/>
        <w:ind w:left="693" w:right="59" w:firstLine="432"/>
      </w:pPr>
      <w:r>
        <w:rPr>
          <w:i/>
        </w:rPr>
        <w:t>Primero. – En el Valle de Gü</w:t>
      </w:r>
      <w:r>
        <w:rPr>
          <w:i/>
        </w:rPr>
        <w:t>ímar presenta en la actualidad incumplimientos de la Directiva 91/271/CEE, de 21 de mayo de 1991, sobre el tratamiento de las aguas residuales urbanas, transpuesta al ordenamiento jurídico español mediante el RD-Ley 11/1995 por el que se establecen las nor</w:t>
      </w:r>
      <w:r>
        <w:rPr>
          <w:i/>
        </w:rPr>
        <w:t xml:space="preserve">mas aplicables al tratamiento de las aguas residuales urbanas y al RD 509/1996 que desarrolla el anterior.  </w:t>
      </w:r>
    </w:p>
    <w:p w:rsidR="007617AD" w:rsidRDefault="00EE75C8">
      <w:pPr>
        <w:spacing w:after="110" w:line="248" w:lineRule="auto"/>
        <w:ind w:left="693" w:right="59" w:firstLine="432"/>
      </w:pPr>
      <w:r>
        <w:rPr>
          <w:i/>
        </w:rPr>
        <w:t>En respuesta a la situación descrita, el CIATF promueve actualmente la ejecución de infraestructuras esenciales para la configuración de sistemas d</w:t>
      </w:r>
      <w:r>
        <w:rPr>
          <w:i/>
        </w:rPr>
        <w:t xml:space="preserve">e saneamiento de interés comarcal, cuya gestión se asignaría a dicho Organismo mediante la suscripción del correspondiente convenio de colaboración con los Ayuntamientos de Candelaria, Arafo y Güímar. </w:t>
      </w:r>
    </w:p>
    <w:p w:rsidR="007617AD" w:rsidRDefault="00EE75C8">
      <w:pPr>
        <w:spacing w:after="1" w:line="248" w:lineRule="auto"/>
        <w:ind w:left="693" w:right="59" w:firstLine="432"/>
      </w:pPr>
      <w:r>
        <w:rPr>
          <w:i/>
        </w:rPr>
        <w:t>Segundo. – Con fecha 20 noviembre de 2020 y registro d</w:t>
      </w:r>
      <w:r>
        <w:rPr>
          <w:i/>
        </w:rPr>
        <w:t xml:space="preserve">e entrada nº 2020-E-RC-14179, en este Ayuntamiento, mediante oficio del Ayuntamiento de Arafo remite el “BORRADOR (V1) DEL CONVENIO DE COLABORACIÓN ENTRE EL CONSEJO INSULAR DE AGUAS DE TENERIFE Y </w:t>
      </w:r>
    </w:p>
    <w:p w:rsidR="007617AD" w:rsidRDefault="00EE75C8">
      <w:pPr>
        <w:spacing w:after="110" w:line="248" w:lineRule="auto"/>
        <w:ind w:left="703" w:right="59"/>
      </w:pPr>
      <w:r>
        <w:rPr>
          <w:i/>
        </w:rPr>
        <w:t>LOS AYUNTAMIENTOS DE CANDELARIA, ARAFO Y</w:t>
      </w:r>
      <w:r>
        <w:rPr>
          <w:b/>
        </w:rPr>
        <w:t xml:space="preserve"> </w:t>
      </w:r>
      <w:r>
        <w:rPr>
          <w:i/>
        </w:rPr>
        <w:t>GÜÍMAR, PARA LA GE</w:t>
      </w:r>
      <w:r>
        <w:rPr>
          <w:i/>
        </w:rPr>
        <w:t>STIÓN DE LAS INFRAESTRUCTURAS DE DEPURACIÓN Y VERTIDO DE LAS AGUAS RESIDUALES, URBANAS E INDUSTRIALES, DE LOS SISTEMAS TERRITORIALES DEL VALLE DE GÜIMAR Y POLÍGONO INDUSTRIAL DE GÜÍMAR., para que sea revisado, y se emitan las observaciones oportunas, a los</w:t>
      </w:r>
      <w:r>
        <w:rPr>
          <w:i/>
        </w:rPr>
        <w:t xml:space="preserve"> efectos de que esté aprobado y rubricado por las cuatro Administraciones participantes antes de la puesta en servicio de la primera infraestructura, la EDARU, prevista para el primer trimestre de 2021.</w:t>
      </w:r>
      <w:r>
        <w:t xml:space="preserve"> </w:t>
      </w:r>
    </w:p>
    <w:p w:rsidR="007617AD" w:rsidRDefault="00EE75C8">
      <w:pPr>
        <w:spacing w:after="25" w:line="248" w:lineRule="auto"/>
        <w:ind w:left="693" w:right="59" w:firstLine="432"/>
      </w:pPr>
      <w:r>
        <w:rPr>
          <w:i/>
        </w:rPr>
        <w:t xml:space="preserve">Tercero. – </w:t>
      </w:r>
      <w:r>
        <w:rPr>
          <w:i/>
        </w:rPr>
        <w:t xml:space="preserve">Con fecha 29 de enero de 2021 el técnico que suscribe emite informe del antecedente de hecho anterior, cito conclusiones: “Por todo lo cual, el presente técnico informa </w:t>
      </w:r>
    </w:p>
    <w:p w:rsidR="007617AD" w:rsidRDefault="00EE75C8">
      <w:pPr>
        <w:spacing w:after="20" w:line="248" w:lineRule="auto"/>
        <w:ind w:left="703" w:right="59"/>
      </w:pPr>
      <w:r>
        <w:rPr>
          <w:i/>
          <w:u w:val="single" w:color="000000"/>
        </w:rPr>
        <w:t>FAVORABLE</w:t>
      </w:r>
      <w:r>
        <w:rPr>
          <w:i/>
        </w:rPr>
        <w:t xml:space="preserve"> </w:t>
      </w:r>
      <w:r>
        <w:rPr>
          <w:i/>
        </w:rPr>
        <w:t>al “BORRADOR (V1) DEL CONVENIO DE COLABORACIÓN ENTRE EL CONSEJO INSULAR DE AGUAS DE TENERIFE Y LOS AYUNTAMIENTOS DE CANDELARIA, ARAFO Y GÜÍMAR, PARA LA GESTIÓN DE LAS INFRAESTRUCTURAS DE DEPURACIÓN Y VERTIDO DE LAS AGUAS RESIDUALES, URBANAS E INDUSTRIALES,</w:t>
      </w:r>
      <w:r>
        <w:rPr>
          <w:i/>
        </w:rPr>
        <w:t xml:space="preserve"> DE LOS SISTEMAS TERRITORIALES </w:t>
      </w:r>
    </w:p>
    <w:p w:rsidR="007617AD" w:rsidRDefault="00EE75C8">
      <w:pPr>
        <w:spacing w:after="113" w:line="248" w:lineRule="auto"/>
        <w:ind w:left="703" w:right="58"/>
      </w:pPr>
      <w:r>
        <w:rPr>
          <w:i/>
        </w:rPr>
        <w:t xml:space="preserve">DEL VALLE DE GÜIMAR Y POLÍGONO INDUSTRIAL DE GÜÍMAR”, </w:t>
      </w:r>
      <w:r>
        <w:rPr>
          <w:i/>
          <w:u w:val="single" w:color="000000"/>
        </w:rPr>
        <w:t>condicionado a que se</w:t>
      </w:r>
      <w:r>
        <w:rPr>
          <w:i/>
        </w:rPr>
        <w:t xml:space="preserve"> </w:t>
      </w:r>
      <w:r>
        <w:rPr>
          <w:i/>
          <w:u w:val="single" w:color="000000"/>
        </w:rPr>
        <w:t>determine la solución prevista para la medición de los caudales de aguas residuales industriales</w:t>
      </w:r>
      <w:r>
        <w:rPr>
          <w:i/>
        </w:rPr>
        <w:t xml:space="preserve"> </w:t>
      </w:r>
      <w:r>
        <w:rPr>
          <w:i/>
          <w:u w:val="single" w:color="000000"/>
        </w:rPr>
        <w:t>aportados por cada Ayuntamiento y como se garantiza</w:t>
      </w:r>
      <w:r>
        <w:rPr>
          <w:i/>
          <w:u w:val="single" w:color="000000"/>
        </w:rPr>
        <w:t>rá la calidad de las aguas a verter en la red</w:t>
      </w:r>
      <w:r>
        <w:rPr>
          <w:i/>
        </w:rPr>
        <w:t xml:space="preserve"> </w:t>
      </w:r>
      <w:r>
        <w:rPr>
          <w:i/>
          <w:u w:val="single" w:color="000000"/>
        </w:rPr>
        <w:t>Polígono</w:t>
      </w:r>
      <w:r>
        <w:rPr>
          <w:i/>
        </w:rPr>
        <w:t>.”</w:t>
      </w:r>
      <w:r>
        <w:t xml:space="preserve"> </w:t>
      </w:r>
    </w:p>
    <w:p w:rsidR="007617AD" w:rsidRDefault="00EE75C8">
      <w:pPr>
        <w:spacing w:after="11" w:line="248" w:lineRule="auto"/>
        <w:ind w:left="1150" w:right="59"/>
      </w:pPr>
      <w:r>
        <w:rPr>
          <w:i/>
        </w:rPr>
        <w:t xml:space="preserve">Cuarto. – Con fecha 11 de octubre de 2021 y registro de entrada 2021-E-RR-12314, en este </w:t>
      </w:r>
    </w:p>
    <w:p w:rsidR="007617AD" w:rsidRDefault="00EE75C8">
      <w:pPr>
        <w:spacing w:after="110" w:line="248" w:lineRule="auto"/>
        <w:ind w:left="703" w:right="59"/>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8992" name="Group 26899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9737" name="Rectangle 1973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9738" name="Rectangle 19738"/>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w:t>
                              </w:r>
                              <w:r>
                                <w:rPr>
                                  <w:sz w:val="12"/>
                                </w:rPr>
                                <w:t xml:space="preserve">ento firmado electrónicamente desde la plataforma esPublico Gestiona | Página 97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8992" style="width:12.7031pt;height:280.02pt;position:absolute;mso-position-horizontal-relative:page;mso-position-horizontal:absolute;margin-left:682.278pt;mso-position-vertical-relative:page;margin-top:531.9pt;" coordsize="1613,35562">
                <v:rect id="Rectangle 1973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9738"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192 </w:t>
                        </w:r>
                      </w:p>
                    </w:txbxContent>
                  </v:textbox>
                </v:rect>
                <w10:wrap type="square"/>
              </v:group>
            </w:pict>
          </mc:Fallback>
        </mc:AlternateContent>
      </w:r>
      <w:r>
        <w:rPr>
          <w:i/>
        </w:rPr>
        <w:t>Ayuntamiento, mediante oficio del Ayuntamiento de Arafo remite el “Traslado comunicación del CIATF y Borrador final (v8) texto Convenio CIATF y Aytos Arafo, Güímar y C</w:t>
      </w:r>
      <w:r>
        <w:rPr>
          <w:i/>
        </w:rPr>
        <w:t xml:space="preserve">andelaria para la gestión de las infraestructuras de depuración y vertido de aguas residuales de los sistemas territoriales del Valle de Güímar 3138/2021” para que sea revisado, y se emitan las observaciones oportunas, a los efectos de que esté aprobado y </w:t>
      </w:r>
      <w:r>
        <w:rPr>
          <w:i/>
        </w:rPr>
        <w:t xml:space="preserve">rubricado por las cuatro Administraciones participantes. </w:t>
      </w:r>
    </w:p>
    <w:p w:rsidR="007617AD" w:rsidRDefault="00EE75C8">
      <w:pPr>
        <w:spacing w:after="98" w:line="259" w:lineRule="auto"/>
        <w:ind w:left="1140" w:firstLine="0"/>
        <w:jc w:val="left"/>
      </w:pPr>
      <w:r>
        <w:rPr>
          <w:i/>
        </w:rPr>
        <w:t xml:space="preserve"> </w:t>
      </w:r>
    </w:p>
    <w:p w:rsidR="007617AD" w:rsidRDefault="00EE75C8">
      <w:pPr>
        <w:shd w:val="clear" w:color="auto" w:fill="E0E0E0"/>
        <w:spacing w:after="200" w:line="259" w:lineRule="auto"/>
        <w:ind w:left="651"/>
        <w:jc w:val="center"/>
      </w:pPr>
      <w:r>
        <w:rPr>
          <w:i/>
        </w:rPr>
        <w:t xml:space="preserve">INFORME </w:t>
      </w:r>
    </w:p>
    <w:p w:rsidR="007617AD" w:rsidRDefault="00EE75C8">
      <w:pPr>
        <w:spacing w:after="0" w:line="248" w:lineRule="auto"/>
        <w:ind w:left="693" w:right="59" w:firstLine="432"/>
      </w:pPr>
      <w:r>
        <w:rPr>
          <w:i/>
        </w:rPr>
        <w:t>Visto el borrador ante dicho remitido el 11 de octubre de 2021, queda determinado las soluciones previstas para la medición de los caudales de aguas residuales industriales aportados por cada Ayuntamiento y la calidad de las aguas a verter, como queda refl</w:t>
      </w:r>
      <w:r>
        <w:rPr>
          <w:i/>
        </w:rPr>
        <w:t xml:space="preserve">ejado clausula Segunda. </w:t>
      </w:r>
    </w:p>
    <w:p w:rsidR="007617AD" w:rsidRDefault="00EE75C8">
      <w:pPr>
        <w:spacing w:after="110" w:line="248" w:lineRule="auto"/>
        <w:ind w:left="703" w:right="59"/>
      </w:pPr>
      <w:r>
        <w:rPr>
          <w:i/>
        </w:rPr>
        <w:t xml:space="preserve">– OBLIGACIONES DEL CONSEJO INSULAR DE AGUAS DE TENERIFE </w:t>
      </w:r>
    </w:p>
    <w:p w:rsidR="007617AD" w:rsidRDefault="00EE75C8">
      <w:pPr>
        <w:numPr>
          <w:ilvl w:val="0"/>
          <w:numId w:val="45"/>
        </w:numPr>
        <w:spacing w:after="110" w:line="248" w:lineRule="auto"/>
        <w:ind w:right="59" w:firstLine="432"/>
      </w:pPr>
      <w:r>
        <w:rPr>
          <w:i/>
        </w:rPr>
        <w:t>Salvo acuerdo expreso y unánime en contrario, la recepción de las aguas residuales brutas de origen industrial se efectuará en los puntos determinados en el plano del anexo I</w:t>
      </w:r>
      <w:r>
        <w:rPr>
          <w:i/>
        </w:rPr>
        <w:t xml:space="preserve">I, así como en los nuevos puntos por desarrollar, que sean determinados previa conformidad de las partes, y que deberán plasmarse en la correspondiente Adenda, en la que se detallarán las infraestructuras. A tal efecto el volumen de caudal que corresponda </w:t>
      </w:r>
      <w:r>
        <w:rPr>
          <w:i/>
        </w:rPr>
        <w:t xml:space="preserve">a cada Ayuntamiento, </w:t>
      </w:r>
      <w:r>
        <w:rPr>
          <w:i/>
          <w:u w:val="single" w:color="000000"/>
        </w:rPr>
        <w:t>vendrá determinado por las lecturas de los caudalímetros a implantar</w:t>
      </w:r>
      <w:r>
        <w:rPr>
          <w:i/>
        </w:rPr>
        <w:t>. Transitoriamente, hasta la instalación de estos caudalímetros, los volúmenes serán estimados por el CIATF de acuerdo con los Ayuntamientos</w:t>
      </w:r>
      <w:r>
        <w:t xml:space="preserve"> </w:t>
      </w:r>
    </w:p>
    <w:p w:rsidR="007617AD" w:rsidRDefault="00EE75C8">
      <w:pPr>
        <w:spacing w:after="100" w:line="259" w:lineRule="auto"/>
        <w:ind w:left="1140" w:firstLine="0"/>
        <w:jc w:val="left"/>
      </w:pPr>
      <w:r>
        <w:t xml:space="preserve"> </w:t>
      </w:r>
    </w:p>
    <w:p w:rsidR="007617AD" w:rsidRDefault="00EE75C8">
      <w:pPr>
        <w:numPr>
          <w:ilvl w:val="0"/>
          <w:numId w:val="45"/>
        </w:numPr>
        <w:spacing w:after="113" w:line="248" w:lineRule="auto"/>
        <w:ind w:right="59" w:firstLine="432"/>
      </w:pPr>
      <w:r>
        <w:rPr>
          <w:i/>
        </w:rPr>
        <w:t xml:space="preserve">El </w:t>
      </w:r>
      <w:r>
        <w:rPr>
          <w:i/>
          <w:u w:val="single" w:color="000000"/>
        </w:rPr>
        <w:t xml:space="preserve">servicio de control </w:t>
      </w:r>
      <w:r>
        <w:rPr>
          <w:i/>
          <w:u w:val="single" w:color="000000"/>
        </w:rPr>
        <w:t>de vertidos</w:t>
      </w:r>
      <w:r>
        <w:rPr>
          <w:i/>
        </w:rPr>
        <w:t xml:space="preserve"> al Sistema se incluirá entre sus costes mediante el correspondiente contrato específico que se formalizará una vez se disponga de los datos de explotación de la Estación Depuradora de Aguas Residuales Industriales (EDARi) durante el período de </w:t>
      </w:r>
      <w:r>
        <w:rPr>
          <w:i/>
        </w:rPr>
        <w:t xml:space="preserve">un año. </w:t>
      </w:r>
      <w:r>
        <w:rPr>
          <w:i/>
          <w:u w:val="single" w:color="000000"/>
        </w:rPr>
        <w:t>La elaboración de los criterios de control privilegiará la trazabilidad de los</w:t>
      </w:r>
      <w:r>
        <w:rPr>
          <w:i/>
        </w:rPr>
        <w:t xml:space="preserve"> </w:t>
      </w:r>
      <w:r>
        <w:rPr>
          <w:i/>
          <w:u w:val="single" w:color="000000"/>
        </w:rPr>
        <w:t>posibles incumplimientos a través de las lecturas de los sensores especializados que se</w:t>
      </w:r>
      <w:r>
        <w:rPr>
          <w:i/>
        </w:rPr>
        <w:t xml:space="preserve"> </w:t>
      </w:r>
      <w:r>
        <w:rPr>
          <w:i/>
          <w:u w:val="single" w:color="000000"/>
        </w:rPr>
        <w:t>dispondrán en la línea de proceso y de los diagnósticos que se operarán en las re</w:t>
      </w:r>
      <w:r>
        <w:rPr>
          <w:i/>
          <w:u w:val="single" w:color="000000"/>
        </w:rPr>
        <w:t>des</w:t>
      </w:r>
      <w:r>
        <w:rPr>
          <w:i/>
        </w:rPr>
        <w:t xml:space="preserve"> </w:t>
      </w:r>
      <w:r>
        <w:rPr>
          <w:i/>
          <w:u w:val="single" w:color="000000"/>
        </w:rPr>
        <w:t>municipales</w:t>
      </w:r>
      <w:r>
        <w:rPr>
          <w:i/>
        </w:rPr>
        <w:t>.</w:t>
      </w:r>
      <w:r>
        <w:t xml:space="preserve"> </w:t>
      </w:r>
    </w:p>
    <w:p w:rsidR="007617AD" w:rsidRDefault="00EE75C8">
      <w:pPr>
        <w:spacing w:after="98" w:line="259" w:lineRule="auto"/>
        <w:ind w:left="1140" w:firstLine="0"/>
        <w:jc w:val="left"/>
      </w:pPr>
      <w:r>
        <w:rPr>
          <w:i/>
        </w:rPr>
        <w:t xml:space="preserve"> </w:t>
      </w:r>
    </w:p>
    <w:p w:rsidR="007617AD" w:rsidRDefault="00EE75C8">
      <w:pPr>
        <w:shd w:val="clear" w:color="auto" w:fill="E0E0E0"/>
        <w:spacing w:after="230" w:line="259" w:lineRule="auto"/>
        <w:ind w:left="651" w:right="3"/>
        <w:jc w:val="center"/>
      </w:pPr>
      <w:r>
        <w:rPr>
          <w:i/>
        </w:rPr>
        <w:t xml:space="preserve">CONCLUSIONES </w:t>
      </w:r>
    </w:p>
    <w:p w:rsidR="007617AD" w:rsidRDefault="00EE75C8">
      <w:pPr>
        <w:spacing w:after="149" w:line="248" w:lineRule="auto"/>
        <w:ind w:left="693" w:right="59" w:firstLine="432"/>
      </w:pPr>
      <w:r>
        <w:rPr>
          <w:i/>
        </w:rPr>
        <w:t xml:space="preserve">Por todo lo cual, el presente técnico informa </w:t>
      </w:r>
      <w:r>
        <w:rPr>
          <w:i/>
          <w:u w:val="single" w:color="000000"/>
        </w:rPr>
        <w:t>FAVORABLE</w:t>
      </w:r>
      <w:r>
        <w:rPr>
          <w:i/>
        </w:rPr>
        <w:t xml:space="preserve"> al “BORRADOR (V8) DEL CONVENIO DE COLABORACIÓN ENTRE EL CONSEJO INSULAR DE AGUAS DE TENERIFE Y LOS AYUNTAMIENTOS DE CANDELARIA, ARAFO Y GÜÍMAR, PARA LA GESTIÓN DE LAS</w:t>
      </w:r>
      <w:r>
        <w:rPr>
          <w:i/>
        </w:rPr>
        <w:t xml:space="preserve"> INFRAESTRUCTURAS DE DEPURACIÓN Y VERTIDO DE LAS AGUAS RESIDUALES, URBANAS E INDUSTRIALES, DE LOS SISTEMAS TERRITORIALES DEL VALLE DE GÜIMAR Y POLÍGONO INDUSTRIAL DE GÜÍMAR”.</w:t>
      </w:r>
      <w:r>
        <w:t xml:space="preserve"> </w:t>
      </w:r>
    </w:p>
    <w:p w:rsidR="007617AD" w:rsidRDefault="00EE75C8">
      <w:pPr>
        <w:spacing w:after="110" w:line="248" w:lineRule="auto"/>
        <w:ind w:left="703" w:right="59"/>
      </w:pPr>
      <w:r>
        <w:rPr>
          <w:i/>
        </w:rPr>
        <w:t>Es cuanto se tiene que informar al respecto para los efectos que se estimen opor</w:t>
      </w:r>
      <w:r>
        <w:rPr>
          <w:i/>
        </w:rPr>
        <w:t xml:space="preserve">tunos”. </w:t>
      </w:r>
    </w:p>
    <w:p w:rsidR="007617AD" w:rsidRDefault="00EE75C8">
      <w:pPr>
        <w:spacing w:after="100" w:line="259" w:lineRule="auto"/>
        <w:ind w:left="1140" w:firstLine="0"/>
        <w:jc w:val="left"/>
      </w:pPr>
      <w:r>
        <w:rPr>
          <w:b/>
        </w:rPr>
        <w:t xml:space="preserve"> </w:t>
      </w:r>
    </w:p>
    <w:p w:rsidR="007617AD" w:rsidRDefault="00EE75C8">
      <w:pPr>
        <w:spacing w:after="110" w:line="248" w:lineRule="auto"/>
        <w:ind w:left="693" w:right="59" w:firstLine="432"/>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9078" name="Group 26907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9847" name="Rectangle 1984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9848" name="Rectangle 19848"/>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98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9078" style="width:12.7031pt;height:280.02pt;position:absolute;mso-position-horizontal-relative:page;mso-position-horizontal:absolute;margin-left:682.278pt;mso-position-vertical-relative:page;margin-top:531.9pt;" coordsize="1613,35562">
                <v:rect id="Rectangle 1984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9848"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192 </w:t>
                        </w:r>
                      </w:p>
                    </w:txbxContent>
                  </v:textbox>
                </v:rect>
                <w10:wrap type="square"/>
              </v:group>
            </w:pict>
          </mc:Fallback>
        </mc:AlternateContent>
      </w:r>
      <w:r>
        <w:rPr>
          <w:b/>
        </w:rPr>
        <w:t xml:space="preserve">CUARTO.- </w:t>
      </w:r>
      <w:r>
        <w:rPr>
          <w:b/>
        </w:rPr>
        <w:t>Visto el borrador final de 22 de abril  de 2022 remitido por el Gerente del Consejo Insular de Aguas de Tenerife del texto del convenio de colaboración a suscribir entre el Consejo Insular de Aguas de Tenerife y los Ayuntamientos de Candelaria, Arafo y Güi</w:t>
      </w:r>
      <w:r>
        <w:rPr>
          <w:b/>
        </w:rPr>
        <w:t>mar para la gestión de las infraestructuras de depuración y vertido de aguas residuales, urbanas e industriales, de los sistemas territoriales del Valle de Güimar y Polígono Industrial de Güimar, remitido por el Consejo Insular de Aguas de Tenerife al Ayun</w:t>
      </w:r>
      <w:r>
        <w:rPr>
          <w:b/>
        </w:rPr>
        <w:t xml:space="preserve">tamiento de Candelaria el día 25 de abril de 2022 que en el texto del oficio de remisión se dispone: </w:t>
      </w:r>
      <w:r>
        <w:rPr>
          <w:i/>
        </w:rPr>
        <w:t>“En relación al convenio al que se refiere el asunto, una vez consensuado el texto a nivel técnico y jurídico, adjunto se remite el borrador final (versión</w:t>
      </w:r>
      <w:r>
        <w:rPr>
          <w:i/>
        </w:rPr>
        <w:t xml:space="preserve"> 10 de fecha 18 de abril de 2022) a los efectos de que se proceda a dar inicio a su tramitación administrativa y aprobación por el órgano municipal competente, de conformidad con los compromisos asumidos por los representantes de los Ayuntamientos de Cande</w:t>
      </w:r>
      <w:r>
        <w:rPr>
          <w:i/>
        </w:rPr>
        <w:t>laria, Arafo y Güímar y del Consejo Insular de Aguas de Tenerife en la reunión mantenida en fecha de 21 de abril de 2022 en cumplimiento del convenio formalizado el 10 de junio de 2019 para el desarrollo Plan de Etapas en el marco del expediente 2017/11106</w:t>
      </w:r>
      <w:r>
        <w:rPr>
          <w:i/>
        </w:rPr>
        <w:t xml:space="preserve"> relativo al Emisario Submarino del Polígono Industrial del Valle de Güímar, cuyo expositivo 16 establece lo siguiente (la negrita es añadida)</w:t>
      </w:r>
      <w:r>
        <w:t xml:space="preserve"> </w:t>
      </w:r>
    </w:p>
    <w:p w:rsidR="007617AD" w:rsidRDefault="00EE75C8">
      <w:pPr>
        <w:spacing w:after="110" w:line="248" w:lineRule="auto"/>
        <w:ind w:left="693" w:right="59" w:firstLine="432"/>
      </w:pPr>
      <w:r>
        <w:rPr>
          <w:i/>
        </w:rPr>
        <w:t xml:space="preserve">16.- </w:t>
      </w:r>
      <w:r>
        <w:rPr>
          <w:i/>
        </w:rPr>
        <w:t>Finalmente, los tres Ayuntamientos firmantes consideran que, una vez ejecutada la EDARi del Polígono Industrial del Valle de Güímar, su gestión y operación debe ser realizada por el Consejo Insular de Aguas de Tenerife, quedando así articulado un sistema i</w:t>
      </w:r>
      <w:r>
        <w:rPr>
          <w:i/>
        </w:rPr>
        <w:t>ntegral de saneamiento para el Valle de Güímar en el que se integren los subsistemas de depuración industrial y de depuración urbana, toda vez que la Administración Hidráulica también se encuentra ejecutando una Estación Depuradora de Aguas Residuales para</w:t>
      </w:r>
      <w:r>
        <w:rPr>
          <w:i/>
        </w:rPr>
        <w:t xml:space="preserve"> el tratamiento de los efluentes urbanos.  </w:t>
      </w:r>
    </w:p>
    <w:p w:rsidR="007617AD" w:rsidRDefault="00EE75C8">
      <w:pPr>
        <w:spacing w:after="110" w:line="248" w:lineRule="auto"/>
        <w:ind w:left="693" w:right="59" w:firstLine="432"/>
      </w:pPr>
      <w:r>
        <w:rPr>
          <w:i/>
        </w:rPr>
        <w:t xml:space="preserve">Las Corporaciones Municipales, por su parte, desarrollarán todas las facultades propias de la prestación de un servicio público, especialmente, la reglamentación y el cobro de tasas por su prestación. La gestión </w:t>
      </w:r>
      <w:r>
        <w:rPr>
          <w:i/>
        </w:rPr>
        <w:t>del servicio será objeto de un Convenio específico, previo cumplimiento de los trámites procedentes, entre el Consejo Insular de Aguas de Tenerife, como gestor del servicio, y los Ayuntamientos de Candelaria, Arafo y Güímar, como titulares del mismo. En es</w:t>
      </w:r>
      <w:r>
        <w:rPr>
          <w:i/>
        </w:rPr>
        <w:t>ta gestión se deberá respetar los siguientes principios:</w:t>
      </w:r>
      <w:r>
        <w:t xml:space="preserve"> </w:t>
      </w:r>
    </w:p>
    <w:p w:rsidR="007617AD" w:rsidRDefault="00EE75C8">
      <w:pPr>
        <w:spacing w:after="101" w:line="259" w:lineRule="auto"/>
        <w:ind w:left="1140" w:firstLine="0"/>
        <w:jc w:val="left"/>
      </w:pPr>
      <w:r>
        <w:t xml:space="preserve"> </w:t>
      </w:r>
    </w:p>
    <w:p w:rsidR="007617AD" w:rsidRDefault="00EE75C8">
      <w:pPr>
        <w:spacing w:after="110" w:line="248" w:lineRule="auto"/>
        <w:ind w:left="693" w:right="59" w:firstLine="432"/>
      </w:pPr>
      <w:r>
        <w:rPr>
          <w:i/>
        </w:rPr>
        <w:t xml:space="preserve">Primero. - El de repercusión de todos los costes del servicio, incluyendo los costes ambientales, a los usuarios del mismo, en aplicación de lo mandatado por la Directiva Marco del Agua.  </w:t>
      </w:r>
    </w:p>
    <w:p w:rsidR="007617AD" w:rsidRDefault="00EE75C8">
      <w:pPr>
        <w:spacing w:after="110" w:line="248" w:lineRule="auto"/>
        <w:ind w:left="693" w:right="59" w:firstLine="432"/>
      </w:pPr>
      <w:r>
        <w:rPr>
          <w:i/>
        </w:rPr>
        <w:t>Segundo</w:t>
      </w:r>
      <w:r>
        <w:rPr>
          <w:i/>
        </w:rPr>
        <w:t xml:space="preserve">. - El de autofinanciación del servicio, por lo que todos los costes generados (funcionamiento, conservación, administración, inversión) se repercutirán, en las proporciones y cuantías que se determinen, entre los usuarios del Sistema.  </w:t>
      </w:r>
    </w:p>
    <w:p w:rsidR="007617AD" w:rsidRDefault="00EE75C8">
      <w:pPr>
        <w:spacing w:after="110" w:line="248" w:lineRule="auto"/>
        <w:ind w:left="693" w:right="59" w:firstLine="432"/>
      </w:pPr>
      <w:r>
        <w:rPr>
          <w:i/>
        </w:rPr>
        <w:t>Tercero- El de equ</w:t>
      </w:r>
      <w:r>
        <w:rPr>
          <w:i/>
        </w:rPr>
        <w:t xml:space="preserve">idad insular, por lo que no podrán existir diferencias sustanciales entre el coste del servicio en el Polígono Industrial del Valle de Güímar y en otras zonas donde el Consejo Insular de Aguas pudiera asumir competencias similares. </w:t>
      </w:r>
    </w:p>
    <w:p w:rsidR="007617AD" w:rsidRDefault="00EE75C8">
      <w:pPr>
        <w:spacing w:after="98" w:line="259" w:lineRule="auto"/>
        <w:ind w:left="1140" w:firstLine="0"/>
        <w:jc w:val="left"/>
      </w:pPr>
      <w:r>
        <w:rPr>
          <w:i/>
        </w:rPr>
        <w:t xml:space="preserve"> </w:t>
      </w:r>
    </w:p>
    <w:p w:rsidR="007617AD" w:rsidRDefault="00EE75C8">
      <w:pPr>
        <w:spacing w:after="110" w:line="248" w:lineRule="auto"/>
        <w:ind w:left="693" w:right="59" w:firstLine="432"/>
      </w:pPr>
      <w:r>
        <w:rPr>
          <w:i/>
        </w:rPr>
        <w:t>Se solicita la colabo</w:t>
      </w:r>
      <w:r>
        <w:rPr>
          <w:i/>
        </w:rPr>
        <w:t xml:space="preserve">ración de los Ayuntamientos en la agilización de los trámites que conduzcan a la aprobación del texto adjunto que se remite, previa tramitación del correspondiente procedimiento y emisión de los informes que resulten preceptivos.  </w:t>
      </w:r>
    </w:p>
    <w:p w:rsidR="007617AD" w:rsidRDefault="00EE75C8">
      <w:pPr>
        <w:spacing w:after="100" w:line="259" w:lineRule="auto"/>
        <w:ind w:left="1140" w:firstLine="0"/>
        <w:jc w:val="left"/>
      </w:pPr>
      <w:r>
        <w:rPr>
          <w:i/>
        </w:rPr>
        <w:t xml:space="preserve"> </w:t>
      </w:r>
    </w:p>
    <w:p w:rsidR="007617AD" w:rsidRDefault="00EE75C8">
      <w:pPr>
        <w:spacing w:after="110" w:line="248" w:lineRule="auto"/>
        <w:ind w:left="693" w:right="59" w:firstLine="432"/>
      </w:pPr>
      <w:r>
        <w:rPr>
          <w:i/>
        </w:rPr>
        <w:t>Para mayor facilidad e</w:t>
      </w:r>
      <w:r>
        <w:rPr>
          <w:i/>
        </w:rPr>
        <w:t xml:space="preserve">n su tramitación se pone a su disposición en la siguiente dirección electrónica este borrador en formato abierto, acompañado de los siguientes documentos que se adjuntan también al presente escrito: </w:t>
      </w:r>
    </w:p>
    <w:p w:rsidR="007617AD" w:rsidRDefault="00EE75C8">
      <w:pPr>
        <w:spacing w:after="98" w:line="259" w:lineRule="auto"/>
        <w:ind w:left="1140" w:firstLine="0"/>
        <w:jc w:val="left"/>
      </w:pPr>
      <w:r>
        <w:rPr>
          <w:i/>
        </w:rPr>
        <w:t xml:space="preserve"> </w:t>
      </w:r>
    </w:p>
    <w:p w:rsidR="007617AD" w:rsidRDefault="00EE75C8">
      <w:pPr>
        <w:spacing w:after="110" w:line="248" w:lineRule="auto"/>
        <w:ind w:left="693" w:right="59" w:firstLine="432"/>
      </w:pPr>
      <w:r>
        <w:rPr>
          <w:i/>
        </w:rPr>
        <w:t>Versión 10 (18/04/2022) del texto del convenio de cooperación interadministrativa entre el Consejo Insular de Aguas de Tenerife y los Ayuntamientos de Candelaria, Arafo y Güímar para la gestión de las infraestructuras de depuración y vertido de aguas resid</w:t>
      </w:r>
      <w:r>
        <w:rPr>
          <w:i/>
        </w:rPr>
        <w:t xml:space="preserve">uales, urbanas e industriales, de los Sistemas Territoriales del Valle de Güímar y Polígono Industrial del Valle de Güímar. </w:t>
      </w:r>
    </w:p>
    <w:p w:rsidR="007617AD" w:rsidRDefault="00EE75C8">
      <w:pPr>
        <w:numPr>
          <w:ilvl w:val="0"/>
          <w:numId w:val="46"/>
        </w:numPr>
        <w:spacing w:after="110" w:line="248" w:lineRule="auto"/>
        <w:ind w:left="1267" w:right="59" w:hanging="127"/>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9041" name="Group 269041"/>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19967" name="Rectangle 1996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19968" name="Rectangle 19968"/>
                        <wps:cNvSpPr/>
                        <wps:spPr>
                          <a:xfrm rot="-5399999">
                            <a:off x="-2070397" y="1296432"/>
                            <a:ext cx="440642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w:t>
                              </w:r>
                              <w:r>
                                <w:rPr>
                                  <w:sz w:val="12"/>
                                </w:rPr>
                                <w:t xml:space="preserve">amente desde la plataforma esPublico Gestiona | Página 99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9041" style="width:12.7031pt;height:280.02pt;position:absolute;mso-position-horizontal-relative:page;mso-position-horizontal:absolute;margin-left:682.278pt;mso-position-vertical-relative:page;margin-top:531.9pt;" coordsize="1613,35562">
                <v:rect id="Rectangle 1996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19968" style="position:absolute;width:44064;height:1132;left:-20703;top:129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192 </w:t>
                        </w:r>
                      </w:p>
                    </w:txbxContent>
                  </v:textbox>
                </v:rect>
                <w10:wrap type="square"/>
              </v:group>
            </w:pict>
          </mc:Fallback>
        </mc:AlternateContent>
      </w:r>
      <w:r>
        <w:rPr>
          <w:i/>
        </w:rPr>
        <w:t xml:space="preserve">Anexo I. Plano de puntos de recepción de las aguas residuales brutas de origen urbano. </w:t>
      </w:r>
    </w:p>
    <w:p w:rsidR="007617AD" w:rsidRDefault="00EE75C8">
      <w:pPr>
        <w:numPr>
          <w:ilvl w:val="0"/>
          <w:numId w:val="46"/>
        </w:numPr>
        <w:spacing w:after="110" w:line="248" w:lineRule="auto"/>
        <w:ind w:left="1267" w:right="59" w:hanging="127"/>
      </w:pPr>
      <w:r>
        <w:rPr>
          <w:i/>
        </w:rPr>
        <w:t xml:space="preserve">Anexo II. Plano de puntos de recepción de las aguas residuales brutas de origen industrial. </w:t>
      </w:r>
    </w:p>
    <w:p w:rsidR="007617AD" w:rsidRDefault="00EE75C8">
      <w:pPr>
        <w:numPr>
          <w:ilvl w:val="0"/>
          <w:numId w:val="46"/>
        </w:numPr>
        <w:spacing w:after="110" w:line="248" w:lineRule="auto"/>
        <w:ind w:left="1267" w:right="59" w:hanging="127"/>
      </w:pPr>
      <w:r>
        <w:rPr>
          <w:i/>
        </w:rPr>
        <w:t>Anexo III</w:t>
      </w:r>
      <w:r>
        <w:rPr>
          <w:i/>
        </w:rPr>
        <w:t xml:space="preserve">. Cronograma de Inversiones. </w:t>
      </w:r>
    </w:p>
    <w:p w:rsidR="007617AD" w:rsidRDefault="00EE75C8">
      <w:pPr>
        <w:numPr>
          <w:ilvl w:val="0"/>
          <w:numId w:val="46"/>
        </w:numPr>
        <w:spacing w:after="110" w:line="248" w:lineRule="auto"/>
        <w:ind w:left="1267" w:right="59" w:hanging="127"/>
      </w:pPr>
      <w:r>
        <w:rPr>
          <w:i/>
        </w:rPr>
        <w:t xml:space="preserve">Anexo IV. Costes estimados del convenio. </w:t>
      </w:r>
    </w:p>
    <w:p w:rsidR="007617AD" w:rsidRDefault="00EE75C8">
      <w:pPr>
        <w:spacing w:after="95" w:line="259" w:lineRule="auto"/>
        <w:ind w:left="1140" w:firstLine="0"/>
        <w:jc w:val="left"/>
      </w:pPr>
      <w:r>
        <w:rPr>
          <w:i/>
        </w:rPr>
        <w:t xml:space="preserve"> </w:t>
      </w:r>
    </w:p>
    <w:p w:rsidR="007617AD" w:rsidRDefault="00EE75C8">
      <w:pPr>
        <w:spacing w:after="98" w:line="259" w:lineRule="auto"/>
        <w:ind w:left="708" w:firstLine="0"/>
        <w:jc w:val="left"/>
      </w:pPr>
      <w:r>
        <w:rPr>
          <w:b/>
        </w:rPr>
        <w:t xml:space="preserve"> </w:t>
      </w:r>
    </w:p>
    <w:p w:rsidR="007617AD" w:rsidRDefault="00EE75C8">
      <w:pPr>
        <w:ind w:left="2986" w:right="58"/>
      </w:pPr>
      <w:r>
        <w:rPr>
          <w:b/>
        </w:rPr>
        <w:t xml:space="preserve">           FUNDAMENTOS DE DERECHO </w:t>
      </w:r>
      <w:r>
        <w:t xml:space="preserve"> </w:t>
      </w:r>
    </w:p>
    <w:p w:rsidR="007617AD" w:rsidRDefault="00EE75C8">
      <w:pPr>
        <w:spacing w:after="98" w:line="259" w:lineRule="auto"/>
        <w:ind w:left="708" w:firstLine="0"/>
        <w:jc w:val="left"/>
      </w:pPr>
      <w:r>
        <w:rPr>
          <w:b/>
        </w:rPr>
        <w:t xml:space="preserve"> </w:t>
      </w:r>
    </w:p>
    <w:p w:rsidR="007617AD" w:rsidRDefault="00EE75C8">
      <w:pPr>
        <w:spacing w:after="0"/>
        <w:ind w:left="693" w:right="58" w:firstLine="1133"/>
      </w:pPr>
      <w:r>
        <w:rPr>
          <w:b/>
        </w:rPr>
        <w:t xml:space="preserve">PRIMERO. -  EL MARCO COMUNITARIO EN MATERIA DE SANEAMIENTO Y DEPURACIÓN DE AGUAS RESIDUALES. </w:t>
      </w:r>
    </w:p>
    <w:p w:rsidR="007617AD" w:rsidRDefault="00EE75C8">
      <w:pPr>
        <w:spacing w:after="0" w:line="259" w:lineRule="auto"/>
        <w:ind w:left="708" w:firstLine="0"/>
        <w:jc w:val="left"/>
      </w:pPr>
      <w:r>
        <w:rPr>
          <w:b/>
        </w:rPr>
        <w:t xml:space="preserve"> </w:t>
      </w:r>
    </w:p>
    <w:p w:rsidR="007617AD" w:rsidRDefault="00EE75C8">
      <w:pPr>
        <w:spacing w:after="5" w:line="265" w:lineRule="auto"/>
        <w:ind w:left="10" w:right="62"/>
        <w:jc w:val="right"/>
      </w:pPr>
      <w:r>
        <w:t xml:space="preserve">La Directiva 91/271/CEE, de 21 de mayo de 1991, sobre el tratamiento de las aguas </w:t>
      </w:r>
    </w:p>
    <w:p w:rsidR="007617AD" w:rsidRDefault="00EE75C8">
      <w:pPr>
        <w:spacing w:after="134"/>
        <w:ind w:left="703" w:right="62"/>
      </w:pPr>
      <w:r>
        <w:t xml:space="preserve">residuales urbanas (en lo sucesivo Directiva 91/271) - la  cual tiene por objeto la recogida, el tratamiento y el vertido de las aguas residuales urbanas y el tratamiento y </w:t>
      </w:r>
      <w:r>
        <w:t>vertido de las aguas residuales procedentes de determinados sectores industriales, fue traspuesta a nuestro ordenamiento jurídico en virtud del Real Decreto Ley 11/1995, de 28 de diciembre, por el que se aprueban las normas aplicables al tratamiento de las</w:t>
      </w:r>
      <w:r>
        <w:t xml:space="preserve"> aguas residuales urbanas. </w:t>
      </w:r>
      <w:r>
        <w:rPr>
          <w:rFonts w:ascii="Times New Roman" w:eastAsia="Times New Roman" w:hAnsi="Times New Roman" w:cs="Times New Roman"/>
          <w:sz w:val="24"/>
        </w:rPr>
        <w:t xml:space="preserve"> </w:t>
      </w:r>
    </w:p>
    <w:p w:rsidR="007617AD" w:rsidRDefault="00EE75C8">
      <w:pPr>
        <w:ind w:left="703" w:right="62"/>
      </w:pPr>
      <w:r>
        <w:t xml:space="preserve">  El RD Ley 11/95 estableció la obligación de realizar un tratamiento previo al vertido de las aguas residuales industriales que, entre otros requisitos, sea suficiente para “garantizar que los vertidos de las instalaciones de </w:t>
      </w:r>
      <w:r>
        <w:t xml:space="preserve">tratamiento no tengan efectos nocivos sobre el medio ambiente y no impidan que las aguas receptoras cumplan los objetivos de calidad de la normativa vigente” (art. 8). </w:t>
      </w:r>
      <w:r>
        <w:rPr>
          <w:rFonts w:ascii="Times New Roman" w:eastAsia="Times New Roman" w:hAnsi="Times New Roman" w:cs="Times New Roman"/>
          <w:sz w:val="24"/>
        </w:rPr>
        <w:t xml:space="preserve"> </w:t>
      </w:r>
    </w:p>
    <w:p w:rsidR="007617AD" w:rsidRDefault="00EE75C8">
      <w:pPr>
        <w:ind w:left="693" w:right="62" w:firstLine="1133"/>
      </w:pPr>
      <w:r>
        <w:t>Además, esta norma reguló el tipo de tratamiento requerido para las aguas residuales (</w:t>
      </w:r>
      <w:r>
        <w:t>tratamiento primario vs. tratamiento secundario) en función del número de habitantes equivalentes</w:t>
      </w:r>
      <w:r>
        <w:rPr>
          <w:rFonts w:ascii="Times New Roman" w:eastAsia="Times New Roman" w:hAnsi="Times New Roman" w:cs="Times New Roman"/>
          <w:sz w:val="24"/>
        </w:rPr>
        <w:t xml:space="preserve"> </w:t>
      </w:r>
      <w:r>
        <w:t>(h-e) que llegan a la instalación. En los casos de vertido al mar, y hasta un máximo de 10.000 h – e es admisible un tratamiento primario (estación de tratami</w:t>
      </w:r>
      <w:r>
        <w:t xml:space="preserve">ento adecuado, ETAR) y, una vez superado dicho umbral, se requiere el sometimiento del agua residual a un tratamiento secundario (estación depuradora, EDAR). </w:t>
      </w:r>
      <w:r>
        <w:rPr>
          <w:rFonts w:ascii="Times New Roman" w:eastAsia="Times New Roman" w:hAnsi="Times New Roman" w:cs="Times New Roman"/>
          <w:sz w:val="24"/>
        </w:rPr>
        <w:t xml:space="preserve"> </w:t>
      </w:r>
    </w:p>
    <w:p w:rsidR="007617AD" w:rsidRDefault="00EE75C8">
      <w:pPr>
        <w:spacing w:after="0" w:line="259" w:lineRule="auto"/>
        <w:ind w:left="1841" w:firstLine="0"/>
        <w:jc w:val="left"/>
      </w:pPr>
      <w:r>
        <w:rPr>
          <w:b/>
        </w:rPr>
        <w:t xml:space="preserve"> </w:t>
      </w:r>
    </w:p>
    <w:p w:rsidR="007617AD" w:rsidRDefault="00EE75C8">
      <w:pPr>
        <w:spacing w:after="1"/>
        <w:ind w:left="693" w:right="58" w:firstLine="1133"/>
      </w:pPr>
      <w:r>
        <w:rPr>
          <w:b/>
        </w:rPr>
        <w:t xml:space="preserve">SEGUNDO. - COMPETENCIAS MUNICIPALES: AYUNTAMIENTO DE ARAFO, CANDELARIA Y GÜIMAR. </w:t>
      </w:r>
    </w:p>
    <w:p w:rsidR="007617AD" w:rsidRDefault="00EE75C8">
      <w:pPr>
        <w:spacing w:after="232"/>
        <w:ind w:left="693" w:right="62" w:firstLine="1133"/>
      </w:pPr>
      <w:r>
        <w:t xml:space="preserve">El art. 7.2 </w:t>
      </w:r>
      <w:r>
        <w:t xml:space="preserve">LRBRL dispone que “Las competencias propias de los Municipios, las Provincias, las Islas y demás Entidades Locales territoriales solo podrán ser determinadas por Ley y se ejercen en régimen de autonomía y bajo la propia responsabilidad, atendiendo siempre </w:t>
      </w:r>
      <w:r>
        <w:t xml:space="preserve">a la debida coordinación en su programación y ejecución con las demás Administraciones Públicas”.  </w:t>
      </w:r>
    </w:p>
    <w:p w:rsidR="007617AD" w:rsidRDefault="00EE75C8">
      <w:pPr>
        <w:spacing w:after="5" w:line="265" w:lineRule="auto"/>
        <w:ind w:left="10" w:right="62"/>
        <w:jc w:val="right"/>
      </w:pPr>
      <w:r>
        <w:t xml:space="preserve">En este sentido conforme al art. 25.2 LRBRL el municipio ejercerá, en todo caso, </w:t>
      </w:r>
    </w:p>
    <w:p w:rsidR="007617AD" w:rsidRDefault="00EE75C8">
      <w:pPr>
        <w:spacing w:after="210"/>
        <w:ind w:left="703" w:right="62"/>
      </w:pPr>
      <w:r>
        <w:t>competencias propias en materia de "</w:t>
      </w:r>
      <w:r>
        <w:t>evacuación y tratamiento de aguas residuales” (letra c.).</w:t>
      </w:r>
      <w:r>
        <w:rPr>
          <w:rFonts w:ascii="Times New Roman" w:eastAsia="Times New Roman" w:hAnsi="Times New Roman" w:cs="Times New Roman"/>
          <w:sz w:val="24"/>
        </w:rPr>
        <w:t xml:space="preserve"> </w:t>
      </w:r>
    </w:p>
    <w:p w:rsidR="007617AD" w:rsidRDefault="00EE75C8">
      <w:pPr>
        <w:spacing w:after="229"/>
        <w:ind w:left="1851" w:right="62"/>
      </w:pPr>
      <w:r>
        <w:t xml:space="preserve">Asimismo, conforme a los apartados 3 y 4 del referido art. 25 LRBRL: </w:t>
      </w:r>
    </w:p>
    <w:p w:rsidR="007617AD" w:rsidRDefault="00EE75C8">
      <w:pPr>
        <w:numPr>
          <w:ilvl w:val="0"/>
          <w:numId w:val="47"/>
        </w:numPr>
        <w:spacing w:after="231" w:line="248" w:lineRule="auto"/>
        <w:ind w:right="59"/>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1443" name="Group 271443"/>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0078" name="Rectangle 2007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0079" name="Rectangle 20079"/>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100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1443" style="width:12.7031pt;height:280.02pt;position:absolute;mso-position-horizontal-relative:page;mso-position-horizontal:absolute;margin-left:682.278pt;mso-position-vertical-relative:page;margin-top:531.9pt;" coordsize="1613,35562">
                <v:rect id="Rectangle 2007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0079"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192 </w:t>
                        </w:r>
                      </w:p>
                    </w:txbxContent>
                  </v:textbox>
                </v:rect>
                <w10:wrap type="square"/>
              </v:group>
            </w:pict>
          </mc:Fallback>
        </mc:AlternateContent>
      </w:r>
      <w:r>
        <w:rPr>
          <w:i/>
        </w:rPr>
        <w:t>Las competencias municipales en las materias enunciadas en este artículo se determinarán por Ley debiendo evaluar la conveniencia de la implantación de servicios</w:t>
      </w:r>
      <w:r>
        <w:rPr>
          <w:i/>
        </w:rPr>
        <w:t xml:space="preserve"> locales conforme a los principios de descentralización, eficiencia, estabilidad y sostenibilidad financiera. </w:t>
      </w:r>
    </w:p>
    <w:p w:rsidR="007617AD" w:rsidRDefault="00EE75C8">
      <w:pPr>
        <w:numPr>
          <w:ilvl w:val="0"/>
          <w:numId w:val="47"/>
        </w:numPr>
        <w:spacing w:after="234" w:line="248" w:lineRule="auto"/>
        <w:ind w:right="59"/>
      </w:pPr>
      <w:r>
        <w:rPr>
          <w:i/>
        </w:rPr>
        <w:t xml:space="preserve">La Ley a que se refiere el apartado anterior deberá ir acompañada de una memoria económica que refleje el impacto sobre los recursos financieros </w:t>
      </w:r>
      <w:r>
        <w:rPr>
          <w:i/>
        </w:rPr>
        <w:t>de las Administraciones Públicas afectadas y el cumplimiento de los principios de estabilidad, sostenibilidad financiera y eficiencia del servicio o la actividad. La Ley debe prever la dotación de los recursos necesarios para asegurar la suficiencia financ</w:t>
      </w:r>
      <w:r>
        <w:rPr>
          <w:i/>
        </w:rPr>
        <w:t xml:space="preserve">iera de las Entidades Locales sin que ello pueda conllevar, en ningún caso, un mayor gasto de las Administraciones. </w:t>
      </w:r>
    </w:p>
    <w:p w:rsidR="007617AD" w:rsidRDefault="00EE75C8">
      <w:pPr>
        <w:spacing w:after="232"/>
        <w:ind w:left="703" w:right="62"/>
      </w:pPr>
      <w:r>
        <w:t>Es de aplicación el artículo 26.1 a) de la Ley de Bases del Régimen local que atribuye a todos los municipios la competencia de alcantarill</w:t>
      </w:r>
      <w:r>
        <w:t xml:space="preserve">ado. </w:t>
      </w:r>
    </w:p>
    <w:p w:rsidR="007617AD" w:rsidRDefault="00EE75C8">
      <w:pPr>
        <w:spacing w:after="212"/>
        <w:ind w:left="693" w:right="62" w:firstLine="1133"/>
      </w:pPr>
      <w:r>
        <w:t>Por otra parte, la Ley 14/1986, de 25 de abril, General de Sanidad, que concreta las competencias municipales en materia de “medio ambiente urbano”, en su art. 42, apartado 3, considera una responsabilidad mínima de los Ayuntamientos el “control sani</w:t>
      </w:r>
      <w:r>
        <w:t xml:space="preserve">tario del medio ambiente: la contaminación atmosférica, abastecimiento de aguas, saneamiento de aguas residuales, residuos urbanos e industriales”. </w:t>
      </w:r>
      <w:r>
        <w:rPr>
          <w:rFonts w:ascii="Times New Roman" w:eastAsia="Times New Roman" w:hAnsi="Times New Roman" w:cs="Times New Roman"/>
          <w:sz w:val="24"/>
        </w:rPr>
        <w:t xml:space="preserve"> </w:t>
      </w:r>
    </w:p>
    <w:p w:rsidR="007617AD" w:rsidRDefault="00EE75C8">
      <w:pPr>
        <w:spacing w:after="5" w:line="265" w:lineRule="auto"/>
        <w:ind w:left="10" w:right="62"/>
        <w:jc w:val="right"/>
      </w:pPr>
      <w:r>
        <w:t xml:space="preserve">El art. 10 del Decreto 174/1994 de 29 de julio, por el que se aprueba el Reglamento de </w:t>
      </w:r>
    </w:p>
    <w:p w:rsidR="007617AD" w:rsidRDefault="00EE75C8">
      <w:pPr>
        <w:spacing w:after="192"/>
        <w:ind w:left="703" w:right="62"/>
      </w:pPr>
      <w:r>
        <w:t>Control de Vertido</w:t>
      </w:r>
      <w:r>
        <w:t xml:space="preserve">s para la ocupación del dominio público hidráulico. (RCV), según el cual “los municipios son directamente responsables de los servicios de abastecimiento domiciliario de agua potable, de alcantarillado y de tratamiento o depuración de las aguas residuales </w:t>
      </w:r>
      <w:r>
        <w:t xml:space="preserve">en los términos de la legislación de régimen local. Entre sus responsabilidades se incluyen (…) b.) El buen funcionamiento de sus servicios de depuración, así como la vigilancia de los instalados en las urbanizaciones no conectados al sistema general; c.) </w:t>
      </w:r>
      <w:r>
        <w:t xml:space="preserve">El control de los efluentes de sus servicios de alcantarillado y depuración de aguas residuales (…)”. </w:t>
      </w:r>
      <w:r>
        <w:rPr>
          <w:rFonts w:ascii="Times New Roman" w:eastAsia="Times New Roman" w:hAnsi="Times New Roman" w:cs="Times New Roman"/>
          <w:sz w:val="24"/>
        </w:rPr>
        <w:t xml:space="preserve"> </w:t>
      </w:r>
    </w:p>
    <w:p w:rsidR="007617AD" w:rsidRDefault="00EE75C8">
      <w:pPr>
        <w:spacing w:after="234"/>
        <w:ind w:left="703" w:right="62"/>
      </w:pPr>
      <w:r>
        <w:t xml:space="preserve">Es de aplicación la norma 297.3 del Plan Hidrológico de la Demarcación Hidrográfica de Tenerife, aprobado mediante Decreto 168/2018, de 26 de noviembre </w:t>
      </w:r>
      <w:r>
        <w:t xml:space="preserve">(BOC nº 250 de 27 de diciembre de 2018), que en su apartado 2 dispone: </w:t>
      </w:r>
    </w:p>
    <w:p w:rsidR="007617AD" w:rsidRDefault="00EE75C8">
      <w:pPr>
        <w:spacing w:after="234" w:line="248" w:lineRule="auto"/>
        <w:ind w:left="703" w:right="59"/>
      </w:pPr>
      <w:r>
        <w:rPr>
          <w:i/>
        </w:rPr>
        <w:t xml:space="preserve">El servicio de tratamiento del agua residual y el vertido podrá ser gestionado mediante fórmula de convenio entre el CIATF y uno o varios Ayuntamientos. </w:t>
      </w:r>
    </w:p>
    <w:p w:rsidR="007617AD" w:rsidRDefault="00EE75C8">
      <w:pPr>
        <w:spacing w:after="231" w:line="248" w:lineRule="auto"/>
        <w:ind w:left="703" w:right="59"/>
      </w:pPr>
      <w:r>
        <w:rPr>
          <w:i/>
        </w:rPr>
        <w:t xml:space="preserve">En este caso, se </w:t>
      </w:r>
      <w:r>
        <w:rPr>
          <w:i/>
        </w:rPr>
        <w:t>entenderá que el órgano de gestión del Convenio asume la prestación del servicio para su gestión –de manera habitual- por el Consejo Insular de Aguas, sin perjuicio de lo que corresponda en razón de la autonomía de cada Ayuntamiento en su término municipal</w:t>
      </w:r>
      <w:r>
        <w:rPr>
          <w:i/>
        </w:rPr>
        <w:t xml:space="preserve">.  </w:t>
      </w:r>
    </w:p>
    <w:p w:rsidR="007617AD" w:rsidRDefault="00EE75C8">
      <w:pPr>
        <w:spacing w:after="231" w:line="248" w:lineRule="auto"/>
        <w:ind w:left="703" w:right="59"/>
      </w:pPr>
      <w:r>
        <w:rPr>
          <w:i/>
        </w:rPr>
        <w:t>El Consejo Insular se subrogará en la explotación de las instalaciones de depuración y vertido del agua residual que no cumplan las condiciones adecuadas para la protección del medio ambiente o impidan el tratamiento de la regeneración del agua residua</w:t>
      </w:r>
      <w:r>
        <w:rPr>
          <w:i/>
        </w:rPr>
        <w:t xml:space="preserve">l, si fuere necesario para la planificación hidráulica insular. </w:t>
      </w:r>
    </w:p>
    <w:p w:rsidR="007617AD" w:rsidRDefault="00EE75C8">
      <w:pPr>
        <w:spacing w:after="218" w:line="259" w:lineRule="auto"/>
        <w:ind w:left="1841" w:firstLine="0"/>
        <w:jc w:val="left"/>
      </w:pPr>
      <w:r>
        <w:rPr>
          <w:b/>
        </w:rPr>
        <w:t xml:space="preserve"> </w:t>
      </w:r>
    </w:p>
    <w:p w:rsidR="007617AD" w:rsidRDefault="00EE75C8">
      <w:pPr>
        <w:spacing w:after="232"/>
        <w:ind w:left="693" w:right="58" w:firstLine="1133"/>
      </w:pPr>
      <w:r>
        <w:rPr>
          <w:b/>
        </w:rPr>
        <w:t>TERCERO. - COMPETENCIAS INSULARES PARA LA GESTIÓN CONJUNTA DE LAS INFRAESTRUCTURAS DE DEPURACIÓN Y VERTIDO EN EL SISTEMA TERRITORIAL DE SANEAMIENTO DEL VALLE DE GÜIMAR Y POLÍGONO INDUSTRIAL</w:t>
      </w:r>
      <w:r>
        <w:rPr>
          <w:b/>
        </w:rPr>
        <w:t xml:space="preserve"> DEL VALLE DE GÜIMAR. </w:t>
      </w:r>
    </w:p>
    <w:p w:rsidR="007617AD" w:rsidRDefault="00EE75C8">
      <w:pPr>
        <w:spacing w:after="234"/>
        <w:ind w:left="693" w:right="58" w:firstLine="1133"/>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0933" name="Group 270933"/>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0199" name="Rectangle 2019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0200" name="Rectangle 20200"/>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101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0933" style="width:12.7031pt;height:280.02pt;position:absolute;mso-position-horizontal-relative:page;mso-position-horizontal:absolute;margin-left:682.278pt;mso-position-vertical-relative:page;margin-top:531.9pt;" coordsize="1613,35562">
                <v:rect id="Rectangle 2019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0200"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192 </w:t>
                        </w:r>
                      </w:p>
                    </w:txbxContent>
                  </v:textbox>
                </v:rect>
                <w10:wrap type="square"/>
              </v:group>
            </w:pict>
          </mc:Fallback>
        </mc:AlternateContent>
      </w:r>
      <w:r>
        <w:rPr>
          <w:b/>
        </w:rPr>
        <w:t>Competencias insulares para la gest</w:t>
      </w:r>
      <w:r>
        <w:rPr>
          <w:b/>
        </w:rPr>
        <w:t xml:space="preserve">ión conjunta de las infraestructuras de depuración y vertido integradas en el Sistema Territorial de Saneamiento del Valle de Güímar y Polígono Industrial Valle de Güímar. </w:t>
      </w:r>
    </w:p>
    <w:p w:rsidR="007617AD" w:rsidRDefault="00EE75C8">
      <w:pPr>
        <w:spacing w:after="214" w:line="248" w:lineRule="auto"/>
        <w:ind w:left="703" w:right="59"/>
      </w:pPr>
      <w:r>
        <w:t>Es de aplicación el artículo 26.2 de la Ley de Bases del Régimen local que establec</w:t>
      </w:r>
      <w:r>
        <w:t xml:space="preserve">e: </w:t>
      </w:r>
      <w:r>
        <w:rPr>
          <w:i/>
        </w:rPr>
        <w:t xml:space="preserve">2. En los municipios con población inferior a 20.000 habitantes será la Diputación provincial o entidad equivalente la que coordinará la prestación de los siguientes servicios: b) (…) evacuación y tratamiento de aguas residuales. </w:t>
      </w:r>
      <w:r>
        <w:rPr>
          <w:rFonts w:ascii="Times New Roman" w:eastAsia="Times New Roman" w:hAnsi="Times New Roman" w:cs="Times New Roman"/>
          <w:sz w:val="24"/>
        </w:rPr>
        <w:t xml:space="preserve"> </w:t>
      </w:r>
    </w:p>
    <w:p w:rsidR="007617AD" w:rsidRDefault="00EE75C8">
      <w:pPr>
        <w:spacing w:after="213"/>
        <w:ind w:left="703" w:right="62"/>
      </w:pPr>
      <w:r>
        <w:t>Es de aplicación lo d</w:t>
      </w:r>
      <w:r>
        <w:t>ispuesto en el artículo 41.1 de la Ley de Bases del Régimen local que establece Los Cabildos Insulares Canarios, como órganos de gobierno, administración y representación de cada isla, se rigen por las normas contenidas en la disposición adicional decimocu</w:t>
      </w:r>
      <w:r>
        <w:t>arta de esta ley y supletoriamente por las normas que regulan la organización y funcionamiento de las Diputaciones provinciales, asumiendo las competencias de éstas, sin perjuicio de lo dispuesto en el Estatuto de Autonomía de Canarias.</w:t>
      </w:r>
      <w:r>
        <w:rPr>
          <w:rFonts w:ascii="Times New Roman" w:eastAsia="Times New Roman" w:hAnsi="Times New Roman" w:cs="Times New Roman"/>
          <w:sz w:val="24"/>
        </w:rPr>
        <w:t xml:space="preserve"> </w:t>
      </w:r>
    </w:p>
    <w:p w:rsidR="007617AD" w:rsidRDefault="00EE75C8">
      <w:pPr>
        <w:spacing w:after="211" w:line="248" w:lineRule="auto"/>
        <w:ind w:left="703" w:right="59"/>
      </w:pPr>
      <w:r>
        <w:t xml:space="preserve">Es de aplicación la norma 298.1 “Gestión supramunicipal del Saneamiento” del Plan Hidrológico de la Demarcación Hidrográfica de Tenerife, aprobado mediante Decreto 168/2018, de 26 de noviembre (BOC nº 250 de 27 de diciembre de 2018), que dispone: </w:t>
      </w:r>
      <w:r>
        <w:rPr>
          <w:i/>
        </w:rPr>
        <w:t>1.- En lo</w:t>
      </w:r>
      <w:r>
        <w:rPr>
          <w:i/>
        </w:rPr>
        <w:t>s municipios de menos de 20.000 habitantes, el Cabildo de Tenerife –directamente o a través del Consejo Insular de Aguas, según se establezca -coordinará la prestación del servicio de saneamiento del agua residual en los términos previstos en el artículo 2</w:t>
      </w:r>
      <w:r>
        <w:rPr>
          <w:i/>
        </w:rPr>
        <w:t>6.2 de la Ley de Bases del Régimen local (…).</w:t>
      </w:r>
      <w:r>
        <w:rPr>
          <w:rFonts w:ascii="Times New Roman" w:eastAsia="Times New Roman" w:hAnsi="Times New Roman" w:cs="Times New Roman"/>
          <w:sz w:val="24"/>
        </w:rPr>
        <w:t xml:space="preserve"> </w:t>
      </w:r>
    </w:p>
    <w:p w:rsidR="007617AD" w:rsidRDefault="00EE75C8">
      <w:pPr>
        <w:spacing w:after="212"/>
        <w:ind w:left="703" w:right="62"/>
      </w:pPr>
      <w:r>
        <w:t>Los Consejos Insulares son Organismos Autónomos que ejercen en cada Isla las funciones que, en relación con las aguas, la legislación general confía a los Organismos de cuenca, así como las competencias que le</w:t>
      </w:r>
      <w:r>
        <w:t xml:space="preserve"> otorga la propia Ley de Aguas de Canarias (arts. 6 y 10 LAC).  </w:t>
      </w:r>
    </w:p>
    <w:p w:rsidR="007617AD" w:rsidRDefault="00EE75C8">
      <w:pPr>
        <w:spacing w:after="217"/>
        <w:ind w:left="703" w:right="62"/>
      </w:pPr>
      <w:r>
        <w:t>El Consejo Insular de Aguas de Tenerife tiene atribuidas, entre otras funciones, la prestación de toda clase de servicios técnicos y el asesoramiento a las Administraciones Públicas, según de</w:t>
      </w:r>
      <w:r>
        <w:t xml:space="preserve">termina la Ley 12/1990, de 26 de julio, de Aguas de Canarias. </w:t>
      </w:r>
      <w:r>
        <w:rPr>
          <w:rFonts w:ascii="Times New Roman" w:eastAsia="Times New Roman" w:hAnsi="Times New Roman" w:cs="Times New Roman"/>
          <w:sz w:val="24"/>
        </w:rPr>
        <w:t xml:space="preserve"> </w:t>
      </w:r>
    </w:p>
    <w:p w:rsidR="007617AD" w:rsidRDefault="00EE75C8">
      <w:pPr>
        <w:spacing w:after="213"/>
        <w:ind w:left="703" w:right="62"/>
      </w:pPr>
      <w:r>
        <w:t>Atendiendo a lo anterior, de acuerdo con la actuación desarrollada hasta la fecha en los Convenios formalizados con los Ayuntamientos de la Isla para articular sus competencias en lo que respe</w:t>
      </w:r>
      <w:r>
        <w:t>cta a la depuración y vertido, corresponde al CIATF la gestión de las infraestructuras a través de la fórmula que se considere adecuada a tal fin (que podrá ser por contratos de servicios (funciones de operación) o encargo a medio propio, una combinación d</w:t>
      </w:r>
      <w:r>
        <w:t>e ambas u otras fórmulas previstas en el ordenamiento jurídico que sean adecuadas a tal fin), y a llevar a cabo un control ambiental y técnico de su funcionamiento. Además, el CIATF prefinancia esta gestión pues atiende a todos los gastos (incluyendo la el</w:t>
      </w:r>
      <w:r>
        <w:t xml:space="preserve">ectricidad) y, a posteriori, procede a su repercusión íntegra a los Ayuntamientos. </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ind w:left="693" w:right="58" w:firstLine="708"/>
      </w:pPr>
      <w:r>
        <w:rPr>
          <w:b/>
        </w:rPr>
        <w:t xml:space="preserve">CUARTO. - LA INELUDIBLE COORDINACIÓN QUE DEBE EXISTIR ENTRE EL CONSEJO INSULAR DE AGUAS Y LOS AYUNTAMIENTOS DE ARAFO, CANDELARIA Y GÜIMAR. </w:t>
      </w:r>
      <w:r>
        <w:rPr>
          <w:rFonts w:ascii="Times New Roman" w:eastAsia="Times New Roman" w:hAnsi="Times New Roman" w:cs="Times New Roman"/>
          <w:sz w:val="24"/>
        </w:rPr>
        <w:t xml:space="preserve"> </w:t>
      </w:r>
    </w:p>
    <w:p w:rsidR="007617AD" w:rsidRDefault="00EE75C8">
      <w:pPr>
        <w:spacing w:after="0" w:line="259" w:lineRule="auto"/>
        <w:ind w:left="1416" w:firstLine="0"/>
        <w:jc w:val="left"/>
      </w:pPr>
      <w:r>
        <w:t xml:space="preserve"> </w:t>
      </w:r>
    </w:p>
    <w:p w:rsidR="007617AD" w:rsidRDefault="00EE75C8">
      <w:pPr>
        <w:spacing w:after="280"/>
        <w:ind w:left="693" w:right="58" w:firstLine="708"/>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0931" name="Group 270931"/>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0303" name="Rectangle 20303"/>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0304" name="Rectangle 20304"/>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102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0931" style="width:12.7031pt;height:280.02pt;position:absolute;mso-position-horizontal-relative:page;mso-position-horizontal:absolute;margin-left:682.278pt;mso-position-vertical-relative:page;margin-top:531.9pt;" coordsize="1613,35562">
                <v:rect id="Rectangle 20303"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0304"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192 </w:t>
                        </w:r>
                      </w:p>
                    </w:txbxContent>
                  </v:textbox>
                </v:rect>
                <w10:wrap type="square"/>
              </v:group>
            </w:pict>
          </mc:Fallback>
        </mc:AlternateContent>
      </w:r>
      <w:r>
        <w:rPr>
          <w:b/>
        </w:rPr>
        <w:t>Es de aplicación el Artículo 55 de la ley de Bases del Régimen Local que regula las relaciones interadministrativas, y por tanto las relaciones entre los Ayuntamientos de Arafo, Candelaria y Güimar:</w:t>
      </w:r>
      <w:r>
        <w:rPr>
          <w:vertAlign w:val="subscript"/>
        </w:rPr>
        <w:t xml:space="preserve"> </w:t>
      </w:r>
    </w:p>
    <w:p w:rsidR="007617AD" w:rsidRDefault="00EE75C8">
      <w:pPr>
        <w:spacing w:after="274" w:line="248" w:lineRule="auto"/>
        <w:ind w:left="703" w:right="59"/>
      </w:pPr>
      <w:r>
        <w:rPr>
          <w:i/>
        </w:rPr>
        <w:t>Para la efectiva coordinación y eficacia administrativa,</w:t>
      </w:r>
      <w:r>
        <w:rPr>
          <w:i/>
        </w:rPr>
        <w:t xml:space="preserve"> la Administración General del Estado, así como las Administraciones autonómica y local, de acuerdo con el principio de lealtad institucional, deberán en sus relaciones recíprocas: </w:t>
      </w:r>
    </w:p>
    <w:p w:rsidR="007617AD" w:rsidRDefault="00EE75C8">
      <w:pPr>
        <w:numPr>
          <w:ilvl w:val="0"/>
          <w:numId w:val="48"/>
        </w:numPr>
        <w:spacing w:after="277" w:line="248" w:lineRule="auto"/>
        <w:ind w:right="59"/>
      </w:pPr>
      <w:r>
        <w:rPr>
          <w:i/>
        </w:rPr>
        <w:t>Respetar el ejercicio legítimo por las otras Administraciones de sus compe</w:t>
      </w:r>
      <w:r>
        <w:rPr>
          <w:i/>
        </w:rPr>
        <w:t xml:space="preserve">tencias y las consecuencias que del mismo se deriven para las propias. </w:t>
      </w:r>
    </w:p>
    <w:p w:rsidR="007617AD" w:rsidRDefault="00EE75C8">
      <w:pPr>
        <w:numPr>
          <w:ilvl w:val="0"/>
          <w:numId w:val="48"/>
        </w:numPr>
        <w:spacing w:after="274" w:line="248" w:lineRule="auto"/>
        <w:ind w:right="59"/>
      </w:pPr>
      <w:r>
        <w:rPr>
          <w:i/>
        </w:rPr>
        <w:t>Ponderar, en la actuación de las competencias propias, la totalidad de los intereses públicos implicados y, en concreto, aquellos cuya gestión esté encomendada a otras Administraciones</w:t>
      </w:r>
      <w:r>
        <w:rPr>
          <w:i/>
        </w:rPr>
        <w:t xml:space="preserve">. </w:t>
      </w:r>
    </w:p>
    <w:p w:rsidR="007617AD" w:rsidRDefault="00EE75C8">
      <w:pPr>
        <w:numPr>
          <w:ilvl w:val="0"/>
          <w:numId w:val="48"/>
        </w:numPr>
        <w:spacing w:after="274" w:line="248" w:lineRule="auto"/>
        <w:ind w:right="59"/>
      </w:pPr>
      <w:r>
        <w:rPr>
          <w:i/>
        </w:rPr>
        <w:t xml:space="preserve">Valorar el impacto que sus actuaciones, en materia presupuestaria y financiera, pudieran provocar en el resto de Administraciones Públicas. </w:t>
      </w:r>
    </w:p>
    <w:p w:rsidR="007617AD" w:rsidRDefault="00EE75C8">
      <w:pPr>
        <w:numPr>
          <w:ilvl w:val="0"/>
          <w:numId w:val="48"/>
        </w:numPr>
        <w:spacing w:after="277" w:line="248" w:lineRule="auto"/>
        <w:ind w:right="59"/>
      </w:pPr>
      <w:r>
        <w:rPr>
          <w:i/>
        </w:rPr>
        <w:t>Facilitar a las otras Administraciones la información sobre la propia gestión que sea relevante para el adecuado</w:t>
      </w:r>
      <w:r>
        <w:rPr>
          <w:i/>
        </w:rPr>
        <w:t xml:space="preserve"> desarrollo por éstas de sus cometidos. </w:t>
      </w:r>
    </w:p>
    <w:p w:rsidR="007617AD" w:rsidRDefault="00EE75C8">
      <w:pPr>
        <w:numPr>
          <w:ilvl w:val="0"/>
          <w:numId w:val="48"/>
        </w:numPr>
        <w:spacing w:after="277" w:line="248" w:lineRule="auto"/>
        <w:ind w:right="59"/>
      </w:pPr>
      <w:r>
        <w:rPr>
          <w:i/>
        </w:rPr>
        <w:t>Prestar, en el ámbito propio, la cooperación y asistencia activas que las otras Administraciones pudieran precisar para el eficaz cumplimiento de sus tareas.</w:t>
      </w:r>
      <w:r>
        <w:rPr>
          <w:vertAlign w:val="subscript"/>
        </w:rPr>
        <w:t xml:space="preserve"> </w:t>
      </w:r>
    </w:p>
    <w:p w:rsidR="007617AD" w:rsidRDefault="00EE75C8">
      <w:pPr>
        <w:spacing w:after="0" w:line="259" w:lineRule="auto"/>
        <w:ind w:left="1416" w:firstLine="0"/>
        <w:jc w:val="left"/>
      </w:pPr>
      <w:r>
        <w:t xml:space="preserve"> </w:t>
      </w:r>
    </w:p>
    <w:p w:rsidR="007617AD" w:rsidRDefault="00EE75C8">
      <w:pPr>
        <w:spacing w:after="0"/>
        <w:ind w:left="693" w:right="58" w:firstLine="1133"/>
      </w:pPr>
      <w:r>
        <w:rPr>
          <w:b/>
        </w:rPr>
        <w:t>A tal efecto conviene recordar lo que el auto judicial</w:t>
      </w:r>
      <w:r>
        <w:rPr>
          <w:b/>
        </w:rPr>
        <w:t xml:space="preserve"> de 13 de junio de 2017 del Juzgado de lo Contencioso-Administrativo número 4 estableció: </w:t>
      </w:r>
    </w:p>
    <w:p w:rsidR="007617AD" w:rsidRDefault="00EE75C8">
      <w:pPr>
        <w:spacing w:after="0" w:line="259" w:lineRule="auto"/>
        <w:ind w:left="708" w:firstLine="0"/>
        <w:jc w:val="left"/>
      </w:pPr>
      <w:r>
        <w:rPr>
          <w:b/>
        </w:rPr>
        <w:t xml:space="preserve"> </w:t>
      </w:r>
    </w:p>
    <w:p w:rsidR="007617AD" w:rsidRDefault="00EE75C8">
      <w:pPr>
        <w:spacing w:after="10" w:line="249" w:lineRule="auto"/>
        <w:jc w:val="left"/>
      </w:pPr>
      <w:r>
        <w:rPr>
          <w:b/>
          <w:u w:val="single" w:color="000000"/>
        </w:rPr>
        <w:t>A tal efecto destacamos el contenido del auto lo siguiente que dice literalmente:</w:t>
      </w:r>
      <w:r>
        <w:rPr>
          <w:b/>
        </w:rPr>
        <w:t xml:space="preserve"> </w:t>
      </w:r>
    </w:p>
    <w:p w:rsidR="007617AD" w:rsidRDefault="00EE75C8">
      <w:pPr>
        <w:spacing w:after="16" w:line="259" w:lineRule="auto"/>
        <w:ind w:left="708" w:firstLine="0"/>
        <w:jc w:val="left"/>
      </w:pPr>
      <w:r>
        <w:rPr>
          <w:b/>
        </w:rPr>
        <w:t xml:space="preserve"> </w:t>
      </w:r>
    </w:p>
    <w:p w:rsidR="007617AD" w:rsidRDefault="00EE75C8">
      <w:pPr>
        <w:spacing w:after="11" w:line="248" w:lineRule="auto"/>
        <w:ind w:left="1851" w:right="59"/>
      </w:pPr>
      <w:r>
        <w:rPr>
          <w:i/>
        </w:rPr>
        <w:t xml:space="preserve">(…) Tengamos en cuenta que las Administraciones públicas tienen el deber legal de </w:t>
      </w:r>
    </w:p>
    <w:p w:rsidR="007617AD" w:rsidRDefault="00EE75C8">
      <w:pPr>
        <w:spacing w:after="0" w:line="248" w:lineRule="auto"/>
        <w:ind w:left="703" w:right="59"/>
      </w:pPr>
      <w:r>
        <w:rPr>
          <w:i/>
        </w:rPr>
        <w:t xml:space="preserve">actuar conforme a los principios generales del artículo 3.1 de la Ley 40/2015, de 1 de octubre, del Régimen Jurídico del Sector Público, es decir, sirviendo con objetividad </w:t>
      </w:r>
      <w:r>
        <w:rPr>
          <w:i/>
        </w:rPr>
        <w:t xml:space="preserve">los intereses generales y actuando con los principios de eficacia, jerarquía, descentralización, desconcentración y coordinación, con sometimiento pleno a la Constitución, a la Ley y al Derecho.  </w:t>
      </w:r>
    </w:p>
    <w:p w:rsidR="007617AD" w:rsidRDefault="00EE75C8">
      <w:pPr>
        <w:spacing w:after="11" w:line="248" w:lineRule="auto"/>
        <w:ind w:left="1851" w:right="59"/>
      </w:pPr>
      <w:r>
        <w:rPr>
          <w:i/>
        </w:rPr>
        <w:t>Una actuación descoordinada y desconectada de las Administr</w:t>
      </w:r>
      <w:r>
        <w:rPr>
          <w:i/>
        </w:rPr>
        <w:t xml:space="preserve">aciones concurrentes, </w:t>
      </w:r>
    </w:p>
    <w:p w:rsidR="007617AD" w:rsidRDefault="00EE75C8">
      <w:pPr>
        <w:spacing w:after="0" w:line="248" w:lineRule="auto"/>
        <w:ind w:left="703" w:right="59"/>
      </w:pPr>
      <w:r>
        <w:rPr>
          <w:i/>
        </w:rPr>
        <w:t>cada uno con una visión en el ámbito de sus competencias limitadas supone merma del principio de eficacia e insatisfacción de los intereses generales. Este precepto no sólo es de aplicación a los Ayuntamientos, Administración insular</w:t>
      </w:r>
      <w:r>
        <w:rPr>
          <w:i/>
        </w:rPr>
        <w:t xml:space="preserve"> y de cuenca y Administración Autonómica, sino que también es de aplicación a la Asociación Mixta de Compensación del Polígono Industrial del Valle de Güimar en calidad de administración urbanizadora. </w:t>
      </w:r>
    </w:p>
    <w:p w:rsidR="007617AD" w:rsidRDefault="00EE75C8">
      <w:pPr>
        <w:spacing w:after="0" w:line="259" w:lineRule="auto"/>
        <w:ind w:left="708" w:firstLine="0"/>
        <w:jc w:val="left"/>
      </w:pPr>
      <w:r>
        <w:rPr>
          <w:i/>
        </w:rPr>
        <w:t xml:space="preserve"> </w:t>
      </w:r>
    </w:p>
    <w:p w:rsidR="007617AD" w:rsidRDefault="00EE75C8">
      <w:pPr>
        <w:spacing w:after="11" w:line="248" w:lineRule="auto"/>
        <w:ind w:left="1851" w:right="59"/>
      </w:pPr>
      <w:r>
        <w:rPr>
          <w:i/>
        </w:rPr>
        <w:t>En la comparecencia puse de manifiesto que el presen</w:t>
      </w:r>
      <w:r>
        <w:rPr>
          <w:i/>
        </w:rPr>
        <w:t xml:space="preserve">te recurso contencioso no va a </w:t>
      </w:r>
    </w:p>
    <w:p w:rsidR="007617AD" w:rsidRDefault="00EE75C8">
      <w:pPr>
        <w:spacing w:after="2" w:line="248" w:lineRule="auto"/>
        <w:ind w:left="703" w:right="59"/>
      </w:pPr>
      <w:r>
        <w:rPr>
          <w:i/>
        </w:rPr>
        <w:t>resolver la ineludible necesidad de dar solución al problema de fondo de depurar debidamente los vertidos y ajustarlos a la legalidad, así como controlar y disciplinar individualmente a cada empresa por lo que vierta. Esa so</w:t>
      </w:r>
      <w:r>
        <w:rPr>
          <w:i/>
        </w:rPr>
        <w:t xml:space="preserve">lución sólo puede venir dada por la actuación diligente, decidida y coordinada de las Administraciones cuyas competencias y cotitularidades concurren. (…) </w:t>
      </w:r>
    </w:p>
    <w:p w:rsidR="007617AD" w:rsidRDefault="00EE75C8">
      <w:pPr>
        <w:spacing w:after="0" w:line="259" w:lineRule="auto"/>
        <w:ind w:left="708" w:firstLine="0"/>
        <w:jc w:val="left"/>
      </w:pPr>
      <w:r>
        <w:rPr>
          <w:i/>
        </w:rPr>
        <w:t xml:space="preserve"> </w:t>
      </w:r>
    </w:p>
    <w:p w:rsidR="007617AD" w:rsidRDefault="00EE75C8">
      <w:pPr>
        <w:spacing w:after="11"/>
        <w:ind w:left="1851" w:right="58"/>
      </w:pPr>
      <w:r>
        <w:rPr>
          <w:b/>
        </w:rPr>
        <w:t xml:space="preserve">PROPUESTA DE ACUERDO AL PLENO DE LA CORPORACIÓN </w:t>
      </w:r>
    </w:p>
    <w:p w:rsidR="007617AD" w:rsidRDefault="00EE75C8">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1449" name="Group 27144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0410" name="Rectangle 2041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w:t>
                              </w:r>
                              <w:r>
                                <w:rPr>
                                  <w:sz w:val="12"/>
                                </w:rPr>
                                <w:t xml:space="preserve">erificación: https://candelaria.sedelectronica.es/ </w:t>
                              </w:r>
                            </w:p>
                          </w:txbxContent>
                        </wps:txbx>
                        <wps:bodyPr horzOverflow="overflow" vert="horz" lIns="0" tIns="0" rIns="0" bIns="0" rtlCol="0">
                          <a:noAutofit/>
                        </wps:bodyPr>
                      </wps:wsp>
                      <wps:wsp>
                        <wps:cNvPr id="20411" name="Rectangle 20411"/>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103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1449" style="width:12.7031pt;height:280.02pt;position:absolute;mso-position-horizontal-relative:page;mso-position-horizontal:absolute;margin-left:682.278pt;mso-position-vertical-relative:page;margin-top:531.9pt;" coordsize="1613,35562">
                <v:rect id="Rectangle 2041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0411"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192 </w:t>
                        </w:r>
                      </w:p>
                    </w:txbxContent>
                  </v:textbox>
                </v:rect>
                <w10:wrap type="square"/>
              </v:group>
            </w:pict>
          </mc:Fallback>
        </mc:AlternateContent>
      </w: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ind w:left="693" w:right="58" w:firstLine="1133"/>
      </w:pPr>
      <w:r>
        <w:rPr>
          <w:b/>
        </w:rPr>
        <w:t xml:space="preserve">Primero. - </w:t>
      </w:r>
      <w:r>
        <w:rPr>
          <w:b/>
        </w:rPr>
        <w:t>Aprobar el convenio de colaboración entre el Consejo Insular de Aguas de Tenerife y los Ayuntamientos de Candelaria, Arafo y Güimar para la gestión de la infraestructura de depuración y vertido de aguas residuales, urbanas e industriales, de los sistemas t</w:t>
      </w:r>
      <w:r>
        <w:rPr>
          <w:b/>
        </w:rPr>
        <w:t xml:space="preserve">erritoriales del Valle de Güimar y Polígono Industrial del Valle de Güimar cuyo texto se inserta a continuación, así como sus anexos. </w:t>
      </w:r>
    </w:p>
    <w:p w:rsidR="007617AD" w:rsidRDefault="00EE75C8">
      <w:pPr>
        <w:spacing w:after="0" w:line="259" w:lineRule="auto"/>
        <w:ind w:left="1841" w:firstLine="0"/>
        <w:jc w:val="left"/>
      </w:pPr>
      <w:r>
        <w:t xml:space="preserve"> </w:t>
      </w:r>
    </w:p>
    <w:p w:rsidR="007617AD" w:rsidRDefault="00EE75C8">
      <w:pPr>
        <w:spacing w:after="11"/>
        <w:ind w:left="1851" w:right="62"/>
      </w:pPr>
      <w:r>
        <w:t xml:space="preserve">-Anexo I. Plano de puntos de recepción de las aguas residuales brutas de origen urbano.  </w:t>
      </w:r>
    </w:p>
    <w:p w:rsidR="007617AD" w:rsidRDefault="00EE75C8">
      <w:pPr>
        <w:spacing w:after="0" w:line="259" w:lineRule="auto"/>
        <w:ind w:left="1841" w:firstLine="0"/>
        <w:jc w:val="left"/>
      </w:pPr>
      <w:r>
        <w:t xml:space="preserve"> </w:t>
      </w:r>
    </w:p>
    <w:p w:rsidR="007617AD" w:rsidRDefault="00EE75C8">
      <w:pPr>
        <w:numPr>
          <w:ilvl w:val="0"/>
          <w:numId w:val="49"/>
        </w:numPr>
        <w:spacing w:after="11"/>
        <w:ind w:right="62" w:hanging="168"/>
      </w:pPr>
      <w:r>
        <w:t>Anexo II. Plano de puntos d</w:t>
      </w:r>
      <w:r>
        <w:t xml:space="preserve">e recepción de las aguas residuales brutas de origen </w:t>
      </w:r>
    </w:p>
    <w:p w:rsidR="007617AD" w:rsidRDefault="00EE75C8">
      <w:pPr>
        <w:spacing w:after="11"/>
        <w:ind w:left="703" w:right="62"/>
      </w:pPr>
      <w:r>
        <w:t xml:space="preserve">industrial.  </w:t>
      </w:r>
    </w:p>
    <w:p w:rsidR="007617AD" w:rsidRDefault="00EE75C8">
      <w:pPr>
        <w:spacing w:after="0" w:line="259" w:lineRule="auto"/>
        <w:ind w:left="1841" w:firstLine="0"/>
        <w:jc w:val="left"/>
      </w:pPr>
      <w:r>
        <w:t xml:space="preserve"> </w:t>
      </w:r>
    </w:p>
    <w:p w:rsidR="007617AD" w:rsidRDefault="00EE75C8">
      <w:pPr>
        <w:numPr>
          <w:ilvl w:val="0"/>
          <w:numId w:val="49"/>
        </w:numPr>
        <w:spacing w:after="11"/>
        <w:ind w:right="62" w:hanging="168"/>
      </w:pPr>
      <w:r>
        <w:t xml:space="preserve">Anexo III. Cronograma de Inversiones.  </w:t>
      </w:r>
    </w:p>
    <w:p w:rsidR="007617AD" w:rsidRDefault="00EE75C8">
      <w:pPr>
        <w:spacing w:after="0" w:line="259" w:lineRule="auto"/>
        <w:ind w:left="1841" w:firstLine="0"/>
        <w:jc w:val="left"/>
      </w:pPr>
      <w:r>
        <w:t xml:space="preserve"> </w:t>
      </w:r>
    </w:p>
    <w:p w:rsidR="007617AD" w:rsidRDefault="00EE75C8">
      <w:pPr>
        <w:numPr>
          <w:ilvl w:val="0"/>
          <w:numId w:val="49"/>
        </w:numPr>
        <w:spacing w:after="11"/>
        <w:ind w:right="62" w:hanging="168"/>
      </w:pPr>
      <w:r>
        <w:t xml:space="preserve">Anexo IV. Costes estimados del convenio. </w:t>
      </w:r>
    </w:p>
    <w:p w:rsidR="007617AD" w:rsidRDefault="00EE75C8">
      <w:pPr>
        <w:spacing w:after="0" w:line="259" w:lineRule="auto"/>
        <w:ind w:left="1841" w:firstLine="0"/>
        <w:jc w:val="left"/>
      </w:pPr>
      <w:r>
        <w:rPr>
          <w:b/>
        </w:rPr>
        <w:t xml:space="preserve"> </w:t>
      </w:r>
    </w:p>
    <w:p w:rsidR="007617AD" w:rsidRDefault="00EE75C8">
      <w:pPr>
        <w:spacing w:after="11"/>
        <w:ind w:left="1851" w:right="58"/>
      </w:pPr>
      <w:r>
        <w:rPr>
          <w:b/>
        </w:rPr>
        <w:t xml:space="preserve">Segundo. - Facultar a la Alcaldesa-Presidenta para la firma de dicho convenio. </w:t>
      </w:r>
    </w:p>
    <w:p w:rsidR="007617AD" w:rsidRDefault="00EE75C8">
      <w:pPr>
        <w:spacing w:after="0"/>
        <w:ind w:left="693" w:right="58" w:firstLine="1133"/>
      </w:pPr>
      <w:r>
        <w:rPr>
          <w:b/>
        </w:rPr>
        <w:t xml:space="preserve">Tercero. - </w:t>
      </w:r>
      <w:r>
        <w:rPr>
          <w:b/>
        </w:rPr>
        <w:t xml:space="preserve">Notificar la presente resolución a los Ayuntamientos de Arafo, Candelaria y Güimar. </w:t>
      </w:r>
    </w:p>
    <w:p w:rsidR="007617AD" w:rsidRDefault="00EE75C8">
      <w:pPr>
        <w:spacing w:after="98" w:line="259" w:lineRule="auto"/>
        <w:ind w:left="699" w:firstLine="0"/>
        <w:jc w:val="center"/>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566" w:firstLine="0"/>
        <w:jc w:val="left"/>
      </w:pPr>
      <w:r>
        <w:rPr>
          <w:b/>
        </w:rPr>
        <w:t xml:space="preserve"> </w:t>
      </w:r>
    </w:p>
    <w:p w:rsidR="007617AD" w:rsidRDefault="00EE75C8">
      <w:pPr>
        <w:spacing w:after="0" w:line="259" w:lineRule="auto"/>
        <w:ind w:left="566"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ind w:left="703" w:right="58"/>
      </w:pPr>
      <w:r>
        <w:rPr>
          <w:b/>
        </w:rPr>
        <w:t xml:space="preserve">CONVENIO DE COOPERACIÓN INTERADMINISTRATIVA ENTRE EL CONSEJO INSULAR DE AGUAS DE TENERIFE Y LOS AYUNTAMIENTOS DE CANDELARIA, ARAFO Y GÜÍMAR PARA LA GESTIÓN DE LAS INFRAESTRUCTURAS DE DEPURACIÓN Y VERTIDO DE AGUAS RESIDUALES, URBANAS E INDUSTRIALES, DE LOS </w:t>
      </w:r>
      <w:r>
        <w:rPr>
          <w:b/>
        </w:rPr>
        <w:t xml:space="preserve">SISTEMAS TERRITORIALES DEL VALLE DE GÜIMAR Y POLÍGONO INDUSTRIAL DEL VALLE DE GÜÍMAR. </w:t>
      </w:r>
    </w:p>
    <w:p w:rsidR="007617AD" w:rsidRDefault="00EE75C8">
      <w:pPr>
        <w:spacing w:after="0" w:line="259" w:lineRule="auto"/>
        <w:ind w:left="708" w:firstLine="0"/>
        <w:jc w:val="left"/>
      </w:pPr>
      <w:r>
        <w:t xml:space="preserve"> </w:t>
      </w:r>
    </w:p>
    <w:p w:rsidR="007617AD" w:rsidRDefault="00EE75C8">
      <w:pPr>
        <w:spacing w:after="0" w:line="259" w:lineRule="auto"/>
        <w:ind w:left="0" w:right="6" w:firstLine="0"/>
        <w:jc w:val="right"/>
      </w:pPr>
      <w:r>
        <w:t xml:space="preserve"> </w:t>
      </w:r>
    </w:p>
    <w:p w:rsidR="007617AD" w:rsidRDefault="00EE75C8">
      <w:pPr>
        <w:spacing w:after="692" w:line="265" w:lineRule="auto"/>
        <w:ind w:left="10" w:right="62"/>
        <w:jc w:val="right"/>
      </w:pPr>
      <w:r>
        <w:t xml:space="preserve">En Santa Cruz de Tenerife, a fecha de la última firma electrónica </w:t>
      </w:r>
    </w:p>
    <w:p w:rsidR="007617AD" w:rsidRDefault="00EE75C8">
      <w:pPr>
        <w:pStyle w:val="Ttulo4"/>
        <w:shd w:val="clear" w:color="auto" w:fill="F3F3F3"/>
        <w:spacing w:after="491" w:line="358" w:lineRule="auto"/>
        <w:ind w:left="649"/>
      </w:pPr>
      <w:r>
        <w:rPr>
          <w:color w:val="333333"/>
        </w:rPr>
        <w:t xml:space="preserve">SE REÚNEN </w:t>
      </w:r>
    </w:p>
    <w:p w:rsidR="007617AD" w:rsidRDefault="00EE75C8">
      <w:pPr>
        <w:spacing w:after="0"/>
        <w:ind w:left="703" w:right="62"/>
      </w:pPr>
      <w:r>
        <w:t>De una parte, el Excmo. Sr. Don Pedro M. Martín Domínguez, Presidente del Consejo Insul</w:t>
      </w:r>
      <w:r>
        <w:t xml:space="preserve">ar de Aguas de Tenerife (en lo sucesivo CIATF), en nombre y representación del mismo, facultado para este acto mediante acuerdo de la Junta de Gobierno del Consejo Insular de Aguas celebrada en sesión </w:t>
      </w:r>
      <w:r>
        <w:rPr>
          <w:shd w:val="clear" w:color="auto" w:fill="C0C0C0"/>
        </w:rPr>
        <w:t>_______</w:t>
      </w:r>
      <w:r>
        <w:t xml:space="preserve">, en virtud de lo dispuesto en el artículo 21.2 </w:t>
      </w:r>
      <w:r>
        <w:t xml:space="preserve">del Estatuto del Consejo Insular de Aguas de Tenerife, aprobado por Decreto 115/1992, de 9 de junio. </w:t>
      </w:r>
      <w:r>
        <w:rPr>
          <w:rFonts w:ascii="Times New Roman" w:eastAsia="Times New Roman" w:hAnsi="Times New Roman" w:cs="Times New Roman"/>
          <w:sz w:val="24"/>
        </w:rPr>
        <w:t xml:space="preserve"> </w:t>
      </w:r>
    </w:p>
    <w:p w:rsidR="007617AD" w:rsidRDefault="00EE75C8">
      <w:pPr>
        <w:spacing w:after="340" w:line="259" w:lineRule="auto"/>
        <w:ind w:left="708" w:firstLine="0"/>
        <w:jc w:val="left"/>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9484" name="Group 26948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0506" name="Rectangle 2050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0507" name="Rectangle 20507"/>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104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9484" style="width:12.7031pt;height:280.02pt;position:absolute;mso-position-horizontal-relative:page;mso-position-horizontal:absolute;margin-left:682.278pt;mso-position-vertical-relative:page;margin-top:531.9pt;" coordsize="1613,35562">
                <v:rect id="Rectangle 2050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0507"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192 </w:t>
                        </w:r>
                      </w:p>
                    </w:txbxContent>
                  </v:textbox>
                </v:rect>
                <w10:wrap type="square"/>
              </v:group>
            </w:pict>
          </mc:Fallback>
        </mc:AlternateContent>
      </w:r>
      <w:r>
        <w:t xml:space="preserve"> </w:t>
      </w:r>
    </w:p>
    <w:p w:rsidR="007617AD" w:rsidRDefault="00EE75C8">
      <w:pPr>
        <w:spacing w:after="336"/>
        <w:ind w:left="703" w:right="62"/>
      </w:pPr>
      <w:r>
        <w:t>De otra parte, la Sra. Dª Maria Concepción Brito Núñez, Alcaldesa-Presidenta del Ayuntamiento de Candelaria, en su nombre y representación, y en uso de las fac</w:t>
      </w:r>
      <w:r>
        <w:t xml:space="preserve">ultades que le confiere el artículo 21.1.b) de la Ley 7/1985, de 2 de abril, reguladora de las bases del Régimen Local, estando facultado para este acto en virtud del acuerdo plenario de dicha Corporación adoptado en sesión celebrada </w:t>
      </w:r>
      <w:r>
        <w:rPr>
          <w:shd w:val="clear" w:color="auto" w:fill="C0C0C0"/>
        </w:rPr>
        <w:t>_______</w:t>
      </w:r>
      <w:r>
        <w:t>.</w:t>
      </w:r>
      <w:r>
        <w:rPr>
          <w:rFonts w:ascii="Times New Roman" w:eastAsia="Times New Roman" w:hAnsi="Times New Roman" w:cs="Times New Roman"/>
          <w:sz w:val="24"/>
        </w:rPr>
        <w:t xml:space="preserve"> </w:t>
      </w:r>
    </w:p>
    <w:p w:rsidR="007617AD" w:rsidRDefault="00EE75C8">
      <w:pPr>
        <w:spacing w:after="0"/>
        <w:ind w:left="703" w:right="62"/>
      </w:pPr>
      <w:r>
        <w:t>De otra part</w:t>
      </w:r>
      <w:r>
        <w:t>e, el Sr. D. Juan Ramón Martín Pérez, Alcalde-Presidente del Ayuntamiento de Arafo en su nombre y representación, y en uso de las facultades que le confiere el artículo 21.1.b) de la Ley 7/1985, de 2 de abril, reguladora de las bases del Régimen Local, est</w:t>
      </w:r>
      <w:r>
        <w:t xml:space="preserve">ando facultado para este acto en virtud del acuerdo plenario de dicha Corporación adoptado en sesión celebrada </w:t>
      </w:r>
      <w:r>
        <w:rPr>
          <w:shd w:val="clear" w:color="auto" w:fill="C0C0C0"/>
        </w:rPr>
        <w:t>_______</w:t>
      </w:r>
      <w:r>
        <w:t>.</w:t>
      </w:r>
      <w:r>
        <w:rPr>
          <w:rFonts w:ascii="Times New Roman" w:eastAsia="Times New Roman" w:hAnsi="Times New Roman" w:cs="Times New Roman"/>
          <w:sz w:val="24"/>
        </w:rPr>
        <w:t xml:space="preserve"> </w:t>
      </w:r>
    </w:p>
    <w:p w:rsidR="007617AD" w:rsidRDefault="00EE75C8">
      <w:pPr>
        <w:spacing w:after="340" w:line="259" w:lineRule="auto"/>
        <w:ind w:left="708" w:firstLine="0"/>
        <w:jc w:val="left"/>
      </w:pPr>
      <w:r>
        <w:t xml:space="preserve"> </w:t>
      </w:r>
    </w:p>
    <w:p w:rsidR="007617AD" w:rsidRDefault="00EE75C8">
      <w:pPr>
        <w:spacing w:after="331"/>
        <w:ind w:left="703" w:right="62"/>
      </w:pPr>
      <w:r>
        <w:t>Y de otra parte, el Sr. D. Gustavo Pérez Martín, Alcalde-Presidente del Ayuntamiento de Güímar, en su nombre y representación, y en u</w:t>
      </w:r>
      <w:r>
        <w:t xml:space="preserve">so de las facultades que le confiere el artículo 21.1.b) de la Ley 7/1985, de 2 de abril, reguladora de las bases del Régimen Local, estando facultado para este acto en virtud del acuerdo plenario de dicha Corporación adoptado en sesión celebrada </w:t>
      </w:r>
      <w:r>
        <w:rPr>
          <w:shd w:val="clear" w:color="auto" w:fill="C0C0C0"/>
        </w:rPr>
        <w:t>_______</w:t>
      </w:r>
      <w:r>
        <w:t>.</w:t>
      </w:r>
      <w:r>
        <w:rPr>
          <w:rFonts w:ascii="Times New Roman" w:eastAsia="Times New Roman" w:hAnsi="Times New Roman" w:cs="Times New Roman"/>
          <w:sz w:val="24"/>
        </w:rPr>
        <w:t xml:space="preserve"> </w:t>
      </w:r>
    </w:p>
    <w:p w:rsidR="007617AD" w:rsidRDefault="00EE75C8">
      <w:pPr>
        <w:pStyle w:val="Ttulo4"/>
        <w:shd w:val="clear" w:color="auto" w:fill="F3F3F3"/>
        <w:spacing w:after="491" w:line="358" w:lineRule="auto"/>
        <w:ind w:left="649"/>
      </w:pPr>
      <w:r>
        <w:rPr>
          <w:color w:val="333333"/>
        </w:rPr>
        <w:t xml:space="preserve">INTERVIENEN </w:t>
      </w:r>
    </w:p>
    <w:p w:rsidR="007617AD" w:rsidRDefault="00EE75C8">
      <w:pPr>
        <w:spacing w:after="669"/>
        <w:ind w:left="703" w:right="62"/>
      </w:pPr>
      <w:r>
        <w:t>Las partes citadas, en la condición con que comparecen, se reconocen mutua y recíprocamente, con competencia y capacidad legal suficiente para suscribir el presente Convenio de Colaboración y a tal efecto</w:t>
      </w:r>
      <w:r>
        <w:rPr>
          <w:rFonts w:ascii="Times New Roman" w:eastAsia="Times New Roman" w:hAnsi="Times New Roman" w:cs="Times New Roman"/>
          <w:sz w:val="24"/>
        </w:rPr>
        <w:t xml:space="preserve"> </w:t>
      </w:r>
    </w:p>
    <w:p w:rsidR="007617AD" w:rsidRDefault="00EE75C8">
      <w:pPr>
        <w:pStyle w:val="Ttulo4"/>
        <w:shd w:val="clear" w:color="auto" w:fill="F3F3F3"/>
        <w:spacing w:after="491" w:line="358" w:lineRule="auto"/>
        <w:ind w:left="649"/>
      </w:pPr>
      <w:r>
        <w:rPr>
          <w:color w:val="333333"/>
        </w:rPr>
        <w:t xml:space="preserve">EXPONEN </w:t>
      </w:r>
    </w:p>
    <w:p w:rsidR="007617AD" w:rsidRDefault="00EE75C8">
      <w:pPr>
        <w:ind w:left="703" w:right="58"/>
      </w:pPr>
      <w:r>
        <w:rPr>
          <w:b/>
        </w:rPr>
        <w:t>PRIMERO. - TRATAMIENTO DE L</w:t>
      </w:r>
      <w:r>
        <w:rPr>
          <w:b/>
        </w:rPr>
        <w:t xml:space="preserve">AS AGUAS RESIDUALES URBANAS E INDUSTRIALES. </w:t>
      </w:r>
      <w:r>
        <w:rPr>
          <w:rFonts w:ascii="Times New Roman" w:eastAsia="Times New Roman" w:hAnsi="Times New Roman" w:cs="Times New Roman"/>
          <w:sz w:val="24"/>
        </w:rPr>
        <w:t xml:space="preserve"> </w:t>
      </w:r>
    </w:p>
    <w:p w:rsidR="007617AD" w:rsidRDefault="00EE75C8">
      <w:pPr>
        <w:spacing w:after="100" w:line="259" w:lineRule="auto"/>
        <w:ind w:left="0" w:firstLine="0"/>
        <w:jc w:val="left"/>
      </w:pPr>
      <w:r>
        <w:rPr>
          <w:b/>
        </w:rPr>
        <w:t xml:space="preserve"> </w:t>
      </w:r>
    </w:p>
    <w:p w:rsidR="007617AD" w:rsidRDefault="00EE75C8">
      <w:pPr>
        <w:spacing w:after="136"/>
        <w:ind w:left="703" w:right="62"/>
      </w:pPr>
      <w:r>
        <w:t xml:space="preserve">La Directiva 91/271/CEE, de 21 de mayo de 1991, sobre el tratamiento de las aguas residuales urbanas (en lo sucesivo Directiva 91/271) - </w:t>
      </w:r>
      <w:r>
        <w:t>la  cual tiene por objeto la recogida, el tratamiento y el vertido de las aguas residuales urbanas y el tratamiento y vertido de las aguas residuales procedentes de determinados sectores industriales, fue traspuesta a nuestro ordenamiento jurídico en virtu</w:t>
      </w:r>
      <w:r>
        <w:t>d del Real Decreto Ley 11/1995, de 28 de diciembre, por el que se aprueban las normas aplicables al tratamiento de las aguas residuales urbanas, y el Real Decreto 509/1996, de 15 de marzo, que lo desarrolla.</w:t>
      </w:r>
      <w:r>
        <w:rPr>
          <w:rFonts w:ascii="Times New Roman" w:eastAsia="Times New Roman" w:hAnsi="Times New Roman" w:cs="Times New Roman"/>
          <w:sz w:val="24"/>
        </w:rPr>
        <w:t xml:space="preserve">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68813" name="Group 268813"/>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0599" name="Rectangle 2059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w:t>
                              </w:r>
                              <w:r>
                                <w:rPr>
                                  <w:sz w:val="12"/>
                                </w:rPr>
                                <w:t xml:space="preserve"> Verificación: https://candelaria.sedelectronica.es/ </w:t>
                              </w:r>
                            </w:p>
                          </w:txbxContent>
                        </wps:txbx>
                        <wps:bodyPr horzOverflow="overflow" vert="horz" lIns="0" tIns="0" rIns="0" bIns="0" rtlCol="0">
                          <a:noAutofit/>
                        </wps:bodyPr>
                      </wps:wsp>
                      <wps:wsp>
                        <wps:cNvPr id="20600" name="Rectangle 20600"/>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105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68813" style="width:12.7031pt;height:280.02pt;position:absolute;mso-position-horizontal-relative:page;mso-position-horizontal:absolute;margin-left:682.278pt;mso-position-vertical-relative:page;margin-top:531.9pt;" coordsize="1613,35562">
                <v:rect id="Rectangle 2059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0600"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192 </w:t>
                        </w:r>
                      </w:p>
                    </w:txbxContent>
                  </v:textbox>
                </v:rect>
                <w10:wrap type="square"/>
              </v:group>
            </w:pict>
          </mc:Fallback>
        </mc:AlternateContent>
      </w:r>
      <w:r>
        <w:t>El RD 509/1996 estableció la obligación de realizar un tratamiento previo al vertido de las aguas residua</w:t>
      </w:r>
      <w:r>
        <w:t>les industriales que, entre otros requisitos, sea suficiente para “garantizar que los vertidos de las instalaciones de tratamiento no tengan efectos nocivos sobre el medio ambiente y no impidan que las aguas receptoras cumplan los objetivos de calidad de l</w:t>
      </w:r>
      <w:r>
        <w:t xml:space="preserve">a normativa vigente” (art. 8). </w:t>
      </w:r>
      <w:r>
        <w:rPr>
          <w:rFonts w:ascii="Times New Roman" w:eastAsia="Times New Roman" w:hAnsi="Times New Roman" w:cs="Times New Roman"/>
          <w:sz w:val="24"/>
        </w:rPr>
        <w:t xml:space="preserve"> </w:t>
      </w:r>
    </w:p>
    <w:p w:rsidR="007617AD" w:rsidRDefault="00EE75C8">
      <w:pPr>
        <w:spacing w:after="152"/>
        <w:ind w:left="703" w:right="62"/>
      </w:pPr>
      <w:r>
        <w:t>Además, se reguló el tipo de tratamiento requerido para las aguas residuales (tratamiento primario vs. tratamiento secundario) en función del número de habitantes equivalentes (h-e) que llegan a la instalación. En los casos</w:t>
      </w:r>
      <w:r>
        <w:t xml:space="preserve"> de vertido al mar en zonas normales, y hasta un máximo de 10.000 h – e es admisible un tratamiento primario (estación de tratamiento adecuado, ETAR) y, una vez superado dicho umbral, se requiere el sometimiento del agua residual a un tratamiento secundari</w:t>
      </w:r>
      <w:r>
        <w:t xml:space="preserve">o (estación depuradora, EDAR).  </w:t>
      </w:r>
    </w:p>
    <w:p w:rsidR="007617AD" w:rsidRDefault="00EE75C8">
      <w:pPr>
        <w:spacing w:after="95" w:line="259" w:lineRule="auto"/>
        <w:ind w:left="708" w:firstLine="0"/>
        <w:jc w:val="left"/>
      </w:pPr>
      <w:r>
        <w:t xml:space="preserve"> </w:t>
      </w:r>
    </w:p>
    <w:p w:rsidR="007617AD" w:rsidRDefault="00EE75C8">
      <w:pPr>
        <w:ind w:left="703" w:right="58"/>
      </w:pPr>
      <w:r>
        <w:rPr>
          <w:b/>
        </w:rPr>
        <w:t>SEGUNDO. - DESCRIPCIÓN DEL SISTEMA TERRITORIAL DE INFRAESTRUCTURAS DE SANEAMIENTO DE LAS AGUAS RESIDUALES DE ORIGEN URBANO E INDUSTRIAL DEL VALLE DE GÜÍMAR Y DEL POLÍGONO INDUSTRIAL VALLE DE GÜÍMAR.</w:t>
      </w:r>
      <w:r>
        <w:rPr>
          <w:rFonts w:ascii="Times New Roman" w:eastAsia="Times New Roman" w:hAnsi="Times New Roman" w:cs="Times New Roman"/>
          <w:sz w:val="24"/>
        </w:rPr>
        <w:t xml:space="preserve"> </w:t>
      </w:r>
    </w:p>
    <w:p w:rsidR="007617AD" w:rsidRDefault="00EE75C8">
      <w:pPr>
        <w:spacing w:after="98" w:line="259" w:lineRule="auto"/>
        <w:ind w:left="708" w:firstLine="0"/>
        <w:jc w:val="left"/>
      </w:pPr>
      <w:r>
        <w:t xml:space="preserve"> </w:t>
      </w:r>
    </w:p>
    <w:p w:rsidR="007617AD" w:rsidRDefault="00EE75C8">
      <w:pPr>
        <w:ind w:left="703" w:right="62"/>
      </w:pPr>
      <w:r>
        <w:t>El Sistema Territor</w:t>
      </w:r>
      <w:r>
        <w:t xml:space="preserve">ial de infraestructuras de saneamiento del Valle de Güímar y del Polígono Industrial de Güímar, están definidos por el Plan Hidrológico de Tenerife, cuya descripción gráfica es la siguiente: </w:t>
      </w:r>
    </w:p>
    <w:p w:rsidR="007617AD" w:rsidRDefault="00EE75C8">
      <w:pPr>
        <w:spacing w:after="38" w:line="259" w:lineRule="auto"/>
        <w:ind w:left="0" w:right="1054" w:firstLine="0"/>
        <w:jc w:val="right"/>
      </w:pPr>
      <w:r>
        <w:rPr>
          <w:noProof/>
        </w:rPr>
        <w:drawing>
          <wp:inline distT="0" distB="0" distL="0" distR="0">
            <wp:extent cx="5401057" cy="3534156"/>
            <wp:effectExtent l="0" t="0" r="0" b="0"/>
            <wp:docPr id="20678" name="Picture 20678"/>
            <wp:cNvGraphicFramePr/>
            <a:graphic xmlns:a="http://schemas.openxmlformats.org/drawingml/2006/main">
              <a:graphicData uri="http://schemas.openxmlformats.org/drawingml/2006/picture">
                <pic:pic xmlns:pic="http://schemas.openxmlformats.org/drawingml/2006/picture">
                  <pic:nvPicPr>
                    <pic:cNvPr id="20678" name="Picture 20678"/>
                    <pic:cNvPicPr/>
                  </pic:nvPicPr>
                  <pic:blipFill>
                    <a:blip r:embed="rId16"/>
                    <a:stretch>
                      <a:fillRect/>
                    </a:stretch>
                  </pic:blipFill>
                  <pic:spPr>
                    <a:xfrm>
                      <a:off x="0" y="0"/>
                      <a:ext cx="5401057" cy="3534156"/>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spacing w:after="84" w:line="259" w:lineRule="auto"/>
        <w:ind w:left="708" w:firstLine="0"/>
        <w:jc w:val="left"/>
      </w:pPr>
      <w:r>
        <w:rPr>
          <w:rFonts w:ascii="Times New Roman" w:eastAsia="Times New Roman" w:hAnsi="Times New Roman" w:cs="Times New Roman"/>
          <w:sz w:val="24"/>
        </w:rPr>
        <w:t xml:space="preserve"> </w:t>
      </w:r>
    </w:p>
    <w:p w:rsidR="007617AD" w:rsidRDefault="00EE75C8">
      <w:pPr>
        <w:ind w:left="703" w:right="62"/>
      </w:pPr>
      <w:r>
        <w:t xml:space="preserve">Este conjunto de infraestructuras, de acuerdo al PHT, está constituido por una serie de elementos que permiten recoger las aguas residuales generada en los ámbitos urbano e industrial y derivarlas hacia la EDARU del Valle de Güímar y la EDARI del Polígono </w:t>
      </w:r>
      <w:r>
        <w:t xml:space="preserve">Industrial Valle de Güímar – ambos elementos estructurantes – donde las mismas serán tratadas conforme a los requisitos que dimanan de la normativa vigente en materia de depuración y vertido. </w:t>
      </w:r>
    </w:p>
    <w:p w:rsidR="007617AD" w:rsidRDefault="00EE75C8">
      <w:pPr>
        <w:ind w:left="703" w:right="62"/>
      </w:pPr>
      <w:r>
        <w:t xml:space="preserve">Los elementos fundamentales son: </w:t>
      </w:r>
    </w:p>
    <w:p w:rsidR="007617AD" w:rsidRDefault="00EE75C8">
      <w:pPr>
        <w:numPr>
          <w:ilvl w:val="0"/>
          <w:numId w:val="50"/>
        </w:numPr>
        <w:spacing w:after="89"/>
        <w:ind w:right="62" w:hanging="360"/>
      </w:pPr>
      <w:r>
        <w:t>EDARU:  Estación Depuradora d</w:t>
      </w:r>
      <w:r>
        <w:t xml:space="preserve">e Aguas Residuales Urbanas. </w:t>
      </w:r>
    </w:p>
    <w:p w:rsidR="007617AD" w:rsidRDefault="00EE75C8">
      <w:pPr>
        <w:numPr>
          <w:ilvl w:val="0"/>
          <w:numId w:val="50"/>
        </w:numPr>
        <w:spacing w:after="91"/>
        <w:ind w:right="62" w:hanging="360"/>
      </w:pPr>
      <w:r>
        <w:t xml:space="preserve">EDARI: Estación Depuradora de Aguas Residuales Industriales. </w:t>
      </w:r>
    </w:p>
    <w:p w:rsidR="007617AD" w:rsidRDefault="00EE75C8">
      <w:pPr>
        <w:numPr>
          <w:ilvl w:val="0"/>
          <w:numId w:val="50"/>
        </w:numPr>
        <w:spacing w:after="89"/>
        <w:ind w:right="62" w:hanging="360"/>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1229" name="Group 27122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0681" name="Rectangle 2068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0682" name="Rectangle 20682"/>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plataforma esPubli</w:t>
                              </w:r>
                              <w:r>
                                <w:rPr>
                                  <w:sz w:val="12"/>
                                </w:rPr>
                                <w:t xml:space="preserve">co Gestiona | Página 106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1229" style="width:12.7031pt;height:280.02pt;position:absolute;mso-position-horizontal-relative:page;mso-position-horizontal:absolute;margin-left:682.278pt;mso-position-vertical-relative:page;margin-top:531.9pt;" coordsize="1613,35562">
                <v:rect id="Rectangle 2068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0682"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192 </w:t>
                        </w:r>
                      </w:p>
                    </w:txbxContent>
                  </v:textbox>
                </v:rect>
                <w10:wrap type="square"/>
              </v:group>
            </w:pict>
          </mc:Fallback>
        </mc:AlternateContent>
      </w:r>
      <w:r>
        <w:t xml:space="preserve">Estaciones de Bombeo de Aguas Residuales, urbanas e industriales. </w:t>
      </w:r>
    </w:p>
    <w:p w:rsidR="007617AD" w:rsidRDefault="00EE75C8">
      <w:pPr>
        <w:numPr>
          <w:ilvl w:val="0"/>
          <w:numId w:val="50"/>
        </w:numPr>
        <w:spacing w:after="91"/>
        <w:ind w:right="62" w:hanging="360"/>
      </w:pPr>
      <w:r>
        <w:t xml:space="preserve">Colectores y conducciones de transporte. </w:t>
      </w:r>
    </w:p>
    <w:p w:rsidR="007617AD" w:rsidRDefault="00EE75C8">
      <w:pPr>
        <w:numPr>
          <w:ilvl w:val="0"/>
          <w:numId w:val="50"/>
        </w:numPr>
        <w:spacing w:after="73"/>
        <w:ind w:right="62" w:hanging="360"/>
      </w:pPr>
      <w:r>
        <w:t xml:space="preserve">Emisario terrestre y emisario submarino del Valle de Güímar. </w:t>
      </w:r>
    </w:p>
    <w:p w:rsidR="007617AD" w:rsidRDefault="00EE75C8">
      <w:pPr>
        <w:spacing w:after="98" w:line="259" w:lineRule="auto"/>
        <w:ind w:left="1068" w:firstLine="0"/>
        <w:jc w:val="left"/>
      </w:pPr>
      <w:r>
        <w:rPr>
          <w:b/>
        </w:rPr>
        <w:t xml:space="preserve"> </w:t>
      </w:r>
    </w:p>
    <w:p w:rsidR="007617AD" w:rsidRDefault="00EE75C8">
      <w:pPr>
        <w:ind w:left="703" w:right="58"/>
      </w:pPr>
      <w:r>
        <w:rPr>
          <w:b/>
        </w:rPr>
        <w:t xml:space="preserve">TERCERO. - </w:t>
      </w:r>
      <w:r>
        <w:rPr>
          <w:b/>
        </w:rPr>
        <w:t>MARCO PREVIO DE COLABORACIÓN ENTRE LAS ADMINISTRACIONES FIRMANTES DEL CONVENIO.</w:t>
      </w:r>
      <w:r>
        <w:rPr>
          <w:rFonts w:ascii="Times New Roman" w:eastAsia="Times New Roman" w:hAnsi="Times New Roman" w:cs="Times New Roman"/>
          <w:sz w:val="24"/>
        </w:rPr>
        <w:t xml:space="preserve"> </w:t>
      </w:r>
    </w:p>
    <w:p w:rsidR="007617AD" w:rsidRDefault="00EE75C8">
      <w:pPr>
        <w:spacing w:after="98" w:line="259" w:lineRule="auto"/>
        <w:ind w:left="708" w:firstLine="0"/>
        <w:jc w:val="left"/>
      </w:pPr>
      <w:r>
        <w:t xml:space="preserve"> </w:t>
      </w:r>
    </w:p>
    <w:p w:rsidR="007617AD" w:rsidRDefault="00EE75C8">
      <w:pPr>
        <w:spacing w:after="93"/>
        <w:ind w:left="703" w:right="62"/>
      </w:pPr>
      <w:r>
        <w:t>Previamente al presente convenio, se han aprobado y formalizado los siguientes instrumentos jurídicos entre las partes intervinientes fruto del acuerdo entre las mismas, así</w:t>
      </w:r>
      <w:r>
        <w:t xml:space="preserve"> como también se han aprobado diferentes resoluciones tanto del Estado como del Gobierno de Canarias fruto de dicha colaboración administrativa y todo ello en virtud de las competencias concurrentes de todas las Administraciones intervinientes: </w:t>
      </w:r>
    </w:p>
    <w:p w:rsidR="007617AD" w:rsidRDefault="00EE75C8">
      <w:pPr>
        <w:ind w:left="703" w:right="62"/>
      </w:pPr>
      <w:r>
        <w:t xml:space="preserve">-Convenio </w:t>
      </w:r>
      <w:r>
        <w:t>entre el Cabildo Insular de Tenerife, el Consejo Insular de Aguas de Tenerife y los Ayuntamientos de Arafo, Candelaria y Güimar formalizado el 31 de julio de 2017, para la tramitación de la autorización administrativa de vertido al mar y la concesión de la</w:t>
      </w:r>
      <w:r>
        <w:t xml:space="preserve"> ocupación de los  bienes del dominio público marítimo terrestre con destino a un emisario submarino en el Polígono Industrial del Valle de Güimar por el que se encomienda al CIATF a elaborar la documentación técnica requerida para dicha autorización.</w:t>
      </w:r>
      <w:r>
        <w:rPr>
          <w:b/>
        </w:rPr>
        <w:t xml:space="preserve"> </w:t>
      </w:r>
      <w:r>
        <w:t xml:space="preserve"> </w:t>
      </w:r>
    </w:p>
    <w:p w:rsidR="007617AD" w:rsidRDefault="00EE75C8">
      <w:pPr>
        <w:ind w:left="703" w:right="62"/>
      </w:pPr>
      <w:r>
        <w:t>-A</w:t>
      </w:r>
      <w:r>
        <w:t xml:space="preserve">cuerdos de los Plenos de los Ayuntamientos de Arafo, Candelaria y Güimar durante los meses de julio, agosto y septiembre de 2018 por los que se aprobó el Plan de Etapas en el marco del expediente 2017/11106 relativo al emisario del Polígono Industrial del </w:t>
      </w:r>
      <w:r>
        <w:t xml:space="preserve">Valle de Güimar.  </w:t>
      </w:r>
    </w:p>
    <w:p w:rsidR="007617AD" w:rsidRDefault="00EE75C8">
      <w:pPr>
        <w:ind w:left="703" w:right="62"/>
      </w:pPr>
      <w:r>
        <w:t xml:space="preserve">-Acuerdos de los Plenos de los Ayuntamientos de Arafo, Candelaria y Güímar durante los meses de xxx de 2020 en virtud de los cuales se aprobó la primera modificación del Plan de Etapas en el marco del expediente xxx relativo al emisario </w:t>
      </w:r>
      <w:r>
        <w:t xml:space="preserve">del Polígono Industrial del Valle de Güímar. </w:t>
      </w:r>
    </w:p>
    <w:p w:rsidR="007617AD" w:rsidRDefault="00EE75C8">
      <w:pPr>
        <w:ind w:left="703" w:right="62"/>
      </w:pPr>
      <w:r>
        <w:t>-Acuerdos de los Plenos de los Ayuntamientos de Arafo, Candelaria y Güímar durante los meses de xxx de 2021 en virtud de los cuales se aprobó la segunda modificación del Plan de Etapas en el marco del expedient</w:t>
      </w:r>
      <w:r>
        <w:t xml:space="preserve">e xxx relativo al emisario del Polígono Industrial del Valle de Güímar. </w:t>
      </w:r>
    </w:p>
    <w:p w:rsidR="007617AD" w:rsidRDefault="00EE75C8">
      <w:pPr>
        <w:ind w:left="703" w:right="62"/>
      </w:pPr>
      <w:r>
        <w:rPr>
          <w:color w:val="00B0F0"/>
        </w:rPr>
        <w:t xml:space="preserve"> -</w:t>
      </w:r>
      <w:r>
        <w:t>Acuerdos de los Plenos de los Ayuntamientos de Arafo, Candelaria y Güímar durante los meses de xxx de 2022 en virtud de los cuales se aprobó la tercera modificación del Plan de Etapas en el marco del expediente xxx relativo al emisario del Polígono Industr</w:t>
      </w:r>
      <w:r>
        <w:t xml:space="preserve">ial del Valle de Güímar.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1979" name="Group 27197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0796" name="Rectangle 2079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0797" name="Rectangle 20797"/>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107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1979" style="width:12.7031pt;height:280.02pt;position:absolute;mso-position-horizontal-relative:page;mso-position-horizontal:absolute;margin-left:682.278pt;mso-position-vertical-relative:page;margin-top:531.9pt;" coordsize="1613,35562">
                <v:rect id="Rectangle 2079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0797"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192 </w:t>
                        </w:r>
                      </w:p>
                    </w:txbxContent>
                  </v:textbox>
                </v:rect>
                <w10:wrap type="square"/>
              </v:group>
            </w:pict>
          </mc:Fallback>
        </mc:AlternateContent>
      </w:r>
      <w:r>
        <w:t>-Acuerdos de los Plenos de los A</w:t>
      </w:r>
      <w:r>
        <w:t>yuntamientos de Arafo, Candelaria y Güímar durante los meses de marzo de 2020 (12 Arafo y Güímar, 13 Candelaria) en virtud de los cuales se aprobó la primera modificación del Plan de Etapas en el marco del expediente 2020/5598 relativo al emisario del Polí</w:t>
      </w:r>
      <w:r>
        <w:t xml:space="preserve">gono Industrial del Valle de Güímar. </w:t>
      </w:r>
    </w:p>
    <w:p w:rsidR="007617AD" w:rsidRDefault="00EE75C8">
      <w:pPr>
        <w:ind w:left="703" w:right="62"/>
      </w:pPr>
      <w:r>
        <w:t>-Acuerdos de los Plenos de los Ayuntamientos de Arafo, Candelaria y Güímar durante los meses de 30 de julio (Arafo y Candelaria) y 17 de septiembre (Güímar)  de 2021 en virtud de los cuales se aprobó la segunda modific</w:t>
      </w:r>
      <w:r>
        <w:t xml:space="preserve">ación del Plan de Etapas en el marco del expediente 2021/30472 relativo al emisario del Polígono Industrial del Valle de Güímar. </w:t>
      </w:r>
    </w:p>
    <w:p w:rsidR="007617AD" w:rsidRDefault="00EE75C8">
      <w:pPr>
        <w:ind w:left="703" w:right="62"/>
      </w:pPr>
      <w:r>
        <w:t xml:space="preserve">-Acuerdos de los Plenos de los Ayuntamientos de Arafo, Candelaria y Güímar durante los meses de 28 febrero (Arafo, Candelaria </w:t>
      </w:r>
      <w:r>
        <w:t xml:space="preserve">y Güímar)  de 2022 en virtud de los cuales se aprobó la tercera modificación del Plan de Etapas en el marco del expediente 2022/8094 relativo al emisario del Polígono Industrial del Valle de Güímar. </w:t>
      </w:r>
    </w:p>
    <w:p w:rsidR="007617AD" w:rsidRDefault="00EE75C8">
      <w:pPr>
        <w:ind w:left="703" w:right="62"/>
      </w:pPr>
      <w:r>
        <w:t xml:space="preserve">-Resolución del Viceconsejero de Lucha Contra el Cambio </w:t>
      </w:r>
      <w:r>
        <w:t>Climático del Gobierno de Canarias de 18 de septiembre de 2019, por la que se autoriza al Ayuntamiento de Arafo en su propio nombre y en representación de los Ayuntamientos de Candelaria y Güimar al vertido de aguas residuales urbanas e industriales depura</w:t>
      </w:r>
      <w:r>
        <w:t xml:space="preserve">das a través del emisario submarino del Polígono Industrial del Valle de Güimar, ubicado en el término municipal de Arafo (VM-013-TF). </w:t>
      </w:r>
    </w:p>
    <w:p w:rsidR="007617AD" w:rsidRDefault="00EE75C8">
      <w:pPr>
        <w:ind w:left="703" w:right="62"/>
      </w:pPr>
      <w:r>
        <w:t>- Resoluciones del Sr. Viceconsejero de Lucha contra el Cambio Climático del Gobierno de Canarias nº 207/2020 de fecha 3</w:t>
      </w:r>
      <w:r>
        <w:t xml:space="preserve">0 de septiembre de 2020, nº 312/2021 de 02 de noviembre de 2021 y nº 101/2022 de fecha 11 de marzo de modificación de la autorización administrativa de vertido al mar otorgada con destino al emisario submarino del Polígono Industrial del Valle de Güimar.  </w:t>
      </w:r>
    </w:p>
    <w:p w:rsidR="007617AD" w:rsidRDefault="00EE75C8">
      <w:pPr>
        <w:ind w:left="703" w:right="62"/>
      </w:pPr>
      <w:r>
        <w:t>-Resolución de la Dirección General de Sostenibilidad y del Mar del Ministerio para la Transición Ecológica de fecha 19 de septiembre de 2019 por el que se otorga al Ayuntamiento de Arafo la concesión de ocupación de 803 metros cuadrados de dominio públic</w:t>
      </w:r>
      <w:r>
        <w:t xml:space="preserve">o marítimo terrestre con destino a conducción principal de vertido y conducción de aliviadero de emergencia de aguas procedentes del Polígono Industrial de Güimar, en el término municipal de Arafo, isla de Tenerife (Santa Cruz de Tenerife). </w:t>
      </w:r>
    </w:p>
    <w:p w:rsidR="007617AD" w:rsidRDefault="00EE75C8">
      <w:pPr>
        <w:ind w:left="703" w:right="62"/>
      </w:pPr>
      <w:r>
        <w:t>-Convenio de c</w:t>
      </w:r>
      <w:r>
        <w:t>olaboración entre el CIATF, el Cabildo Insular de Tenerife y los Ayuntamientos de Arafo, Candelaria y Güímar aprobado por el Ayuntamiento de Candelaria en el Pleno ordinario de 27 de marzo de 2019 y por los Ayuntamientos de Arafo y Güimar en el mes de mayo</w:t>
      </w:r>
      <w:r>
        <w:t xml:space="preserve"> de 2019 y formalizado por todas las partes intervinientes el día 10 de junio de 2019. </w:t>
      </w:r>
    </w:p>
    <w:p w:rsidR="007617AD" w:rsidRDefault="00EE75C8">
      <w:pPr>
        <w:spacing w:after="142"/>
        <w:ind w:left="703" w:right="62"/>
      </w:pPr>
      <w:r>
        <w:t xml:space="preserve">El citado convenio en su exposición decimosexta establece lo siguiente: </w:t>
      </w:r>
    </w:p>
    <w:p w:rsidR="007617AD" w:rsidRDefault="00EE75C8">
      <w:pPr>
        <w:ind w:left="1078" w:right="62"/>
      </w:pPr>
      <w:r>
        <w:t xml:space="preserve">[…] </w:t>
      </w:r>
    </w:p>
    <w:p w:rsidR="007617AD" w:rsidRDefault="00EE75C8">
      <w:pPr>
        <w:spacing w:after="110" w:line="248" w:lineRule="auto"/>
        <w:ind w:left="1078" w:right="59"/>
      </w:pPr>
      <w:r>
        <w:rPr>
          <w:i/>
        </w:rPr>
        <w:t xml:space="preserve">16.- </w:t>
      </w:r>
      <w:r>
        <w:rPr>
          <w:i/>
        </w:rPr>
        <w:t>Finalmente, los tres Ayuntamientos firmantes consideran que, una vez ejecutada la EDARi del Polígono Industrial del Valle de Güímar, su gestión y operación debe ser realizada por el Consejo Insular de Aguas de Tenerife, quedando así articulado un sistema i</w:t>
      </w:r>
      <w:r>
        <w:rPr>
          <w:i/>
        </w:rPr>
        <w:t>ntegral de saneamiento para el Valle de Güímar en el que se integren los subsistemas de depuración industrial y de depuración urbana, toda vez que la Administración Hidráulica también se encuentra ejecutando una Estación Depuradora de Aguas Residuales para</w:t>
      </w:r>
      <w:r>
        <w:rPr>
          <w:i/>
        </w:rPr>
        <w:t xml:space="preserve"> el tratamiento de los efluentes urbanos. </w:t>
      </w:r>
      <w:r>
        <w:rPr>
          <w:rFonts w:ascii="Times New Roman" w:eastAsia="Times New Roman" w:hAnsi="Times New Roman" w:cs="Times New Roman"/>
          <w:sz w:val="24"/>
        </w:rPr>
        <w:t xml:space="preserve"> </w:t>
      </w:r>
    </w:p>
    <w:p w:rsidR="007617AD" w:rsidRDefault="00EE75C8">
      <w:pPr>
        <w:spacing w:after="110" w:line="248" w:lineRule="auto"/>
        <w:ind w:left="1078" w:right="59"/>
      </w:pPr>
      <w:r>
        <w:rPr>
          <w:i/>
        </w:rPr>
        <w:t xml:space="preserve">Las Corporaciones Municipales, por su parte, desarrollarán todas las facultades propias de la prestación de un servicio público, especialmente, la reglamentación y el cobro de tasas por su prestación.  </w:t>
      </w:r>
    </w:p>
    <w:p w:rsidR="007617AD" w:rsidRDefault="00EE75C8">
      <w:pPr>
        <w:spacing w:after="110" w:line="248" w:lineRule="auto"/>
        <w:ind w:left="1078" w:right="59"/>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0678" name="Group 27067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0914" name="Rectangle 2091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w:t>
                              </w:r>
                              <w:r>
                                <w:rPr>
                                  <w:sz w:val="12"/>
                                </w:rPr>
                                <w:t xml:space="preserve">alidación: 6ZZKGX4GJD4WS6MQ5AJX5N2EM | Verificación: https://candelaria.sedelectronica.es/ </w:t>
                              </w:r>
                            </w:p>
                          </w:txbxContent>
                        </wps:txbx>
                        <wps:bodyPr horzOverflow="overflow" vert="horz" lIns="0" tIns="0" rIns="0" bIns="0" rtlCol="0">
                          <a:noAutofit/>
                        </wps:bodyPr>
                      </wps:wsp>
                      <wps:wsp>
                        <wps:cNvPr id="20915" name="Rectangle 20915"/>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108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0678" style="width:12.7031pt;height:280.02pt;position:absolute;mso-position-horizontal-relative:page;mso-position-horizontal:absolute;margin-left:682.278pt;mso-position-vertical-relative:page;margin-top:531.9pt;" coordsize="1613,35562">
                <v:rect id="Rectangle 2091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0915"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192 </w:t>
                        </w:r>
                      </w:p>
                    </w:txbxContent>
                  </v:textbox>
                </v:rect>
                <w10:wrap type="square"/>
              </v:group>
            </w:pict>
          </mc:Fallback>
        </mc:AlternateContent>
      </w:r>
      <w:r>
        <w:rPr>
          <w:i/>
        </w:rPr>
        <w:t>La gestión del servicio será objeto de un Convenio específico, prev</w:t>
      </w:r>
      <w:r>
        <w:rPr>
          <w:i/>
        </w:rPr>
        <w:t>io cumplimiento de los trámites procedentes, entre el Consejo Insular de Aguas de Tenerife, como gestor del servicio, y los Ayuntamientos de Candelaria, Arafo y Güímar, como titulares del mismo. En esta gestión se deberá respetar los siguientes principios:</w:t>
      </w:r>
      <w:r>
        <w:rPr>
          <w:i/>
        </w:rPr>
        <w:t xml:space="preserve"> </w:t>
      </w:r>
    </w:p>
    <w:p w:rsidR="007617AD" w:rsidRDefault="00EE75C8">
      <w:pPr>
        <w:spacing w:after="110" w:line="248" w:lineRule="auto"/>
        <w:ind w:left="1078" w:right="59"/>
      </w:pPr>
      <w:r>
        <w:rPr>
          <w:i/>
        </w:rPr>
        <w:t xml:space="preserve">Primero. - El de repercusión de todos los costes del servicio, incluyendo los costes ambientales, a los usuarios del mismo, en aplicación de lo mandatado por la Directiva Marco del Agua.  </w:t>
      </w:r>
    </w:p>
    <w:p w:rsidR="007617AD" w:rsidRDefault="00EE75C8">
      <w:pPr>
        <w:spacing w:after="110" w:line="248" w:lineRule="auto"/>
        <w:ind w:left="1078" w:right="59"/>
      </w:pPr>
      <w:r>
        <w:rPr>
          <w:i/>
        </w:rPr>
        <w:t xml:space="preserve">Segundo. - El de autofinanciación del servicio, por lo que todos </w:t>
      </w:r>
      <w:r>
        <w:rPr>
          <w:i/>
        </w:rPr>
        <w:t xml:space="preserve">los costes generados (funcionamiento, conservación, administración, inversión) se repercutirán, en las proporciones y cuantías que se determinen, entre los usuarios del Sistema.  </w:t>
      </w:r>
    </w:p>
    <w:p w:rsidR="007617AD" w:rsidRDefault="00EE75C8">
      <w:pPr>
        <w:spacing w:after="144" w:line="248" w:lineRule="auto"/>
        <w:ind w:left="1078" w:right="59"/>
      </w:pPr>
      <w:r>
        <w:rPr>
          <w:i/>
        </w:rPr>
        <w:t>Tercero- El de equidad insular, por lo que no podrán existir diferencias sus</w:t>
      </w:r>
      <w:r>
        <w:rPr>
          <w:i/>
        </w:rPr>
        <w:t xml:space="preserve">tanciales entre el coste del servicio en el Polígono Industrial del Valle de Güímar y en otras zonas donde el Consejo Insular de Aguas pudiera asumir competencias similares.  </w:t>
      </w:r>
    </w:p>
    <w:p w:rsidR="007617AD" w:rsidRDefault="00EE75C8">
      <w:pPr>
        <w:spacing w:after="92" w:line="265" w:lineRule="auto"/>
        <w:ind w:left="10" w:right="62"/>
        <w:jc w:val="right"/>
      </w:pPr>
      <w:r>
        <w:t xml:space="preserve">[…] </w:t>
      </w:r>
    </w:p>
    <w:p w:rsidR="007617AD" w:rsidRDefault="00EE75C8">
      <w:pPr>
        <w:spacing w:after="112" w:line="259" w:lineRule="auto"/>
        <w:ind w:left="708" w:firstLine="0"/>
        <w:jc w:val="left"/>
      </w:pPr>
      <w:r>
        <w:rPr>
          <w:b/>
        </w:rPr>
        <w:t xml:space="preserve"> </w:t>
      </w:r>
    </w:p>
    <w:p w:rsidR="007617AD" w:rsidRDefault="00EE75C8">
      <w:pPr>
        <w:ind w:left="703" w:right="58"/>
      </w:pPr>
      <w:r>
        <w:rPr>
          <w:b/>
        </w:rPr>
        <w:t>3.1. Competencias municipales: Ayuntamientos de Arafo, Candelaria y Güímar.</w:t>
      </w:r>
      <w:r>
        <w:rPr>
          <w:rFonts w:ascii="Times New Roman" w:eastAsia="Times New Roman" w:hAnsi="Times New Roman" w:cs="Times New Roman"/>
          <w:sz w:val="24"/>
        </w:rPr>
        <w:t xml:space="preserve"> </w:t>
      </w:r>
    </w:p>
    <w:p w:rsidR="007617AD" w:rsidRDefault="00EE75C8">
      <w:pPr>
        <w:spacing w:after="231"/>
        <w:ind w:left="703" w:right="62"/>
      </w:pPr>
      <w:r>
        <w:t>El art. 7.2 LRBRL dispone que “Las competencias propias de los Municipios, las Provincias, las Islas y demás Entidades Locales territoriales solo podrán ser determinadas por Ley y</w:t>
      </w:r>
      <w:r>
        <w:t xml:space="preserve"> se ejercen en régimen de autonomía y bajo la propia responsabilidad, atendiendo siempre a la debida coordinación en su programación y ejecución con las demás Administraciones Públicas”.  </w:t>
      </w:r>
    </w:p>
    <w:p w:rsidR="007617AD" w:rsidRDefault="00EE75C8">
      <w:pPr>
        <w:ind w:left="703" w:right="62"/>
      </w:pPr>
      <w:r>
        <w:t xml:space="preserve">En este sentido conforme al art. 25.2 LRBRL el municipio ejercerá, </w:t>
      </w:r>
      <w:r>
        <w:t>en todo caso, competencias propias en materia de "evacuación y tratamiento de aguas residuales” (letra c.).</w:t>
      </w:r>
      <w:r>
        <w:rPr>
          <w:rFonts w:ascii="Times New Roman" w:eastAsia="Times New Roman" w:hAnsi="Times New Roman" w:cs="Times New Roman"/>
          <w:sz w:val="24"/>
        </w:rPr>
        <w:t xml:space="preserve"> </w:t>
      </w:r>
    </w:p>
    <w:p w:rsidR="007617AD" w:rsidRDefault="00EE75C8">
      <w:pPr>
        <w:spacing w:after="231"/>
        <w:ind w:left="703" w:right="62"/>
      </w:pPr>
      <w:r>
        <w:t xml:space="preserve">Asimismo, conforme a los apartados 3 y 4 del referido art. 25 LRBRL: </w:t>
      </w:r>
    </w:p>
    <w:p w:rsidR="007617AD" w:rsidRDefault="00EE75C8">
      <w:pPr>
        <w:numPr>
          <w:ilvl w:val="0"/>
          <w:numId w:val="51"/>
        </w:numPr>
        <w:spacing w:after="234" w:line="248" w:lineRule="auto"/>
        <w:ind w:right="59"/>
      </w:pPr>
      <w:r>
        <w:rPr>
          <w:i/>
        </w:rPr>
        <w:t>Las competencias municipales en las materias enunciadas en este artículo se d</w:t>
      </w:r>
      <w:r>
        <w:rPr>
          <w:i/>
        </w:rPr>
        <w:t xml:space="preserve">eterminarán por Ley debiendo evaluar la conveniencia de la implantación de servicios locales conforme a los principios de descentralización, eficiencia, estabilidad y sostenibilidad financiera. </w:t>
      </w:r>
    </w:p>
    <w:p w:rsidR="007617AD" w:rsidRDefault="00EE75C8">
      <w:pPr>
        <w:numPr>
          <w:ilvl w:val="0"/>
          <w:numId w:val="51"/>
        </w:numPr>
        <w:spacing w:after="231" w:line="248" w:lineRule="auto"/>
        <w:ind w:right="59"/>
      </w:pPr>
      <w:r>
        <w:rPr>
          <w:i/>
        </w:rPr>
        <w:t>La Ley a que se refiere el apartado anterior deberá ir acompa</w:t>
      </w:r>
      <w:r>
        <w:rPr>
          <w:i/>
        </w:rPr>
        <w:t>ñada de una memoria económica que refleje el impacto sobre los recursos financieros de las Administraciones Públicas afectadas y el cumplimiento de los principios de estabilidad, sostenibilidad financiera y eficiencia del servicio o la actividad. La Ley de</w:t>
      </w:r>
      <w:r>
        <w:rPr>
          <w:i/>
        </w:rPr>
        <w:t xml:space="preserve">be prever la dotación de los recursos necesarios para asegurar la suficiencia financiera de las Entidades Locales sin que ello pueda conllevar, en ningún caso, un mayor gasto de las Administraciones  </w:t>
      </w:r>
    </w:p>
    <w:p w:rsidR="007617AD" w:rsidRDefault="00EE75C8">
      <w:pPr>
        <w:spacing w:after="231"/>
        <w:ind w:left="703" w:right="62"/>
      </w:pPr>
      <w:r>
        <w:t>Es de aplicación el artículo 26.1 a) de la Ley de Bases</w:t>
      </w:r>
      <w:r>
        <w:t xml:space="preserve"> del Régimen local que atribuye a todos los municipios la competencia de alcantarillado. </w:t>
      </w:r>
    </w:p>
    <w:p w:rsidR="007617AD" w:rsidRDefault="00EE75C8">
      <w:pPr>
        <w:spacing w:after="211"/>
        <w:ind w:left="703" w:right="62"/>
      </w:pPr>
      <w:r>
        <w:t>Por otra parte, la Ley 14/1986, de 25 de abril, General de Sanidad, que concreta las competencias municipales en materia de “medio ambiente urbano”, en su art. 42, ap</w:t>
      </w:r>
      <w:r>
        <w:t xml:space="preserve">artado 3, considera una responsabilidad mínima de los Ayuntamientos el “control sanitario del medio ambiente: la contaminación atmosférica, abastecimiento de aguas, saneamiento de aguas residuales, residuos urbanos e industriales”. </w:t>
      </w:r>
      <w:r>
        <w:rPr>
          <w:rFonts w:ascii="Times New Roman" w:eastAsia="Times New Roman" w:hAnsi="Times New Roman" w:cs="Times New Roman"/>
          <w:sz w:val="24"/>
        </w:rPr>
        <w:t xml:space="preserve"> </w:t>
      </w:r>
    </w:p>
    <w:p w:rsidR="007617AD" w:rsidRDefault="00EE75C8">
      <w:pPr>
        <w:spacing w:after="11"/>
        <w:ind w:left="703" w:right="62"/>
      </w:pPr>
      <w:r>
        <w:t>El art. 10 del Decreto</w:t>
      </w:r>
      <w:r>
        <w:t xml:space="preserve"> 174/1994 de 29 de julio, por el que se aprueba el Reglamento de Control de </w:t>
      </w:r>
    </w:p>
    <w:p w:rsidR="007617AD" w:rsidRDefault="00EE75C8">
      <w:pPr>
        <w:spacing w:after="213"/>
        <w:ind w:left="703" w:right="62"/>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0522" name="Group 27052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1030" name="Rectangle 2103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1031" name="Rectangle 21031"/>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109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0522" style="width:12.7031pt;height:280.02pt;position:absolute;mso-position-horizontal-relative:page;mso-position-horizontal:absolute;margin-left:682.278pt;mso-position-vertical-relative:page;margin-top:531.9pt;" coordsize="1613,35562">
                <v:rect id="Rectangle 2103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1031"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192 </w:t>
                        </w:r>
                      </w:p>
                    </w:txbxContent>
                  </v:textbox>
                </v:rect>
                <w10:wrap type="square"/>
              </v:group>
            </w:pict>
          </mc:Fallback>
        </mc:AlternateContent>
      </w:r>
      <w:r>
        <w:t xml:space="preserve">Vertidos para la ocupación del dominio público hidráulico. (RCV), según el cual “los municipios son directamente responsables de los servicios de abastecimiento </w:t>
      </w:r>
      <w:r>
        <w:t>domiciliario de agua potable, de alcantarillado y de tratamiento o depuración de las aguas residuales en los términos de la legislación de régimen local. Entre sus responsabilidades se incluyen (…) b.) El buen funcionamiento de sus servicios de depuración,</w:t>
      </w:r>
      <w:r>
        <w:t xml:space="preserve"> así como la vigilancia de los instalados en las urbanizaciones no conectados al sistema general; c.) El control de los efluentes de sus servicios de alcantarillado y depuración de aguas residuales (…)”. </w:t>
      </w:r>
      <w:r>
        <w:rPr>
          <w:rFonts w:ascii="Times New Roman" w:eastAsia="Times New Roman" w:hAnsi="Times New Roman" w:cs="Times New Roman"/>
          <w:sz w:val="24"/>
        </w:rPr>
        <w:t xml:space="preserve"> </w:t>
      </w:r>
    </w:p>
    <w:p w:rsidR="007617AD" w:rsidRDefault="00EE75C8">
      <w:pPr>
        <w:spacing w:after="234"/>
        <w:ind w:left="703" w:right="62"/>
      </w:pPr>
      <w:r>
        <w:t xml:space="preserve">Es de aplicación la norma 297.3 del Plan Hidrológico de la Demarcación Hidrográfica de Tenerife, aprobado mediante Decreto 168/2018, de 26 de noviembre (BOC nº 250 de 27 de diciembre de 2018), que en su apartado 2 dispone: </w:t>
      </w:r>
    </w:p>
    <w:p w:rsidR="007617AD" w:rsidRDefault="00EE75C8">
      <w:pPr>
        <w:spacing w:after="231" w:line="248" w:lineRule="auto"/>
        <w:ind w:left="703" w:right="59"/>
      </w:pPr>
      <w:r>
        <w:rPr>
          <w:i/>
        </w:rPr>
        <w:t>El servicio de tratamiento del a</w:t>
      </w:r>
      <w:r>
        <w:rPr>
          <w:i/>
        </w:rPr>
        <w:t xml:space="preserve">gua residual y el vertido podrá ser gestionado mediante fórmula de convenio entre el CIATF y uno o varios Ayuntamientos. </w:t>
      </w:r>
    </w:p>
    <w:p w:rsidR="007617AD" w:rsidRDefault="00EE75C8">
      <w:pPr>
        <w:spacing w:after="234" w:line="248" w:lineRule="auto"/>
        <w:ind w:left="703" w:right="59"/>
      </w:pPr>
      <w:r>
        <w:rPr>
          <w:i/>
        </w:rPr>
        <w:t>En este caso, se entenderá que el órgano de gestión del Convenio asume la prestación del servicio para su gestión –de manera habitual-</w:t>
      </w:r>
      <w:r>
        <w:rPr>
          <w:i/>
        </w:rPr>
        <w:t xml:space="preserve"> por el Consejo Insular de Aguas, sin perjuicio de lo que corresponda en razón de la autonomía de cada Ayuntamiento en su término municipal.  </w:t>
      </w:r>
    </w:p>
    <w:p w:rsidR="007617AD" w:rsidRDefault="00EE75C8">
      <w:pPr>
        <w:spacing w:after="229" w:line="248" w:lineRule="auto"/>
        <w:ind w:left="703" w:right="59"/>
      </w:pPr>
      <w:r>
        <w:rPr>
          <w:i/>
        </w:rPr>
        <w:t xml:space="preserve">El Consejo Insular se subrogará en la explotación de las instalaciones de depuración y vertido del agua residual </w:t>
      </w:r>
      <w:r>
        <w:rPr>
          <w:i/>
        </w:rPr>
        <w:t xml:space="preserve">que no cumplan las condiciones adecuadas para la protección del medio ambiente o impidan el tratamiento de la regeneración del agua residual, si fuere necesario para la planificación hidráulica insular. </w:t>
      </w:r>
    </w:p>
    <w:p w:rsidR="007617AD" w:rsidRDefault="00EE75C8">
      <w:pPr>
        <w:spacing w:after="0" w:line="259" w:lineRule="auto"/>
        <w:ind w:left="708" w:firstLine="0"/>
        <w:jc w:val="left"/>
      </w:pPr>
      <w:r>
        <w:rPr>
          <w:b/>
        </w:rPr>
        <w:t xml:space="preserve"> </w:t>
      </w:r>
    </w:p>
    <w:p w:rsidR="007617AD" w:rsidRDefault="00EE75C8">
      <w:pPr>
        <w:spacing w:after="234"/>
        <w:ind w:left="703" w:right="58"/>
      </w:pPr>
      <w:r>
        <w:rPr>
          <w:b/>
        </w:rPr>
        <w:t>3.2. Competencias insulares para la gestión conjun</w:t>
      </w:r>
      <w:r>
        <w:rPr>
          <w:b/>
        </w:rPr>
        <w:t xml:space="preserve">ta de las infraestructuras de depuración y vertido integradas en el Sistema Territorial de Saneamiento del Valle de Güímar y Polígono Industrial del Valle de Güímar. </w:t>
      </w:r>
    </w:p>
    <w:p w:rsidR="007617AD" w:rsidRDefault="00EE75C8">
      <w:pPr>
        <w:spacing w:after="214" w:line="248" w:lineRule="auto"/>
        <w:ind w:left="703" w:right="59"/>
      </w:pPr>
      <w:r>
        <w:t xml:space="preserve">Es de aplicación el artículo 26.2 de la Ley de Bases del Régimen local que establece: </w:t>
      </w:r>
      <w:r>
        <w:rPr>
          <w:i/>
        </w:rPr>
        <w:t xml:space="preserve">2. </w:t>
      </w:r>
      <w:r>
        <w:rPr>
          <w:i/>
        </w:rPr>
        <w:t xml:space="preserve">En los municipios con población inferior a 20.000 habitantes será la Diputación provincial o entidad equivalente la que coordinará la prestación de los siguientes servicios: b) (…) evacuación y tratamiento de aguas residuales. </w:t>
      </w:r>
      <w:r>
        <w:rPr>
          <w:rFonts w:ascii="Times New Roman" w:eastAsia="Times New Roman" w:hAnsi="Times New Roman" w:cs="Times New Roman"/>
          <w:sz w:val="24"/>
        </w:rPr>
        <w:t xml:space="preserve"> </w:t>
      </w:r>
    </w:p>
    <w:p w:rsidR="007617AD" w:rsidRDefault="00EE75C8">
      <w:pPr>
        <w:spacing w:after="216"/>
        <w:ind w:left="703" w:right="62"/>
      </w:pPr>
      <w:r>
        <w:t>Es de aplicación lo dispues</w:t>
      </w:r>
      <w:r>
        <w:t>to en el artículo 41.1 de la Ley de Bases del Régimen local que establece Los Cabildos Insulares Canarios, como órganos de gobierno, administración y representación de cada isla, se rigen por las normas contenidas en la disposición adicional decimocuarta d</w:t>
      </w:r>
      <w:r>
        <w:t>e esta ley y supletoriamente por las normas que regulan la organización y funcionamiento de las Diputaciones provinciales, asumiendo las competencias de éstas, sin perjuicio de lo dispuesto en el Estatuto de Autonomía de Canarias.</w:t>
      </w:r>
      <w:r>
        <w:rPr>
          <w:rFonts w:ascii="Times New Roman" w:eastAsia="Times New Roman" w:hAnsi="Times New Roman" w:cs="Times New Roman"/>
          <w:sz w:val="24"/>
        </w:rPr>
        <w:t xml:space="preserve"> </w:t>
      </w:r>
    </w:p>
    <w:p w:rsidR="007617AD" w:rsidRDefault="00EE75C8">
      <w:pPr>
        <w:spacing w:after="211" w:line="248" w:lineRule="auto"/>
        <w:ind w:left="703" w:right="59"/>
      </w:pPr>
      <w:r>
        <w:t>Es de aplicación la norm</w:t>
      </w:r>
      <w:r>
        <w:t xml:space="preserve">a 298.1 “Gestión supramunicipal del Saneamiento” del Plan Hidrológico de la Demarcación Hidrográfica de Tenerife, aprobado mediante Decreto 168/2018, de 26 de noviembre (BOC nº 250 de 27 de diciembre de 2018), que dispone: </w:t>
      </w:r>
      <w:r>
        <w:rPr>
          <w:i/>
        </w:rPr>
        <w:t>1.- En los municipios de menos de</w:t>
      </w:r>
      <w:r>
        <w:rPr>
          <w:i/>
        </w:rPr>
        <w:t xml:space="preserve"> 20.000 habitantes, el Cabildo de Tenerife –directamente o a través del Consejo Insular de Aguas, según se establezca -coordinará la prestación del servicio de saneamiento del agua residual en los términos previstos en el artículo 26.2 de la Ley de Bases d</w:t>
      </w:r>
      <w:r>
        <w:rPr>
          <w:i/>
        </w:rPr>
        <w:t>el Régimen local (…).</w:t>
      </w:r>
      <w:r>
        <w:rPr>
          <w:rFonts w:ascii="Times New Roman" w:eastAsia="Times New Roman" w:hAnsi="Times New Roman" w:cs="Times New Roman"/>
          <w:sz w:val="24"/>
        </w:rPr>
        <w:t xml:space="preserve"> </w:t>
      </w:r>
    </w:p>
    <w:p w:rsidR="007617AD" w:rsidRDefault="00EE75C8">
      <w:pPr>
        <w:spacing w:after="232"/>
        <w:ind w:left="703" w:right="62"/>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0603" name="Group 270603"/>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1159" name="Rectangle 2115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1160" name="Rectangle 21160"/>
                        <wps:cNvSpPr/>
                        <wps:spPr>
                          <a:xfrm rot="-5399999">
                            <a:off x="-2094822" y="1272006"/>
                            <a:ext cx="44552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110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0603" style="width:12.7031pt;height:280.02pt;position:absolute;mso-position-horizontal-relative:page;mso-position-horizontal:absolute;margin-left:682.278pt;mso-position-vertical-relative:page;margin-top:531.9pt;" coordsize="1613,35562">
                <v:rect id="Rectangle 2115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1160" style="position:absolute;width:44552;height:1132;left:-20948;top:127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192 </w:t>
                        </w:r>
                      </w:p>
                    </w:txbxContent>
                  </v:textbox>
                </v:rect>
                <w10:wrap type="square"/>
              </v:group>
            </w:pict>
          </mc:Fallback>
        </mc:AlternateContent>
      </w:r>
      <w:r>
        <w:t>Los Consejos Insulares son Organismos Autónomos que ejercen en cada Isla las funciones que, en relación con las aguas, la legislación general confía a los Organismos de cuenca, así como las competencias que le otorga la propia Ley de Aguas de Canarias (art</w:t>
      </w:r>
      <w:r>
        <w:t xml:space="preserve">s. 6 y 10 LAC).  </w:t>
      </w:r>
    </w:p>
    <w:p w:rsidR="007617AD" w:rsidRDefault="00EE75C8">
      <w:pPr>
        <w:spacing w:after="214"/>
        <w:ind w:left="703" w:right="62"/>
      </w:pPr>
      <w:r>
        <w:t>El Consejo Insular de Aguas de Tenerife tiene atribuidas, entre otras funciones, la prestación de toda clase de servicios técnicos y el asesoramiento a las Administraciones Públicas, según determina la Ley 12/1990, de 26 de julio, de Agua</w:t>
      </w:r>
      <w:r>
        <w:t xml:space="preserve">s de Canarias. </w:t>
      </w:r>
      <w:r>
        <w:rPr>
          <w:rFonts w:ascii="Times New Roman" w:eastAsia="Times New Roman" w:hAnsi="Times New Roman" w:cs="Times New Roman"/>
          <w:sz w:val="24"/>
        </w:rPr>
        <w:t xml:space="preserve"> </w:t>
      </w:r>
    </w:p>
    <w:p w:rsidR="007617AD" w:rsidRDefault="00EE75C8">
      <w:pPr>
        <w:spacing w:after="211"/>
        <w:ind w:left="703" w:right="62"/>
      </w:pPr>
      <w:r>
        <w:t>Atendiendo a lo anterior, de acuerdo con la actuación desarrollada hasta la fecha en los Convenios formalizados con los Ayuntamientos de la Isla para articular sus competencias en lo que respecta a la depuración y vertido, corresponde al C</w:t>
      </w:r>
      <w:r>
        <w:t>IATF la gestión de las infraestructuras a través de la fórmula que se considere adecuada a tal fin (que podrá ser por contratos de servicios (funciones de operación) o encargo a medio propio, una combinación de ambas u otras fórmulas previstas en el ordena</w:t>
      </w:r>
      <w:r>
        <w:t>miento jurídico que sean adecuadas a tal fin), y a llevar a cabo un control ambiental y técnico de su funcionamiento. Además, el CIATF prefinancia esta gestión pues atiende a todos los gastos (incluyendo la electricidad) y, a posteriori, procede a su reper</w:t>
      </w:r>
      <w:r>
        <w:t xml:space="preserve">cusión íntegra a los Ayuntamientos. </w:t>
      </w:r>
      <w:r>
        <w:rPr>
          <w:rFonts w:ascii="Times New Roman" w:eastAsia="Times New Roman" w:hAnsi="Times New Roman" w:cs="Times New Roman"/>
          <w:sz w:val="24"/>
        </w:rPr>
        <w:t xml:space="preserve"> </w:t>
      </w:r>
    </w:p>
    <w:p w:rsidR="007617AD" w:rsidRDefault="00EE75C8">
      <w:pPr>
        <w:ind w:left="703" w:right="58"/>
      </w:pPr>
      <w:r>
        <w:rPr>
          <w:b/>
        </w:rPr>
        <w:t xml:space="preserve">CUARTO. - ESTACIÓN DEPURADORA DE AGUAS RESIDUALES URBANAS DEL VALLE DE GÜÍMAR (EDARU). </w:t>
      </w:r>
    </w:p>
    <w:p w:rsidR="007617AD" w:rsidRDefault="00EE75C8">
      <w:pPr>
        <w:spacing w:after="0"/>
        <w:ind w:left="703" w:right="62"/>
      </w:pPr>
      <w:r>
        <w:t>Las obras de la EDARU, que está ubicada en el T.M. de Arafo, fueron adjudicadas con fecha 13 de septiembre de 2017 a la U.T.E. con</w:t>
      </w:r>
      <w:r>
        <w:t xml:space="preserve">formada por FERROVIAL AGROMAN, S.A. – CADAGUA, S.A., por un importe de 9.809.062,71 € y un plazo de ejecución de 30 meses, formalizándose el correspondiente contrato administrativo el 5 de octubre de 2017 (anuncio insertado en el DOUE de </w:t>
      </w:r>
    </w:p>
    <w:p w:rsidR="007617AD" w:rsidRDefault="00EE75C8">
      <w:pPr>
        <w:ind w:left="703" w:right="62"/>
      </w:pPr>
      <w:r>
        <w:t>19/10/2017, 41454</w:t>
      </w:r>
      <w:r>
        <w:t xml:space="preserve">3-2017-ES). Por requerimientos de encaje físico y perfeccionamiento tecnológico se aprobó y rubricó una Modificación del Proyecto anterior alcanzando un presupuesto de 12.310.399,87€. </w:t>
      </w:r>
    </w:p>
    <w:p w:rsidR="007617AD" w:rsidRDefault="00EE75C8">
      <w:pPr>
        <w:ind w:left="703" w:right="62"/>
      </w:pPr>
      <w:r>
        <w:t>El inicio de las obras tuvo lugar el 27 de octubre de 2017, con la susc</w:t>
      </w:r>
      <w:r>
        <w:t>ripción del Acta de Comprobación del Replanteo, estando prevista la recepción de las obras -a la fecha de firma del presente Convenio-  en el mes de diciembre de 2022 y su puesta en funcionamiento en el mes de enero de 2025 cuando se culminen las actuacion</w:t>
      </w:r>
      <w:r>
        <w:t xml:space="preserve">es que posibiliten la llegada de los caudales colectados a la misma (actuaciones no incluidas en las obras de la EDARU). Dichas actuaciones figuran en el cronograma que se incorpora como Anexo III del presente convenio.  </w:t>
      </w:r>
    </w:p>
    <w:p w:rsidR="007617AD" w:rsidRDefault="00EE75C8">
      <w:pPr>
        <w:ind w:left="703" w:right="62"/>
      </w:pPr>
      <w:r>
        <w:t xml:space="preserve">La capacidad de tratamiento de la </w:t>
      </w:r>
      <w:r>
        <w:t xml:space="preserve">EDARU es de 75.833 habitantes equivalentes suficiente para cubrir la totalidad de la carga contaminante urbana de los tres municipios a los que prestará servicio, es decir Candelaria, Arafo y Güímar, ampliable hasta 113.750 habitantes equivalentes para el </w:t>
      </w:r>
      <w:r>
        <w:t xml:space="preserve">horizonte temporal 2027. </w:t>
      </w:r>
    </w:p>
    <w:p w:rsidR="007617AD" w:rsidRDefault="00EE75C8">
      <w:pPr>
        <w:ind w:left="703" w:right="62"/>
      </w:pPr>
      <w:r>
        <w:t xml:space="preserve">El 100% del coste de las actuaciones en esta obra incluyendo la redacción del proyecto inicial han sido sufragados con presupuestos del CIATF. </w:t>
      </w:r>
    </w:p>
    <w:p w:rsidR="007617AD" w:rsidRDefault="00EE75C8">
      <w:pPr>
        <w:spacing w:after="98" w:line="259" w:lineRule="auto"/>
        <w:ind w:left="708" w:firstLine="0"/>
        <w:jc w:val="left"/>
      </w:pPr>
      <w:r>
        <w:rPr>
          <w:b/>
        </w:rPr>
        <w:t xml:space="preserve"> </w:t>
      </w:r>
    </w:p>
    <w:p w:rsidR="007617AD" w:rsidRDefault="00EE75C8">
      <w:pPr>
        <w:ind w:left="703" w:right="58"/>
      </w:pPr>
      <w:r>
        <w:rPr>
          <w:b/>
        </w:rPr>
        <w:t>QUINTO. -</w:t>
      </w:r>
      <w:r>
        <w:t xml:space="preserve"> </w:t>
      </w:r>
      <w:r>
        <w:rPr>
          <w:b/>
        </w:rPr>
        <w:t xml:space="preserve">ESTACIÓN DEPURADORA DE AGUAS RESIDUALES INDUSTRIALES (EDARI) DEL POLÍGONO </w:t>
      </w:r>
      <w:r>
        <w:rPr>
          <w:b/>
        </w:rPr>
        <w:t xml:space="preserve">INDUSTRIAL DEL VALLE DE GÜIMAR Y ACTUACIONES COMPLEMENTARIAS. </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ind w:left="703" w:right="62"/>
      </w:pPr>
      <w:r>
        <w:t xml:space="preserve">Las obras de la EDARI, así como las actuaciones complementarias. fueron adjudicadas con fecha 16 de septiembre de 2019 la U.T.E. HIDROTEC AGUAS, S.L. y SATOCAN S.A., por un importe de </w:t>
      </w:r>
    </w:p>
    <w:p w:rsidR="007617AD" w:rsidRDefault="00EE75C8">
      <w:pPr>
        <w:spacing w:after="1"/>
        <w:ind w:left="703" w:right="62"/>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1228" name="Group 27122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1273" name="Rectangle 21273"/>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1274" name="Rectangle 21274"/>
                        <wps:cNvSpPr/>
                        <wps:spPr>
                          <a:xfrm rot="-5399999">
                            <a:off x="-2091074" y="1275756"/>
                            <a:ext cx="4447773"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111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1228" style="width:12.7031pt;height:280.02pt;position:absolute;mso-position-horizontal-relative:page;mso-position-horizontal:absolute;margin-left:682.278pt;mso-position-vertical-relative:page;margin-top:531.9pt;" coordsize="1613,35562">
                <v:rect id="Rectangle 21273"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1274" style="position:absolute;width:44477;height:1132;left:-20910;top:1275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192 </w:t>
                        </w:r>
                      </w:p>
                    </w:txbxContent>
                  </v:textbox>
                </v:rect>
                <w10:wrap type="square"/>
              </v:group>
            </w:pict>
          </mc:Fallback>
        </mc:AlternateContent>
      </w:r>
      <w:r>
        <w:t xml:space="preserve">5.235.122,44 € -6,5% IGIC aplicable no incluido – </w:t>
      </w:r>
      <w:r>
        <w:t>y un plazo de 23 meses (17 meses de ejecución y 6 meses de periodo de pruebas). La correspondiente Acta de Comprobación de Replanteo se suscribió el 21 de noviembre de 2019, habiéndose iniciado con ello las obras. Así mismo se aprobó y rubricó un modificad</w:t>
      </w:r>
      <w:r>
        <w:t xml:space="preserve">o necesario para optimizar la operación posterior de la planta lo que el presupuesto total alcanza los 5.991.461,46 €. </w:t>
      </w:r>
    </w:p>
    <w:p w:rsidR="007617AD" w:rsidRDefault="00EE75C8">
      <w:pPr>
        <w:spacing w:after="0" w:line="259" w:lineRule="auto"/>
        <w:ind w:left="708" w:firstLine="0"/>
        <w:jc w:val="left"/>
      </w:pPr>
      <w:r>
        <w:t xml:space="preserve"> </w:t>
      </w:r>
    </w:p>
    <w:p w:rsidR="007617AD" w:rsidRDefault="00EE75C8">
      <w:pPr>
        <w:ind w:left="703" w:right="62"/>
      </w:pPr>
      <w:r>
        <w:t>La capacidad de tratamiento de la EDARI es de 14.126 habitantes equivalentes suficiente para cubrir la totalidad de la carga contamina</w:t>
      </w:r>
      <w:r>
        <w:t xml:space="preserve">nte industrial del polígono en un horizonte temporal futuro a los que prestará servicio, es decir Candelaria, Arafo y Güímar. </w:t>
      </w:r>
    </w:p>
    <w:p w:rsidR="007617AD" w:rsidRDefault="00EE75C8">
      <w:pPr>
        <w:ind w:left="703" w:right="62"/>
      </w:pPr>
      <w:r>
        <w:t>La finalización de la EDARi está prevista inicialmente para finales de noviembre de 2022 y su recepción en el mes de diciembre de</w:t>
      </w:r>
      <w:r>
        <w:t xml:space="preserve"> 2022, conforme al plan de etapas actualmente vigente, sin perjuicio de eventuales modificaciones que pudieran producirse como consecuencia de la ejecución y puesta en funcionamiento de la instalación. </w:t>
      </w:r>
    </w:p>
    <w:p w:rsidR="007617AD" w:rsidRDefault="00EE75C8">
      <w:pPr>
        <w:ind w:left="703" w:right="62"/>
      </w:pPr>
      <w:r>
        <w:t>El 100% del coste de las actuaciones en estas obras (</w:t>
      </w:r>
      <w:r>
        <w:t xml:space="preserve">EDARI y actuaciones complementarias) incluyendo la redacción del proyecto inicial han sido sufragados con presupuestos del CIATF. </w:t>
      </w:r>
    </w:p>
    <w:p w:rsidR="007617AD" w:rsidRDefault="00EE75C8">
      <w:pPr>
        <w:spacing w:after="95" w:line="259" w:lineRule="auto"/>
        <w:ind w:left="708" w:firstLine="0"/>
        <w:jc w:val="left"/>
      </w:pPr>
      <w:r>
        <w:t xml:space="preserve"> </w:t>
      </w:r>
    </w:p>
    <w:p w:rsidR="007617AD" w:rsidRDefault="00EE75C8">
      <w:pPr>
        <w:ind w:left="703" w:right="58"/>
      </w:pPr>
      <w:r>
        <w:rPr>
          <w:b/>
        </w:rPr>
        <w:t xml:space="preserve">SEXTO. - CAUDALES DE DISEÑO DE LAS INTALACIONES DE DEPURACIÓN DEL AGUA RESIDUAL URBANA E INDUSTRIAL. </w:t>
      </w:r>
    </w:p>
    <w:p w:rsidR="007617AD" w:rsidRDefault="00EE75C8">
      <w:pPr>
        <w:spacing w:after="84"/>
        <w:ind w:left="703" w:right="62"/>
      </w:pPr>
      <w:r>
        <w:t>Las instalaciones ant</w:t>
      </w:r>
      <w:r>
        <w:t xml:space="preserve">es descritas, EDARU y EDARI, se han diseñado para tratar un volumen de agua estimado por municipio y que se detalla en la siguiente tabla. Estos caudales determinan la </w:t>
      </w:r>
      <w:r>
        <w:rPr>
          <w:u w:val="single" w:color="000000"/>
        </w:rPr>
        <w:t>capacidad de tratamiento reservada</w:t>
      </w:r>
      <w:r>
        <w:t xml:space="preserve"> en las instalaciones para cada uno de los Ayuntamient</w:t>
      </w:r>
      <w:r>
        <w:t xml:space="preserve">os y a la vez establecen la cuota de participación de cada Ayuntamiento en los costes fijos bajo la premisa de </w:t>
      </w:r>
      <w:r>
        <w:rPr>
          <w:u w:val="single" w:color="000000"/>
        </w:rPr>
        <w:t>proporcionalidad entre la cuota de tratamiento asignada por municipio y los costes fijos de</w:t>
      </w:r>
      <w:r>
        <w:t xml:space="preserve"> </w:t>
      </w:r>
      <w:r>
        <w:rPr>
          <w:u w:val="single" w:color="000000"/>
        </w:rPr>
        <w:t>ambas instalaciones.</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tbl>
      <w:tblPr>
        <w:tblStyle w:val="TableGrid"/>
        <w:tblW w:w="8491" w:type="dxa"/>
        <w:tblInd w:w="1232" w:type="dxa"/>
        <w:tblCellMar>
          <w:top w:w="45" w:type="dxa"/>
          <w:left w:w="29" w:type="dxa"/>
          <w:bottom w:w="0" w:type="dxa"/>
          <w:right w:w="115" w:type="dxa"/>
        </w:tblCellMar>
        <w:tblLook w:val="04A0" w:firstRow="1" w:lastRow="0" w:firstColumn="1" w:lastColumn="0" w:noHBand="0" w:noVBand="1"/>
      </w:tblPr>
      <w:tblGrid>
        <w:gridCol w:w="2826"/>
        <w:gridCol w:w="950"/>
        <w:gridCol w:w="944"/>
        <w:gridCol w:w="938"/>
        <w:gridCol w:w="950"/>
        <w:gridCol w:w="944"/>
        <w:gridCol w:w="938"/>
      </w:tblGrid>
      <w:tr w:rsidR="007617AD">
        <w:trPr>
          <w:trHeight w:val="253"/>
        </w:trPr>
        <w:tc>
          <w:tcPr>
            <w:tcW w:w="2826" w:type="dxa"/>
            <w:vMerge w:val="restart"/>
            <w:tcBorders>
              <w:top w:val="nil"/>
              <w:left w:val="nil"/>
              <w:bottom w:val="nil"/>
              <w:right w:val="single" w:sz="9" w:space="0" w:color="000000"/>
            </w:tcBorders>
          </w:tcPr>
          <w:p w:rsidR="007617AD" w:rsidRDefault="007617AD">
            <w:pPr>
              <w:spacing w:after="160" w:line="259" w:lineRule="auto"/>
              <w:ind w:left="0" w:firstLine="0"/>
              <w:jc w:val="left"/>
            </w:pPr>
          </w:p>
        </w:tc>
        <w:tc>
          <w:tcPr>
            <w:tcW w:w="2832" w:type="dxa"/>
            <w:gridSpan w:val="3"/>
            <w:tcBorders>
              <w:top w:val="single" w:sz="5" w:space="0" w:color="000000"/>
              <w:left w:val="single" w:sz="9" w:space="0" w:color="000000"/>
              <w:bottom w:val="single" w:sz="9" w:space="0" w:color="000000"/>
              <w:right w:val="single" w:sz="9" w:space="0" w:color="000000"/>
            </w:tcBorders>
          </w:tcPr>
          <w:p w:rsidR="007617AD" w:rsidRDefault="00EE75C8">
            <w:pPr>
              <w:spacing w:after="0" w:line="259" w:lineRule="auto"/>
              <w:ind w:left="85" w:firstLine="0"/>
              <w:jc w:val="center"/>
            </w:pPr>
            <w:r>
              <w:rPr>
                <w:rFonts w:ascii="Calibri" w:eastAsia="Calibri" w:hAnsi="Calibri" w:cs="Calibri"/>
                <w:sz w:val="19"/>
              </w:rPr>
              <w:t>Aguas residuales urbanas</w:t>
            </w:r>
          </w:p>
        </w:tc>
        <w:tc>
          <w:tcPr>
            <w:tcW w:w="2832" w:type="dxa"/>
            <w:gridSpan w:val="3"/>
            <w:tcBorders>
              <w:top w:val="single" w:sz="5" w:space="0" w:color="000000"/>
              <w:left w:val="single" w:sz="9" w:space="0" w:color="000000"/>
              <w:bottom w:val="single" w:sz="9" w:space="0" w:color="000000"/>
              <w:right w:val="single" w:sz="9" w:space="0" w:color="000000"/>
            </w:tcBorders>
          </w:tcPr>
          <w:p w:rsidR="007617AD" w:rsidRDefault="00EE75C8">
            <w:pPr>
              <w:spacing w:after="0" w:line="259" w:lineRule="auto"/>
              <w:ind w:left="83" w:firstLine="0"/>
              <w:jc w:val="center"/>
            </w:pPr>
            <w:r>
              <w:rPr>
                <w:rFonts w:ascii="Calibri" w:eastAsia="Calibri" w:hAnsi="Calibri" w:cs="Calibri"/>
                <w:sz w:val="19"/>
              </w:rPr>
              <w:t>Aguas residuales industriales</w:t>
            </w:r>
          </w:p>
        </w:tc>
      </w:tr>
      <w:tr w:rsidR="007617AD">
        <w:trPr>
          <w:trHeight w:val="263"/>
        </w:trPr>
        <w:tc>
          <w:tcPr>
            <w:tcW w:w="0" w:type="auto"/>
            <w:vMerge/>
            <w:tcBorders>
              <w:top w:val="nil"/>
              <w:left w:val="nil"/>
              <w:bottom w:val="nil"/>
              <w:right w:val="single" w:sz="9" w:space="0" w:color="000000"/>
            </w:tcBorders>
          </w:tcPr>
          <w:p w:rsidR="007617AD" w:rsidRDefault="007617AD">
            <w:pPr>
              <w:spacing w:after="160" w:line="259" w:lineRule="auto"/>
              <w:ind w:left="0" w:firstLine="0"/>
              <w:jc w:val="left"/>
            </w:pPr>
          </w:p>
        </w:tc>
        <w:tc>
          <w:tcPr>
            <w:tcW w:w="950" w:type="dxa"/>
            <w:tcBorders>
              <w:top w:val="single" w:sz="9" w:space="0" w:color="000000"/>
              <w:left w:val="single" w:sz="9" w:space="0" w:color="000000"/>
              <w:bottom w:val="nil"/>
              <w:right w:val="single" w:sz="5" w:space="0" w:color="000000"/>
            </w:tcBorders>
          </w:tcPr>
          <w:p w:rsidR="007617AD" w:rsidRDefault="00EE75C8">
            <w:pPr>
              <w:spacing w:after="0" w:line="259" w:lineRule="auto"/>
              <w:ind w:left="112" w:firstLine="0"/>
              <w:jc w:val="left"/>
            </w:pPr>
            <w:r>
              <w:rPr>
                <w:rFonts w:ascii="Calibri" w:eastAsia="Calibri" w:hAnsi="Calibri" w:cs="Calibri"/>
                <w:b/>
                <w:sz w:val="15"/>
              </w:rPr>
              <w:t>VOLUMEN</w:t>
            </w:r>
          </w:p>
        </w:tc>
        <w:tc>
          <w:tcPr>
            <w:tcW w:w="944" w:type="dxa"/>
            <w:tcBorders>
              <w:top w:val="single" w:sz="9" w:space="0" w:color="000000"/>
              <w:left w:val="single" w:sz="5" w:space="0" w:color="000000"/>
              <w:bottom w:val="nil"/>
              <w:right w:val="single" w:sz="5"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c>
          <w:tcPr>
            <w:tcW w:w="938" w:type="dxa"/>
            <w:tcBorders>
              <w:top w:val="single" w:sz="9" w:space="0" w:color="000000"/>
              <w:left w:val="single" w:sz="5" w:space="0" w:color="000000"/>
              <w:bottom w:val="nil"/>
              <w:right w:val="single" w:sz="9"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c>
          <w:tcPr>
            <w:tcW w:w="950" w:type="dxa"/>
            <w:tcBorders>
              <w:top w:val="single" w:sz="9" w:space="0" w:color="000000"/>
              <w:left w:val="single" w:sz="9" w:space="0" w:color="000000"/>
              <w:bottom w:val="nil"/>
              <w:right w:val="single" w:sz="5" w:space="0" w:color="000000"/>
            </w:tcBorders>
          </w:tcPr>
          <w:p w:rsidR="007617AD" w:rsidRDefault="00EE75C8">
            <w:pPr>
              <w:spacing w:after="0" w:line="259" w:lineRule="auto"/>
              <w:ind w:left="112" w:firstLine="0"/>
              <w:jc w:val="left"/>
            </w:pPr>
            <w:r>
              <w:rPr>
                <w:rFonts w:ascii="Calibri" w:eastAsia="Calibri" w:hAnsi="Calibri" w:cs="Calibri"/>
                <w:b/>
                <w:sz w:val="15"/>
              </w:rPr>
              <w:t>VOLUMEN</w:t>
            </w:r>
          </w:p>
        </w:tc>
        <w:tc>
          <w:tcPr>
            <w:tcW w:w="944" w:type="dxa"/>
            <w:tcBorders>
              <w:top w:val="single" w:sz="9" w:space="0" w:color="000000"/>
              <w:left w:val="single" w:sz="5" w:space="0" w:color="000000"/>
              <w:bottom w:val="nil"/>
              <w:right w:val="single" w:sz="5"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c>
          <w:tcPr>
            <w:tcW w:w="938" w:type="dxa"/>
            <w:tcBorders>
              <w:top w:val="single" w:sz="9" w:space="0" w:color="000000"/>
              <w:left w:val="single" w:sz="5" w:space="0" w:color="000000"/>
              <w:bottom w:val="nil"/>
              <w:right w:val="single" w:sz="9"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r>
      <w:tr w:rsidR="007617AD">
        <w:trPr>
          <w:trHeight w:val="219"/>
        </w:trPr>
        <w:tc>
          <w:tcPr>
            <w:tcW w:w="2826" w:type="dxa"/>
            <w:tcBorders>
              <w:top w:val="nil"/>
              <w:left w:val="nil"/>
              <w:bottom w:val="single" w:sz="9" w:space="0" w:color="000000"/>
              <w:right w:val="single" w:sz="9" w:space="0" w:color="000000"/>
            </w:tcBorders>
          </w:tcPr>
          <w:p w:rsidR="007617AD" w:rsidRDefault="007617AD">
            <w:pPr>
              <w:spacing w:after="160" w:line="259" w:lineRule="auto"/>
              <w:ind w:left="0" w:firstLine="0"/>
              <w:jc w:val="left"/>
            </w:pPr>
          </w:p>
        </w:tc>
        <w:tc>
          <w:tcPr>
            <w:tcW w:w="950" w:type="dxa"/>
            <w:tcBorders>
              <w:top w:val="nil"/>
              <w:left w:val="single" w:sz="9" w:space="0" w:color="000000"/>
              <w:bottom w:val="single" w:sz="9" w:space="0" w:color="000000"/>
              <w:right w:val="single" w:sz="5" w:space="0" w:color="000000"/>
            </w:tcBorders>
          </w:tcPr>
          <w:p w:rsidR="007617AD" w:rsidRDefault="00EE75C8">
            <w:pPr>
              <w:spacing w:after="0" w:line="259" w:lineRule="auto"/>
              <w:ind w:left="99" w:firstLine="0"/>
              <w:jc w:val="center"/>
            </w:pPr>
            <w:r>
              <w:rPr>
                <w:rFonts w:ascii="Calibri" w:eastAsia="Calibri" w:hAnsi="Calibri" w:cs="Calibri"/>
                <w:b/>
                <w:sz w:val="15"/>
              </w:rPr>
              <w:t>m3</w:t>
            </w:r>
          </w:p>
        </w:tc>
        <w:tc>
          <w:tcPr>
            <w:tcW w:w="944" w:type="dxa"/>
            <w:tcBorders>
              <w:top w:val="nil"/>
              <w:left w:val="single" w:sz="5" w:space="0" w:color="000000"/>
              <w:bottom w:val="single" w:sz="9" w:space="0" w:color="000000"/>
              <w:right w:val="single" w:sz="5" w:space="0" w:color="000000"/>
            </w:tcBorders>
          </w:tcPr>
          <w:p w:rsidR="007617AD" w:rsidRDefault="00EE75C8">
            <w:pPr>
              <w:spacing w:after="0" w:line="259" w:lineRule="auto"/>
              <w:ind w:left="85" w:firstLine="0"/>
              <w:jc w:val="center"/>
            </w:pPr>
            <w:r>
              <w:rPr>
                <w:rFonts w:ascii="Calibri" w:eastAsia="Calibri" w:hAnsi="Calibri" w:cs="Calibri"/>
                <w:b/>
                <w:sz w:val="15"/>
              </w:rPr>
              <w:t>m3/d</w:t>
            </w:r>
          </w:p>
        </w:tc>
        <w:tc>
          <w:tcPr>
            <w:tcW w:w="938" w:type="dxa"/>
            <w:tcBorders>
              <w:top w:val="nil"/>
              <w:left w:val="single" w:sz="5" w:space="0" w:color="000000"/>
              <w:bottom w:val="single" w:sz="9" w:space="0" w:color="000000"/>
              <w:right w:val="single" w:sz="9" w:space="0" w:color="000000"/>
            </w:tcBorders>
          </w:tcPr>
          <w:p w:rsidR="007617AD" w:rsidRDefault="00EE75C8">
            <w:pPr>
              <w:spacing w:after="0" w:line="259" w:lineRule="auto"/>
              <w:ind w:left="98" w:firstLine="0"/>
              <w:jc w:val="center"/>
            </w:pPr>
            <w:r>
              <w:rPr>
                <w:rFonts w:ascii="Calibri" w:eastAsia="Calibri" w:hAnsi="Calibri" w:cs="Calibri"/>
                <w:b/>
                <w:sz w:val="15"/>
              </w:rPr>
              <w:t>%</w:t>
            </w:r>
          </w:p>
        </w:tc>
        <w:tc>
          <w:tcPr>
            <w:tcW w:w="950" w:type="dxa"/>
            <w:tcBorders>
              <w:top w:val="nil"/>
              <w:left w:val="single" w:sz="9" w:space="0" w:color="000000"/>
              <w:bottom w:val="single" w:sz="9" w:space="0" w:color="000000"/>
              <w:right w:val="single" w:sz="5" w:space="0" w:color="000000"/>
            </w:tcBorders>
          </w:tcPr>
          <w:p w:rsidR="007617AD" w:rsidRDefault="00EE75C8">
            <w:pPr>
              <w:spacing w:after="0" w:line="259" w:lineRule="auto"/>
              <w:ind w:left="99" w:firstLine="0"/>
              <w:jc w:val="center"/>
            </w:pPr>
            <w:r>
              <w:rPr>
                <w:rFonts w:ascii="Calibri" w:eastAsia="Calibri" w:hAnsi="Calibri" w:cs="Calibri"/>
                <w:b/>
                <w:sz w:val="15"/>
              </w:rPr>
              <w:t>m3</w:t>
            </w:r>
          </w:p>
        </w:tc>
        <w:tc>
          <w:tcPr>
            <w:tcW w:w="944" w:type="dxa"/>
            <w:tcBorders>
              <w:top w:val="nil"/>
              <w:left w:val="single" w:sz="5" w:space="0" w:color="000000"/>
              <w:bottom w:val="single" w:sz="9" w:space="0" w:color="000000"/>
              <w:right w:val="single" w:sz="5" w:space="0" w:color="000000"/>
            </w:tcBorders>
          </w:tcPr>
          <w:p w:rsidR="007617AD" w:rsidRDefault="00EE75C8">
            <w:pPr>
              <w:spacing w:after="0" w:line="259" w:lineRule="auto"/>
              <w:ind w:left="85" w:firstLine="0"/>
              <w:jc w:val="center"/>
            </w:pPr>
            <w:r>
              <w:rPr>
                <w:rFonts w:ascii="Calibri" w:eastAsia="Calibri" w:hAnsi="Calibri" w:cs="Calibri"/>
                <w:b/>
                <w:sz w:val="15"/>
              </w:rPr>
              <w:t>m3/d</w:t>
            </w:r>
          </w:p>
        </w:tc>
        <w:tc>
          <w:tcPr>
            <w:tcW w:w="938" w:type="dxa"/>
            <w:tcBorders>
              <w:top w:val="nil"/>
              <w:left w:val="single" w:sz="5" w:space="0" w:color="000000"/>
              <w:bottom w:val="single" w:sz="9" w:space="0" w:color="000000"/>
              <w:right w:val="single" w:sz="9" w:space="0" w:color="000000"/>
            </w:tcBorders>
          </w:tcPr>
          <w:p w:rsidR="007617AD" w:rsidRDefault="00EE75C8">
            <w:pPr>
              <w:spacing w:after="0" w:line="259" w:lineRule="auto"/>
              <w:ind w:left="98" w:firstLine="0"/>
              <w:jc w:val="center"/>
            </w:pPr>
            <w:r>
              <w:rPr>
                <w:rFonts w:ascii="Calibri" w:eastAsia="Calibri" w:hAnsi="Calibri" w:cs="Calibri"/>
                <w:b/>
                <w:sz w:val="15"/>
              </w:rPr>
              <w:t>%</w:t>
            </w:r>
          </w:p>
        </w:tc>
      </w:tr>
      <w:tr w:rsidR="007617AD">
        <w:trPr>
          <w:trHeight w:val="241"/>
        </w:trPr>
        <w:tc>
          <w:tcPr>
            <w:tcW w:w="2826" w:type="dxa"/>
            <w:tcBorders>
              <w:top w:val="single" w:sz="9" w:space="0" w:color="000000"/>
              <w:left w:val="single" w:sz="5" w:space="0" w:color="000000"/>
              <w:bottom w:val="single" w:sz="5"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sz w:val="15"/>
              </w:rPr>
              <w:t>T.M. DE CANDELARIA</w:t>
            </w:r>
          </w:p>
        </w:tc>
        <w:tc>
          <w:tcPr>
            <w:tcW w:w="950" w:type="dxa"/>
            <w:tcBorders>
              <w:top w:val="single" w:sz="9" w:space="0" w:color="000000"/>
              <w:left w:val="single" w:sz="9" w:space="0" w:color="000000"/>
              <w:bottom w:val="single" w:sz="5" w:space="0" w:color="000000"/>
              <w:right w:val="single" w:sz="5" w:space="0" w:color="000000"/>
            </w:tcBorders>
          </w:tcPr>
          <w:p w:rsidR="007617AD" w:rsidRDefault="00EE75C8">
            <w:pPr>
              <w:spacing w:after="0" w:line="259" w:lineRule="auto"/>
              <w:ind w:left="109" w:firstLine="0"/>
              <w:jc w:val="center"/>
            </w:pPr>
            <w:r>
              <w:rPr>
                <w:rFonts w:ascii="Calibri" w:eastAsia="Calibri" w:hAnsi="Calibri" w:cs="Calibri"/>
                <w:sz w:val="15"/>
              </w:rPr>
              <w:t>1.330.858</w:t>
            </w:r>
          </w:p>
        </w:tc>
        <w:tc>
          <w:tcPr>
            <w:tcW w:w="944" w:type="dxa"/>
            <w:tcBorders>
              <w:top w:val="single" w:sz="9" w:space="0" w:color="000000"/>
              <w:left w:val="single" w:sz="5" w:space="0" w:color="000000"/>
              <w:bottom w:val="single" w:sz="5"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sz w:val="15"/>
              </w:rPr>
              <w:t>3.646</w:t>
            </w:r>
          </w:p>
        </w:tc>
        <w:tc>
          <w:tcPr>
            <w:tcW w:w="938" w:type="dxa"/>
            <w:tcBorders>
              <w:top w:val="single" w:sz="9"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52,09%</w:t>
            </w:r>
          </w:p>
        </w:tc>
        <w:tc>
          <w:tcPr>
            <w:tcW w:w="950" w:type="dxa"/>
            <w:tcBorders>
              <w:top w:val="single" w:sz="9" w:space="0" w:color="000000"/>
              <w:left w:val="single" w:sz="9" w:space="0" w:color="000000"/>
              <w:bottom w:val="single" w:sz="5"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235.724</w:t>
            </w:r>
          </w:p>
        </w:tc>
        <w:tc>
          <w:tcPr>
            <w:tcW w:w="944" w:type="dxa"/>
            <w:tcBorders>
              <w:top w:val="single" w:sz="9" w:space="0" w:color="000000"/>
              <w:left w:val="single" w:sz="5" w:space="0" w:color="000000"/>
              <w:bottom w:val="single" w:sz="5"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646</w:t>
            </w:r>
          </w:p>
        </w:tc>
        <w:tc>
          <w:tcPr>
            <w:tcW w:w="938" w:type="dxa"/>
            <w:tcBorders>
              <w:top w:val="single" w:sz="9"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56,65%</w:t>
            </w:r>
          </w:p>
        </w:tc>
      </w:tr>
      <w:tr w:rsidR="007617AD">
        <w:trPr>
          <w:trHeight w:val="235"/>
        </w:trPr>
        <w:tc>
          <w:tcPr>
            <w:tcW w:w="2826" w:type="dxa"/>
            <w:tcBorders>
              <w:top w:val="single" w:sz="5" w:space="0" w:color="000000"/>
              <w:left w:val="single" w:sz="5" w:space="0" w:color="000000"/>
              <w:bottom w:val="single" w:sz="5"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sz w:val="15"/>
              </w:rPr>
              <w:t>T.M. DE ARAFO</w:t>
            </w:r>
          </w:p>
        </w:tc>
        <w:tc>
          <w:tcPr>
            <w:tcW w:w="950" w:type="dxa"/>
            <w:tcBorders>
              <w:top w:val="single" w:sz="5" w:space="0" w:color="000000"/>
              <w:left w:val="single" w:sz="9" w:space="0" w:color="000000"/>
              <w:bottom w:val="single" w:sz="5"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263.984</w:t>
            </w:r>
          </w:p>
        </w:tc>
        <w:tc>
          <w:tcPr>
            <w:tcW w:w="944" w:type="dxa"/>
            <w:tcBorders>
              <w:top w:val="single" w:sz="5" w:space="0" w:color="000000"/>
              <w:left w:val="single" w:sz="5" w:space="0" w:color="000000"/>
              <w:bottom w:val="single" w:sz="5"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723</w:t>
            </w:r>
          </w:p>
        </w:tc>
        <w:tc>
          <w:tcPr>
            <w:tcW w:w="938" w:type="dxa"/>
            <w:tcBorders>
              <w:top w:val="single" w:sz="5"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10,33%</w:t>
            </w:r>
          </w:p>
        </w:tc>
        <w:tc>
          <w:tcPr>
            <w:tcW w:w="950" w:type="dxa"/>
            <w:tcBorders>
              <w:top w:val="single" w:sz="5" w:space="0" w:color="000000"/>
              <w:left w:val="single" w:sz="9" w:space="0" w:color="000000"/>
              <w:bottom w:val="single" w:sz="5"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100.625</w:t>
            </w:r>
          </w:p>
        </w:tc>
        <w:tc>
          <w:tcPr>
            <w:tcW w:w="944" w:type="dxa"/>
            <w:tcBorders>
              <w:top w:val="single" w:sz="5" w:space="0" w:color="000000"/>
              <w:left w:val="single" w:sz="5" w:space="0" w:color="000000"/>
              <w:bottom w:val="single" w:sz="5"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276</w:t>
            </w:r>
          </w:p>
        </w:tc>
        <w:tc>
          <w:tcPr>
            <w:tcW w:w="938" w:type="dxa"/>
            <w:tcBorders>
              <w:top w:val="single" w:sz="5"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24,18%</w:t>
            </w:r>
          </w:p>
        </w:tc>
      </w:tr>
      <w:tr w:rsidR="007617AD">
        <w:trPr>
          <w:trHeight w:val="241"/>
        </w:trPr>
        <w:tc>
          <w:tcPr>
            <w:tcW w:w="2826" w:type="dxa"/>
            <w:tcBorders>
              <w:top w:val="single" w:sz="5" w:space="0" w:color="000000"/>
              <w:left w:val="single" w:sz="5" w:space="0" w:color="000000"/>
              <w:bottom w:val="single" w:sz="9"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sz w:val="15"/>
              </w:rPr>
              <w:t>T.M. DE GÜÍMAR</w:t>
            </w:r>
          </w:p>
        </w:tc>
        <w:tc>
          <w:tcPr>
            <w:tcW w:w="950" w:type="dxa"/>
            <w:tcBorders>
              <w:top w:val="single" w:sz="5" w:space="0" w:color="000000"/>
              <w:left w:val="single" w:sz="9" w:space="0" w:color="000000"/>
              <w:bottom w:val="single" w:sz="9"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960.158</w:t>
            </w:r>
          </w:p>
        </w:tc>
        <w:tc>
          <w:tcPr>
            <w:tcW w:w="944" w:type="dxa"/>
            <w:tcBorders>
              <w:top w:val="single" w:sz="5" w:space="0" w:color="000000"/>
              <w:left w:val="single" w:sz="5" w:space="0" w:color="000000"/>
              <w:bottom w:val="single" w:sz="9"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sz w:val="15"/>
              </w:rPr>
              <w:t>2.631</w:t>
            </w:r>
          </w:p>
        </w:tc>
        <w:tc>
          <w:tcPr>
            <w:tcW w:w="938" w:type="dxa"/>
            <w:tcBorders>
              <w:top w:val="single" w:sz="5" w:space="0" w:color="000000"/>
              <w:left w:val="single" w:sz="5" w:space="0" w:color="000000"/>
              <w:bottom w:val="single" w:sz="9"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37,58%</w:t>
            </w:r>
          </w:p>
        </w:tc>
        <w:tc>
          <w:tcPr>
            <w:tcW w:w="950" w:type="dxa"/>
            <w:tcBorders>
              <w:top w:val="single" w:sz="5" w:space="0" w:color="000000"/>
              <w:left w:val="single" w:sz="9" w:space="0" w:color="000000"/>
              <w:bottom w:val="single" w:sz="9" w:space="0" w:color="000000"/>
              <w:right w:val="single" w:sz="5" w:space="0" w:color="000000"/>
            </w:tcBorders>
          </w:tcPr>
          <w:p w:rsidR="007617AD" w:rsidRDefault="00EE75C8">
            <w:pPr>
              <w:spacing w:after="0" w:line="259" w:lineRule="auto"/>
              <w:ind w:left="336" w:firstLine="0"/>
              <w:jc w:val="left"/>
            </w:pPr>
            <w:r>
              <w:rPr>
                <w:rFonts w:ascii="Calibri" w:eastAsia="Calibri" w:hAnsi="Calibri" w:cs="Calibri"/>
                <w:sz w:val="15"/>
              </w:rPr>
              <w:t>79.751</w:t>
            </w:r>
          </w:p>
        </w:tc>
        <w:tc>
          <w:tcPr>
            <w:tcW w:w="944" w:type="dxa"/>
            <w:tcBorders>
              <w:top w:val="single" w:sz="5" w:space="0" w:color="000000"/>
              <w:left w:val="single" w:sz="5" w:space="0" w:color="000000"/>
              <w:bottom w:val="single" w:sz="9"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218</w:t>
            </w:r>
          </w:p>
        </w:tc>
        <w:tc>
          <w:tcPr>
            <w:tcW w:w="938" w:type="dxa"/>
            <w:tcBorders>
              <w:top w:val="single" w:sz="5" w:space="0" w:color="000000"/>
              <w:left w:val="single" w:sz="5" w:space="0" w:color="000000"/>
              <w:bottom w:val="single" w:sz="9"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19,17%</w:t>
            </w:r>
          </w:p>
        </w:tc>
      </w:tr>
      <w:tr w:rsidR="007617AD">
        <w:trPr>
          <w:trHeight w:val="247"/>
        </w:trPr>
        <w:tc>
          <w:tcPr>
            <w:tcW w:w="2826" w:type="dxa"/>
            <w:tcBorders>
              <w:top w:val="single" w:sz="9" w:space="0" w:color="000000"/>
              <w:left w:val="single" w:sz="5" w:space="0" w:color="000000"/>
              <w:bottom w:val="single" w:sz="9"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b/>
                <w:sz w:val="15"/>
              </w:rPr>
              <w:t>TOTAL Sistema Comarcal</w:t>
            </w:r>
          </w:p>
        </w:tc>
        <w:tc>
          <w:tcPr>
            <w:tcW w:w="950" w:type="dxa"/>
            <w:tcBorders>
              <w:top w:val="single" w:sz="9" w:space="0" w:color="000000"/>
              <w:left w:val="single" w:sz="9" w:space="0" w:color="000000"/>
              <w:bottom w:val="single" w:sz="9" w:space="0" w:color="000000"/>
              <w:right w:val="single" w:sz="5" w:space="0" w:color="000000"/>
            </w:tcBorders>
          </w:tcPr>
          <w:p w:rsidR="007617AD" w:rsidRDefault="00EE75C8">
            <w:pPr>
              <w:spacing w:after="0" w:line="259" w:lineRule="auto"/>
              <w:ind w:left="109" w:firstLine="0"/>
              <w:jc w:val="center"/>
            </w:pPr>
            <w:r>
              <w:rPr>
                <w:rFonts w:ascii="Calibri" w:eastAsia="Calibri" w:hAnsi="Calibri" w:cs="Calibri"/>
                <w:b/>
                <w:sz w:val="15"/>
              </w:rPr>
              <w:t>2.555.000</w:t>
            </w:r>
          </w:p>
        </w:tc>
        <w:tc>
          <w:tcPr>
            <w:tcW w:w="944" w:type="dxa"/>
            <w:tcBorders>
              <w:top w:val="single" w:sz="9" w:space="0" w:color="000000"/>
              <w:left w:val="single" w:sz="5" w:space="0" w:color="000000"/>
              <w:bottom w:val="single" w:sz="9"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b/>
                <w:sz w:val="15"/>
              </w:rPr>
              <w:t>7.000</w:t>
            </w:r>
          </w:p>
        </w:tc>
        <w:tc>
          <w:tcPr>
            <w:tcW w:w="938" w:type="dxa"/>
            <w:tcBorders>
              <w:top w:val="single" w:sz="9" w:space="0" w:color="000000"/>
              <w:left w:val="single" w:sz="5" w:space="0" w:color="000000"/>
              <w:bottom w:val="single" w:sz="9" w:space="0" w:color="000000"/>
              <w:right w:val="single" w:sz="9" w:space="0" w:color="000000"/>
            </w:tcBorders>
          </w:tcPr>
          <w:p w:rsidR="007617AD" w:rsidRDefault="00EE75C8">
            <w:pPr>
              <w:spacing w:after="0" w:line="259" w:lineRule="auto"/>
              <w:ind w:left="96" w:firstLine="0"/>
              <w:jc w:val="center"/>
            </w:pPr>
            <w:r>
              <w:rPr>
                <w:rFonts w:ascii="Calibri" w:eastAsia="Calibri" w:hAnsi="Calibri" w:cs="Calibri"/>
                <w:b/>
                <w:sz w:val="15"/>
              </w:rPr>
              <w:t>100,00%</w:t>
            </w:r>
          </w:p>
        </w:tc>
        <w:tc>
          <w:tcPr>
            <w:tcW w:w="950" w:type="dxa"/>
            <w:tcBorders>
              <w:top w:val="single" w:sz="9" w:space="0" w:color="000000"/>
              <w:left w:val="single" w:sz="9" w:space="0" w:color="000000"/>
              <w:bottom w:val="single" w:sz="9"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b/>
                <w:sz w:val="15"/>
              </w:rPr>
              <w:t>416.100</w:t>
            </w:r>
          </w:p>
        </w:tc>
        <w:tc>
          <w:tcPr>
            <w:tcW w:w="944" w:type="dxa"/>
            <w:tcBorders>
              <w:top w:val="single" w:sz="9" w:space="0" w:color="000000"/>
              <w:left w:val="single" w:sz="5" w:space="0" w:color="000000"/>
              <w:bottom w:val="single" w:sz="9"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b/>
                <w:sz w:val="15"/>
              </w:rPr>
              <w:t>1.140</w:t>
            </w:r>
          </w:p>
        </w:tc>
        <w:tc>
          <w:tcPr>
            <w:tcW w:w="938" w:type="dxa"/>
            <w:tcBorders>
              <w:top w:val="single" w:sz="9" w:space="0" w:color="000000"/>
              <w:left w:val="single" w:sz="5" w:space="0" w:color="000000"/>
              <w:bottom w:val="single" w:sz="9" w:space="0" w:color="000000"/>
              <w:right w:val="single" w:sz="9" w:space="0" w:color="000000"/>
            </w:tcBorders>
          </w:tcPr>
          <w:p w:rsidR="007617AD" w:rsidRDefault="00EE75C8">
            <w:pPr>
              <w:spacing w:after="0" w:line="259" w:lineRule="auto"/>
              <w:ind w:left="96" w:firstLine="0"/>
              <w:jc w:val="center"/>
            </w:pPr>
            <w:r>
              <w:rPr>
                <w:rFonts w:ascii="Calibri" w:eastAsia="Calibri" w:hAnsi="Calibri" w:cs="Calibri"/>
                <w:b/>
                <w:sz w:val="15"/>
              </w:rPr>
              <w:t>100,00%</w:t>
            </w:r>
          </w:p>
        </w:tc>
      </w:tr>
    </w:tbl>
    <w:p w:rsidR="007617AD" w:rsidRDefault="00EE75C8">
      <w:pPr>
        <w:spacing w:after="90" w:line="259" w:lineRule="auto"/>
        <w:ind w:left="708" w:firstLine="0"/>
        <w:jc w:val="left"/>
      </w:pPr>
      <w:r>
        <w:rPr>
          <w:rFonts w:ascii="Times New Roman" w:eastAsia="Times New Roman" w:hAnsi="Times New Roman" w:cs="Times New Roman"/>
          <w:b/>
          <w:sz w:val="24"/>
        </w:rPr>
        <w:t xml:space="preserve"> </w:t>
      </w:r>
    </w:p>
    <w:p w:rsidR="007617AD" w:rsidRDefault="00EE75C8">
      <w:pPr>
        <w:spacing w:after="93"/>
        <w:ind w:left="703" w:right="58"/>
      </w:pPr>
      <w:r>
        <w:rPr>
          <w:b/>
        </w:rPr>
        <w:t>SÉPTIMO. - COSTES DEL SERVICIO A COLMATACIÓN.</w:t>
      </w:r>
      <w:r>
        <w:rPr>
          <w:rFonts w:ascii="Times New Roman" w:eastAsia="Times New Roman" w:hAnsi="Times New Roman" w:cs="Times New Roman"/>
          <w:sz w:val="24"/>
        </w:rPr>
        <w:t xml:space="preserve"> </w:t>
      </w:r>
    </w:p>
    <w:p w:rsidR="007617AD" w:rsidRDefault="00EE75C8">
      <w:pPr>
        <w:ind w:left="703" w:right="62"/>
      </w:pPr>
      <w:r>
        <w:t xml:space="preserve">La normativa del PHDHT establece en su artículo 301 relativo a los Criterios Económico Financieros para la gestión del saneamiento, lo siguiente: </w:t>
      </w:r>
    </w:p>
    <w:p w:rsidR="007617AD" w:rsidRDefault="00EE75C8">
      <w:pPr>
        <w:numPr>
          <w:ilvl w:val="0"/>
          <w:numId w:val="52"/>
        </w:numPr>
        <w:spacing w:after="110" w:line="248" w:lineRule="auto"/>
        <w:ind w:right="59"/>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93412" name="Group 29341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1436" name="Rectangle 2143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1437" name="Rectangle 21437"/>
                        <wps:cNvSpPr/>
                        <wps:spPr>
                          <a:xfrm rot="-5399999">
                            <a:off x="-2094822" y="1272006"/>
                            <a:ext cx="4455272" cy="113224"/>
                          </a:xfrm>
                          <a:prstGeom prst="rect">
                            <a:avLst/>
                          </a:prstGeom>
                          <a:ln>
                            <a:noFill/>
                          </a:ln>
                        </wps:spPr>
                        <wps:txbx>
                          <w:txbxContent>
                            <w:p w:rsidR="007617AD" w:rsidRDefault="00EE75C8">
                              <w:pPr>
                                <w:spacing w:after="160" w:line="259" w:lineRule="auto"/>
                                <w:ind w:left="0" w:firstLine="0"/>
                                <w:jc w:val="left"/>
                              </w:pPr>
                              <w:r>
                                <w:rPr>
                                  <w:sz w:val="12"/>
                                </w:rPr>
                                <w:t>Docume</w:t>
                              </w:r>
                              <w:r>
                                <w:rPr>
                                  <w:sz w:val="12"/>
                                </w:rPr>
                                <w:t xml:space="preserve">nto firmado electrónicamente desde la plataforma esPublico Gestiona | Página 112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93412" style="width:12.7031pt;height:280.02pt;position:absolute;mso-position-horizontal-relative:page;mso-position-horizontal:absolute;margin-left:682.278pt;mso-position-vertical-relative:page;margin-top:531.9pt;" coordsize="1613,35562">
                <v:rect id="Rectangle 2143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1437" style="position:absolute;width:44552;height:1132;left:-20948;top:127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192 </w:t>
                        </w:r>
                      </w:p>
                    </w:txbxContent>
                  </v:textbox>
                </v:rect>
                <w10:wrap type="square"/>
              </v:group>
            </w:pict>
          </mc:Fallback>
        </mc:AlternateContent>
      </w:r>
      <w:r>
        <w:rPr>
          <w:i/>
        </w:rPr>
        <w:t>De conformidad con lo preconizado por la Directiva Marco del Agua, las Ordenanzas que regulen los aspectos económicos - financieros del servicio de saneamiento, deberá</w:t>
      </w:r>
      <w:r>
        <w:rPr>
          <w:i/>
        </w:rPr>
        <w:t xml:space="preserve">n tender paulatinamente a la plena recuperación de sus costes. </w:t>
      </w:r>
    </w:p>
    <w:p w:rsidR="007617AD" w:rsidRDefault="00EE75C8">
      <w:pPr>
        <w:numPr>
          <w:ilvl w:val="0"/>
          <w:numId w:val="52"/>
        </w:numPr>
        <w:spacing w:after="110" w:line="248" w:lineRule="auto"/>
        <w:ind w:right="59"/>
      </w:pPr>
      <w:r>
        <w:rPr>
          <w:i/>
        </w:rPr>
        <w:t xml:space="preserve">La tarifa por el servicio de alcantarillado estará ligada al consumo de agua, contabilizado a través de los contadores. El recibo hará constar de modo independiente la repercusión de este servicio. </w:t>
      </w:r>
    </w:p>
    <w:p w:rsidR="007617AD" w:rsidRDefault="00EE75C8">
      <w:pPr>
        <w:numPr>
          <w:ilvl w:val="0"/>
          <w:numId w:val="52"/>
        </w:numPr>
        <w:spacing w:after="110" w:line="248" w:lineRule="auto"/>
        <w:ind w:right="59"/>
      </w:pPr>
      <w:r>
        <w:rPr>
          <w:i/>
        </w:rPr>
        <w:t>A efectos de simplificación, se privilegiará la combinaci</w:t>
      </w:r>
      <w:r>
        <w:rPr>
          <w:i/>
        </w:rPr>
        <w:t xml:space="preserve">ón del recibo por alcantarillado con la del abastecimiento. El recibo será único, cubriendo ambos servicios. </w:t>
      </w:r>
    </w:p>
    <w:p w:rsidR="007617AD" w:rsidRDefault="00EE75C8">
      <w:pPr>
        <w:spacing w:after="98" w:line="259" w:lineRule="auto"/>
        <w:ind w:left="708" w:firstLine="0"/>
        <w:jc w:val="left"/>
      </w:pPr>
      <w:r>
        <w:rPr>
          <w:i/>
        </w:rPr>
        <w:t xml:space="preserve"> </w:t>
      </w:r>
    </w:p>
    <w:p w:rsidR="007617AD" w:rsidRDefault="00EE75C8">
      <w:pPr>
        <w:ind w:left="703" w:right="62"/>
      </w:pPr>
      <w:r>
        <w:t xml:space="preserve">La estimación de los costes del servicio de depuración y vertido son los propios de operación y mantenimiento de cada una de las instalaciones </w:t>
      </w:r>
      <w:r>
        <w:rPr>
          <w:color w:val="00B050"/>
        </w:rPr>
        <w:t>e</w:t>
      </w:r>
      <w:r>
        <w:rPr>
          <w:color w:val="00B050"/>
        </w:rPr>
        <w:t xml:space="preserve">n fase de colmatación </w:t>
      </w:r>
      <w:r>
        <w:t>y se presenta en las siguientes tablas clasificados por coste fijo y variable.</w:t>
      </w:r>
      <w:r>
        <w:rPr>
          <w:rFonts w:ascii="Times New Roman" w:eastAsia="Times New Roman" w:hAnsi="Times New Roman" w:cs="Times New Roman"/>
          <w:sz w:val="24"/>
        </w:rPr>
        <w:t xml:space="preserve"> </w:t>
      </w:r>
    </w:p>
    <w:p w:rsidR="007617AD" w:rsidRDefault="00EE75C8">
      <w:pPr>
        <w:spacing w:after="96" w:line="259" w:lineRule="auto"/>
        <w:ind w:left="708" w:firstLine="0"/>
        <w:jc w:val="left"/>
      </w:pPr>
      <w:r>
        <w:rPr>
          <w:rFonts w:ascii="Times New Roman" w:eastAsia="Times New Roman" w:hAnsi="Times New Roman" w:cs="Times New Roman"/>
          <w:sz w:val="24"/>
        </w:rPr>
        <w:t xml:space="preserve"> </w:t>
      </w:r>
    </w:p>
    <w:p w:rsidR="007617AD" w:rsidRDefault="00EE75C8">
      <w:pPr>
        <w:spacing w:after="99" w:line="259" w:lineRule="auto"/>
        <w:ind w:left="708" w:firstLine="0"/>
        <w:jc w:val="left"/>
      </w:pPr>
      <w:r>
        <w:rPr>
          <w:rFonts w:ascii="Times New Roman" w:eastAsia="Times New Roman" w:hAnsi="Times New Roman" w:cs="Times New Roman"/>
          <w:sz w:val="24"/>
        </w:rPr>
        <w:t xml:space="preserve"> </w:t>
      </w:r>
    </w:p>
    <w:p w:rsidR="007617AD" w:rsidRDefault="00EE75C8">
      <w:pPr>
        <w:spacing w:after="96" w:line="259" w:lineRule="auto"/>
        <w:ind w:left="1063"/>
        <w:jc w:val="left"/>
      </w:pPr>
      <w:r>
        <w:rPr>
          <w:rFonts w:ascii="Times New Roman" w:eastAsia="Times New Roman" w:hAnsi="Times New Roman" w:cs="Times New Roman"/>
          <w:sz w:val="24"/>
        </w:rPr>
        <w:t>3.</w:t>
      </w:r>
      <w:r>
        <w:rPr>
          <w:sz w:val="24"/>
        </w:rPr>
        <w:t xml:space="preserve"> </w:t>
      </w:r>
      <w:r>
        <w:rPr>
          <w:rFonts w:ascii="Times New Roman" w:eastAsia="Times New Roman" w:hAnsi="Times New Roman" w:cs="Times New Roman"/>
          <w:sz w:val="24"/>
          <w:u w:val="single" w:color="000000"/>
        </w:rPr>
        <w:t>Servicio de depuración de aguas residuales urbanas</w:t>
      </w:r>
      <w:r>
        <w:rPr>
          <w:rFonts w:ascii="Times New Roman" w:eastAsia="Times New Roman" w:hAnsi="Times New Roman" w:cs="Times New Roman"/>
          <w:sz w:val="24"/>
        </w:rPr>
        <w:t xml:space="preserve"> </w:t>
      </w:r>
    </w:p>
    <w:p w:rsidR="007617AD" w:rsidRDefault="00EE75C8">
      <w:pPr>
        <w:pStyle w:val="Ttulo2"/>
        <w:tabs>
          <w:tab w:val="center" w:pos="5661"/>
          <w:tab w:val="center" w:pos="9704"/>
        </w:tabs>
        <w:spacing w:after="314"/>
        <w:ind w:left="0" w:firstLine="0"/>
      </w:pPr>
      <w:r>
        <w:rPr>
          <w:b w:val="0"/>
          <w:sz w:val="22"/>
          <w:u w:val="none"/>
        </w:rPr>
        <w:tab/>
      </w:r>
      <w:r>
        <w:t>Servicio DEPURACIÓN Aguas Residuales Urbanas</w:t>
      </w:r>
      <w:r>
        <w:tab/>
      </w:r>
      <w:r>
        <w:rPr>
          <w:noProof/>
          <w:sz w:val="22"/>
        </w:rPr>
        <mc:AlternateContent>
          <mc:Choice Requires="wpg">
            <w:drawing>
              <wp:inline distT="0" distB="0" distL="0" distR="0">
                <wp:extent cx="7996" cy="103653"/>
                <wp:effectExtent l="0" t="0" r="0" b="0"/>
                <wp:docPr id="300519" name="Group 300519"/>
                <wp:cNvGraphicFramePr/>
                <a:graphic xmlns:a="http://schemas.openxmlformats.org/drawingml/2006/main">
                  <a:graphicData uri="http://schemas.microsoft.com/office/word/2010/wordprocessingGroup">
                    <wpg:wgp>
                      <wpg:cNvGrpSpPr/>
                      <wpg:grpSpPr>
                        <a:xfrm>
                          <a:off x="0" y="0"/>
                          <a:ext cx="7996" cy="103653"/>
                          <a:chOff x="0" y="0"/>
                          <a:chExt cx="7996" cy="103653"/>
                        </a:xfrm>
                      </wpg:grpSpPr>
                      <pic:pic xmlns:pic="http://schemas.openxmlformats.org/drawingml/2006/picture">
                        <pic:nvPicPr>
                          <pic:cNvPr id="21601" name="Picture 21601"/>
                          <pic:cNvPicPr/>
                        </pic:nvPicPr>
                        <pic:blipFill>
                          <a:blip r:embed="rId12"/>
                          <a:stretch>
                            <a:fillRect/>
                          </a:stretch>
                        </pic:blipFill>
                        <pic:spPr>
                          <a:xfrm>
                            <a:off x="0" y="0"/>
                            <a:ext cx="7996" cy="103653"/>
                          </a:xfrm>
                          <a:prstGeom prst="rect">
                            <a:avLst/>
                          </a:prstGeom>
                        </pic:spPr>
                      </pic:pic>
                      <pic:pic xmlns:pic="http://schemas.openxmlformats.org/drawingml/2006/picture">
                        <pic:nvPicPr>
                          <pic:cNvPr id="21603" name="Picture 21603"/>
                          <pic:cNvPicPr/>
                        </pic:nvPicPr>
                        <pic:blipFill>
                          <a:blip r:embed="rId12"/>
                          <a:stretch>
                            <a:fillRect/>
                          </a:stretch>
                        </pic:blipFill>
                        <pic:spPr>
                          <a:xfrm>
                            <a:off x="0" y="0"/>
                            <a:ext cx="7996" cy="103653"/>
                          </a:xfrm>
                          <a:prstGeom prst="rect">
                            <a:avLst/>
                          </a:prstGeom>
                        </pic:spPr>
                      </pic:pic>
                    </wpg:wgp>
                  </a:graphicData>
                </a:graphic>
              </wp:inline>
            </w:drawing>
          </mc:Choice>
          <mc:Fallback xmlns:a="http://schemas.openxmlformats.org/drawingml/2006/main">
            <w:pict>
              <v:group id="Group 300519" style="width:0.629578pt;height:8.16164pt;mso-position-horizontal-relative:char;mso-position-vertical-relative:line" coordsize="79,1036">
                <v:shape id="Picture 21601" style="position:absolute;width:79;height:1036;left:0;top:0;" filled="f">
                  <v:imagedata r:id="rId13"/>
                </v:shape>
                <v:shape id="Picture 21603" style="position:absolute;width:79;height:1036;left:0;top:0;" filled="f">
                  <v:imagedata r:id="rId13"/>
                </v:shape>
              </v:group>
            </w:pict>
          </mc:Fallback>
        </mc:AlternateContent>
      </w:r>
    </w:p>
    <w:p w:rsidR="007617AD" w:rsidRDefault="00EE75C8">
      <w:pPr>
        <w:pStyle w:val="Ttulo3"/>
        <w:tabs>
          <w:tab w:val="center" w:pos="2579"/>
          <w:tab w:val="center" w:pos="5164"/>
          <w:tab w:val="center" w:pos="7743"/>
          <w:tab w:val="center" w:pos="8743"/>
          <w:tab w:val="center" w:pos="9413"/>
        </w:tabs>
        <w:ind w:left="0" w:firstLine="0"/>
      </w:pPr>
      <w:r>
        <w:rPr>
          <w:noProof/>
          <w:sz w:val="22"/>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300520" name="Group 30052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1606" name="Rectangle 2160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1607" name="Rectangle 21607"/>
                        <wps:cNvSpPr/>
                        <wps:spPr>
                          <a:xfrm rot="-5399999">
                            <a:off x="-2094822" y="1272006"/>
                            <a:ext cx="44552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113 de 192 </w:t>
                              </w:r>
                            </w:p>
                          </w:txbxContent>
                        </wps:txbx>
                        <wps:bodyPr horzOverflow="overflow" vert="horz" lIns="0" tIns="0" rIns="0" bIns="0" rtlCol="0">
                          <a:noAutofit/>
                        </wps:bodyPr>
                      </wps:wsp>
                    </wpg:wgp>
                  </a:graphicData>
                </a:graphic>
              </wp:anchor>
            </w:drawing>
          </mc:Choice>
          <mc:Fallback xmlns:a="http://schemas.openxmlformats.org/drawingml/2006/main">
            <w:pict>
              <v:group id="Group 300520" style="width:12.7031pt;height:280.02pt;position:absolute;mso-position-horizontal-relative:page;mso-position-horizontal:absolute;margin-left:682.278pt;mso-position-vertical-relative:page;margin-top:531.9pt;" coordsize="1613,35562">
                <v:rect id="Rectangle 2160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1607" style="position:absolute;width:44552;height:1132;left:-20948;top:127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192 </w:t>
                        </w:r>
                      </w:p>
                    </w:txbxContent>
                  </v:textbox>
                </v:rect>
                <w10:wrap type="topAndBottom"/>
              </v:group>
            </w:pict>
          </mc:Fallback>
        </mc:AlternateContent>
      </w:r>
      <w:r>
        <w:rPr>
          <w:b w:val="0"/>
          <w:sz w:val="22"/>
        </w:rPr>
        <w:tab/>
      </w:r>
      <w:r>
        <w:t>NATURALEZA DEL COSTE</w:t>
      </w:r>
      <w:r>
        <w:tab/>
        <w:t>CONCEPTO DEL COSTE</w:t>
      </w:r>
      <w:r>
        <w:tab/>
        <w:t>€/año</w:t>
      </w:r>
      <w:r>
        <w:tab/>
        <w:t>€/m3</w:t>
      </w:r>
      <w:r>
        <w:tab/>
        <w:t>%</w:t>
      </w:r>
    </w:p>
    <w:tbl>
      <w:tblPr>
        <w:tblStyle w:val="TableGrid"/>
        <w:tblW w:w="8103" w:type="dxa"/>
        <w:tblInd w:w="1607" w:type="dxa"/>
        <w:tblCellMar>
          <w:top w:w="30" w:type="dxa"/>
          <w:left w:w="0" w:type="dxa"/>
          <w:bottom w:w="0" w:type="dxa"/>
          <w:right w:w="115" w:type="dxa"/>
        </w:tblCellMar>
        <w:tblLook w:val="04A0" w:firstRow="1" w:lastRow="0" w:firstColumn="1" w:lastColumn="0" w:noHBand="0" w:noVBand="1"/>
      </w:tblPr>
      <w:tblGrid>
        <w:gridCol w:w="2667"/>
        <w:gridCol w:w="7"/>
        <w:gridCol w:w="2982"/>
        <w:gridCol w:w="7"/>
        <w:gridCol w:w="1191"/>
        <w:gridCol w:w="757"/>
        <w:gridCol w:w="7"/>
        <w:gridCol w:w="485"/>
        <w:gridCol w:w="7"/>
      </w:tblGrid>
      <w:tr w:rsidR="007617AD">
        <w:trPr>
          <w:gridAfter w:val="1"/>
          <w:wAfter w:w="7" w:type="dxa"/>
          <w:trHeight w:val="282"/>
        </w:trPr>
        <w:tc>
          <w:tcPr>
            <w:tcW w:w="2667" w:type="dxa"/>
            <w:tcBorders>
              <w:top w:val="single" w:sz="10" w:space="0" w:color="000000"/>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 xml:space="preserve">Propio </w:t>
            </w:r>
            <w:r>
              <w:rPr>
                <w:rFonts w:ascii="Calibri" w:eastAsia="Calibri" w:hAnsi="Calibri" w:cs="Calibri"/>
                <w:sz w:val="19"/>
              </w:rPr>
              <w:t>CIATF</w:t>
            </w:r>
          </w:p>
        </w:tc>
        <w:tc>
          <w:tcPr>
            <w:tcW w:w="2989" w:type="dxa"/>
            <w:gridSpan w:val="2"/>
            <w:tcBorders>
              <w:top w:val="single" w:sz="10" w:space="0" w:color="000000"/>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Gestión y Control (1)</w:t>
            </w:r>
          </w:p>
        </w:tc>
        <w:tc>
          <w:tcPr>
            <w:tcW w:w="1198" w:type="dxa"/>
            <w:gridSpan w:val="2"/>
            <w:tcBorders>
              <w:top w:val="single" w:sz="10" w:space="0" w:color="000000"/>
              <w:left w:val="nil"/>
              <w:bottom w:val="nil"/>
              <w:right w:val="nil"/>
            </w:tcBorders>
          </w:tcPr>
          <w:p w:rsidR="007617AD" w:rsidRDefault="00EE75C8">
            <w:pPr>
              <w:spacing w:after="0" w:line="259" w:lineRule="auto"/>
              <w:ind w:left="223" w:firstLine="0"/>
              <w:jc w:val="center"/>
            </w:pPr>
            <w:r>
              <w:rPr>
                <w:rFonts w:ascii="Calibri" w:eastAsia="Calibri" w:hAnsi="Calibri" w:cs="Calibri"/>
                <w:sz w:val="19"/>
              </w:rPr>
              <w:t>77.048,82 €</w:t>
            </w:r>
          </w:p>
        </w:tc>
        <w:tc>
          <w:tcPr>
            <w:tcW w:w="757"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0,03 </w:t>
            </w:r>
          </w:p>
        </w:tc>
        <w:tc>
          <w:tcPr>
            <w:tcW w:w="492" w:type="dxa"/>
            <w:gridSpan w:val="2"/>
            <w:tcBorders>
              <w:top w:val="single" w:sz="10" w:space="0" w:color="000000"/>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4%</w:t>
            </w:r>
          </w:p>
        </w:tc>
      </w:tr>
      <w:tr w:rsidR="007617AD">
        <w:trPr>
          <w:gridAfter w:val="1"/>
          <w:wAfter w:w="7" w:type="dxa"/>
          <w:trHeight w:val="258"/>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Contrato de servicios</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Operación y mantenimiento</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398.361,49 €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0,16 </w:t>
            </w:r>
          </w:p>
        </w:tc>
        <w:tc>
          <w:tcPr>
            <w:tcW w:w="492" w:type="dxa"/>
            <w:gridSpan w:val="2"/>
            <w:tcBorders>
              <w:top w:val="nil"/>
              <w:left w:val="nil"/>
              <w:bottom w:val="nil"/>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22%</w:t>
            </w:r>
          </w:p>
        </w:tc>
      </w:tr>
      <w:tr w:rsidR="007617AD">
        <w:trPr>
          <w:gridAfter w:val="1"/>
          <w:wAfter w:w="7" w:type="dxa"/>
          <w:trHeight w:val="258"/>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Contrato de suministro</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Electricidad (Costes Fijos)</w:t>
            </w:r>
          </w:p>
        </w:tc>
        <w:tc>
          <w:tcPr>
            <w:tcW w:w="1198" w:type="dxa"/>
            <w:gridSpan w:val="2"/>
            <w:tcBorders>
              <w:top w:val="nil"/>
              <w:left w:val="nil"/>
              <w:bottom w:val="nil"/>
              <w:right w:val="nil"/>
            </w:tcBorders>
          </w:tcPr>
          <w:p w:rsidR="007617AD" w:rsidRDefault="00EE75C8">
            <w:pPr>
              <w:spacing w:after="0" w:line="259" w:lineRule="auto"/>
              <w:ind w:left="223" w:firstLine="0"/>
              <w:jc w:val="center"/>
            </w:pPr>
            <w:r>
              <w:rPr>
                <w:rFonts w:ascii="Calibri" w:eastAsia="Calibri" w:hAnsi="Calibri" w:cs="Calibri"/>
                <w:sz w:val="19"/>
              </w:rPr>
              <w:t>73.996,12 €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0 ,03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4%</w:t>
            </w:r>
          </w:p>
        </w:tc>
      </w:tr>
      <w:tr w:rsidR="007617AD">
        <w:trPr>
          <w:gridAfter w:val="1"/>
          <w:wAfter w:w="7" w:type="dxa"/>
          <w:trHeight w:val="252"/>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Propio CIATF</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Inversiones (2)</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154.097,65 €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w:t>
            </w:r>
            <w:r>
              <w:rPr>
                <w:rFonts w:ascii="Calibri" w:eastAsia="Calibri" w:hAnsi="Calibri" w:cs="Calibri"/>
                <w:sz w:val="19"/>
              </w:rPr>
              <w:t xml:space="preserve">,06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9%</w:t>
            </w:r>
          </w:p>
        </w:tc>
      </w:tr>
      <w:tr w:rsidR="007617AD">
        <w:trPr>
          <w:gridAfter w:val="1"/>
          <w:wAfter w:w="7" w:type="dxa"/>
          <w:trHeight w:val="258"/>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Contrato de servicios</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Seguimiento medioambiental (3)</w:t>
            </w:r>
          </w:p>
        </w:tc>
        <w:tc>
          <w:tcPr>
            <w:tcW w:w="1198" w:type="dxa"/>
            <w:gridSpan w:val="2"/>
            <w:tcBorders>
              <w:top w:val="nil"/>
              <w:left w:val="nil"/>
              <w:bottom w:val="nil"/>
              <w:right w:val="nil"/>
            </w:tcBorders>
          </w:tcPr>
          <w:p w:rsidR="007617AD" w:rsidRDefault="00EE75C8">
            <w:pPr>
              <w:spacing w:after="0" w:line="259" w:lineRule="auto"/>
              <w:ind w:left="223" w:firstLine="0"/>
              <w:jc w:val="center"/>
            </w:pPr>
            <w:r>
              <w:rPr>
                <w:rFonts w:ascii="Calibri" w:eastAsia="Calibri" w:hAnsi="Calibri" w:cs="Calibri"/>
                <w:sz w:val="19"/>
              </w:rPr>
              <w:t>52.108,25 €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0 ,02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3%</w:t>
            </w:r>
          </w:p>
        </w:tc>
      </w:tr>
      <w:tr w:rsidR="007617AD">
        <w:trPr>
          <w:gridAfter w:val="1"/>
          <w:wAfter w:w="7" w:type="dxa"/>
          <w:trHeight w:val="241"/>
        </w:trPr>
        <w:tc>
          <w:tcPr>
            <w:tcW w:w="2667" w:type="dxa"/>
            <w:tcBorders>
              <w:top w:val="nil"/>
              <w:left w:val="single" w:sz="5" w:space="0" w:color="000000"/>
              <w:bottom w:val="single" w:sz="10" w:space="0" w:color="000000"/>
              <w:right w:val="nil"/>
            </w:tcBorders>
          </w:tcPr>
          <w:p w:rsidR="007617AD" w:rsidRDefault="00EE75C8">
            <w:pPr>
              <w:spacing w:after="0" w:line="259" w:lineRule="auto"/>
              <w:ind w:left="31" w:firstLine="0"/>
              <w:jc w:val="left"/>
            </w:pPr>
            <w:r>
              <w:rPr>
                <w:rFonts w:ascii="Calibri" w:eastAsia="Calibri" w:hAnsi="Calibri" w:cs="Calibri"/>
                <w:sz w:val="19"/>
              </w:rPr>
              <w:t>Contrato de suministro</w:t>
            </w:r>
          </w:p>
        </w:tc>
        <w:tc>
          <w:tcPr>
            <w:tcW w:w="2989" w:type="dxa"/>
            <w:gridSpan w:val="2"/>
            <w:tcBorders>
              <w:top w:val="nil"/>
              <w:left w:val="nil"/>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sz w:val="19"/>
              </w:rPr>
              <w:t>Comunicaciones</w:t>
            </w:r>
          </w:p>
        </w:tc>
        <w:tc>
          <w:tcPr>
            <w:tcW w:w="1198" w:type="dxa"/>
            <w:gridSpan w:val="2"/>
            <w:tcBorders>
              <w:top w:val="nil"/>
              <w:left w:val="nil"/>
              <w:bottom w:val="single" w:sz="10" w:space="0" w:color="000000"/>
              <w:right w:val="nil"/>
            </w:tcBorders>
          </w:tcPr>
          <w:p w:rsidR="007617AD" w:rsidRDefault="00EE75C8">
            <w:pPr>
              <w:spacing w:after="0" w:line="259" w:lineRule="auto"/>
              <w:ind w:left="454" w:firstLine="0"/>
              <w:jc w:val="left"/>
            </w:pPr>
            <w:r>
              <w:rPr>
                <w:rFonts w:ascii="Calibri" w:eastAsia="Calibri" w:hAnsi="Calibri" w:cs="Calibri"/>
                <w:sz w:val="19"/>
              </w:rPr>
              <w:t>801,84 €</w:t>
            </w:r>
          </w:p>
        </w:tc>
        <w:tc>
          <w:tcPr>
            <w:tcW w:w="757" w:type="dxa"/>
            <w:tcBorders>
              <w:top w:val="nil"/>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sz w:val="19"/>
              </w:rPr>
              <w:t xml:space="preserve">    0,00 </w:t>
            </w:r>
          </w:p>
        </w:tc>
        <w:tc>
          <w:tcPr>
            <w:tcW w:w="492" w:type="dxa"/>
            <w:gridSpan w:val="2"/>
            <w:tcBorders>
              <w:top w:val="nil"/>
              <w:left w:val="nil"/>
              <w:bottom w:val="single" w:sz="10" w:space="0" w:color="000000"/>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0%</w:t>
            </w:r>
          </w:p>
        </w:tc>
      </w:tr>
      <w:tr w:rsidR="007617AD">
        <w:trPr>
          <w:gridAfter w:val="1"/>
          <w:wAfter w:w="7" w:type="dxa"/>
          <w:trHeight w:val="264"/>
        </w:trPr>
        <w:tc>
          <w:tcPr>
            <w:tcW w:w="2667"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2989" w:type="dxa"/>
            <w:gridSpan w:val="2"/>
            <w:tcBorders>
              <w:top w:val="single" w:sz="10" w:space="0" w:color="000000"/>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b/>
                <w:sz w:val="19"/>
              </w:rPr>
              <w:t>Subtotal costes fijos</w:t>
            </w:r>
          </w:p>
        </w:tc>
        <w:tc>
          <w:tcPr>
            <w:tcW w:w="1198" w:type="dxa"/>
            <w:gridSpan w:val="2"/>
            <w:tcBorders>
              <w:top w:val="single" w:sz="10" w:space="0" w:color="000000"/>
              <w:left w:val="nil"/>
              <w:bottom w:val="single" w:sz="10" w:space="0" w:color="000000"/>
              <w:right w:val="nil"/>
            </w:tcBorders>
          </w:tcPr>
          <w:p w:rsidR="007617AD" w:rsidRDefault="00EE75C8">
            <w:pPr>
              <w:spacing w:after="0" w:line="259" w:lineRule="auto"/>
              <w:ind w:left="139" w:firstLine="0"/>
              <w:jc w:val="left"/>
            </w:pPr>
            <w:r>
              <w:rPr>
                <w:rFonts w:ascii="Calibri" w:eastAsia="Calibri" w:hAnsi="Calibri" w:cs="Calibri"/>
                <w:b/>
                <w:sz w:val="19"/>
              </w:rPr>
              <w:t>756.414,17 €</w:t>
            </w:r>
          </w:p>
        </w:tc>
        <w:tc>
          <w:tcPr>
            <w:tcW w:w="757"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0,30 </w:t>
            </w:r>
          </w:p>
        </w:tc>
        <w:tc>
          <w:tcPr>
            <w:tcW w:w="492" w:type="dxa"/>
            <w:gridSpan w:val="2"/>
            <w:tcBorders>
              <w:top w:val="single" w:sz="10" w:space="0" w:color="000000"/>
              <w:left w:val="nil"/>
              <w:bottom w:val="single" w:sz="10" w:space="0" w:color="000000"/>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43%</w:t>
            </w:r>
          </w:p>
        </w:tc>
      </w:tr>
      <w:tr w:rsidR="007617AD">
        <w:trPr>
          <w:gridAfter w:val="1"/>
          <w:wAfter w:w="7" w:type="dxa"/>
          <w:trHeight w:val="282"/>
        </w:trPr>
        <w:tc>
          <w:tcPr>
            <w:tcW w:w="5656" w:type="dxa"/>
            <w:gridSpan w:val="3"/>
            <w:tcBorders>
              <w:top w:val="single" w:sz="10" w:space="0" w:color="000000"/>
              <w:left w:val="single" w:sz="5" w:space="0" w:color="000000"/>
              <w:bottom w:val="nil"/>
              <w:right w:val="nil"/>
            </w:tcBorders>
          </w:tcPr>
          <w:p w:rsidR="007617AD" w:rsidRDefault="00EE75C8">
            <w:pPr>
              <w:tabs>
                <w:tab w:val="center" w:pos="3800"/>
              </w:tabs>
              <w:spacing w:after="0" w:line="259" w:lineRule="auto"/>
              <w:ind w:left="0" w:firstLine="0"/>
              <w:jc w:val="left"/>
            </w:pPr>
            <w:r>
              <w:rPr>
                <w:rFonts w:ascii="Calibri" w:eastAsia="Calibri" w:hAnsi="Calibri" w:cs="Calibri"/>
                <w:sz w:val="19"/>
              </w:rPr>
              <w:t>Contrato de servicios</w:t>
            </w:r>
            <w:r>
              <w:rPr>
                <w:rFonts w:ascii="Calibri" w:eastAsia="Calibri" w:hAnsi="Calibri" w:cs="Calibri"/>
                <w:sz w:val="19"/>
              </w:rPr>
              <w:tab/>
              <w:t>Operación y mantenimiento</w:t>
            </w:r>
          </w:p>
        </w:tc>
        <w:tc>
          <w:tcPr>
            <w:tcW w:w="1198" w:type="dxa"/>
            <w:gridSpan w:val="2"/>
            <w:tcBorders>
              <w:top w:val="single" w:sz="10" w:space="0" w:color="000000"/>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232.853,09 €</w:t>
            </w:r>
          </w:p>
        </w:tc>
        <w:tc>
          <w:tcPr>
            <w:tcW w:w="757"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0,09 </w:t>
            </w:r>
          </w:p>
        </w:tc>
        <w:tc>
          <w:tcPr>
            <w:tcW w:w="492" w:type="dxa"/>
            <w:gridSpan w:val="2"/>
            <w:tcBorders>
              <w:top w:val="single" w:sz="10" w:space="0" w:color="000000"/>
              <w:left w:val="nil"/>
              <w:bottom w:val="nil"/>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13%</w:t>
            </w:r>
          </w:p>
        </w:tc>
      </w:tr>
      <w:tr w:rsidR="007617AD">
        <w:trPr>
          <w:gridAfter w:val="1"/>
          <w:wAfter w:w="7" w:type="dxa"/>
          <w:trHeight w:val="252"/>
        </w:trPr>
        <w:tc>
          <w:tcPr>
            <w:tcW w:w="5656" w:type="dxa"/>
            <w:gridSpan w:val="3"/>
            <w:tcBorders>
              <w:top w:val="nil"/>
              <w:left w:val="single" w:sz="5" w:space="0" w:color="000000"/>
              <w:bottom w:val="nil"/>
              <w:right w:val="nil"/>
            </w:tcBorders>
          </w:tcPr>
          <w:p w:rsidR="007617AD" w:rsidRDefault="00EE75C8">
            <w:pPr>
              <w:tabs>
                <w:tab w:val="center" w:pos="3878"/>
              </w:tabs>
              <w:spacing w:after="0" w:line="259" w:lineRule="auto"/>
              <w:ind w:left="0" w:firstLine="0"/>
              <w:jc w:val="left"/>
            </w:pPr>
            <w:r>
              <w:rPr>
                <w:rFonts w:ascii="Calibri" w:eastAsia="Calibri" w:hAnsi="Calibri" w:cs="Calibri"/>
                <w:sz w:val="19"/>
              </w:rPr>
              <w:t>Contrato de suministro</w:t>
            </w:r>
            <w:r>
              <w:rPr>
                <w:rFonts w:ascii="Calibri" w:eastAsia="Calibri" w:hAnsi="Calibri" w:cs="Calibri"/>
                <w:sz w:val="19"/>
              </w:rPr>
              <w:tab/>
              <w:t>Electricidad (Costes Variables)</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644.780,90 €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0 ,25 </w:t>
            </w:r>
          </w:p>
        </w:tc>
        <w:tc>
          <w:tcPr>
            <w:tcW w:w="492" w:type="dxa"/>
            <w:gridSpan w:val="2"/>
            <w:tcBorders>
              <w:top w:val="nil"/>
              <w:left w:val="nil"/>
              <w:bottom w:val="nil"/>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36%</w:t>
            </w:r>
          </w:p>
        </w:tc>
      </w:tr>
      <w:tr w:rsidR="007617AD">
        <w:trPr>
          <w:gridAfter w:val="1"/>
          <w:wAfter w:w="7" w:type="dxa"/>
          <w:trHeight w:val="252"/>
        </w:trPr>
        <w:tc>
          <w:tcPr>
            <w:tcW w:w="5656" w:type="dxa"/>
            <w:gridSpan w:val="3"/>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Tasas Cabildo Insular de Tenerife Tasas servicio P.I.R.S. Arico</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138.074,76 €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0 ,05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8%</w:t>
            </w:r>
          </w:p>
        </w:tc>
      </w:tr>
      <w:tr w:rsidR="007617AD">
        <w:trPr>
          <w:gridAfter w:val="1"/>
          <w:wAfter w:w="7" w:type="dxa"/>
          <w:trHeight w:val="234"/>
        </w:trPr>
        <w:tc>
          <w:tcPr>
            <w:tcW w:w="5656" w:type="dxa"/>
            <w:gridSpan w:val="3"/>
            <w:tcBorders>
              <w:top w:val="nil"/>
              <w:left w:val="single" w:sz="5" w:space="0" w:color="000000"/>
              <w:bottom w:val="single" w:sz="10" w:space="0" w:color="000000"/>
              <w:right w:val="nil"/>
            </w:tcBorders>
          </w:tcPr>
          <w:p w:rsidR="007617AD" w:rsidRDefault="00EE75C8">
            <w:pPr>
              <w:tabs>
                <w:tab w:val="center" w:pos="3220"/>
              </w:tabs>
              <w:spacing w:after="0" w:line="259" w:lineRule="auto"/>
              <w:ind w:left="0" w:firstLine="0"/>
              <w:jc w:val="left"/>
            </w:pPr>
            <w:r>
              <w:rPr>
                <w:rFonts w:ascii="Calibri" w:eastAsia="Calibri" w:hAnsi="Calibri" w:cs="Calibri"/>
                <w:sz w:val="19"/>
              </w:rPr>
              <w:t>Tasas municipales</w:t>
            </w:r>
            <w:r>
              <w:rPr>
                <w:rFonts w:ascii="Calibri" w:eastAsia="Calibri" w:hAnsi="Calibri" w:cs="Calibri"/>
                <w:sz w:val="19"/>
              </w:rPr>
              <w:tab/>
              <w:t>Agua servicio</w:t>
            </w:r>
          </w:p>
        </w:tc>
        <w:tc>
          <w:tcPr>
            <w:tcW w:w="1198" w:type="dxa"/>
            <w:gridSpan w:val="2"/>
            <w:tcBorders>
              <w:top w:val="nil"/>
              <w:left w:val="nil"/>
              <w:bottom w:val="single" w:sz="10" w:space="0" w:color="000000"/>
              <w:right w:val="nil"/>
            </w:tcBorders>
          </w:tcPr>
          <w:p w:rsidR="007617AD" w:rsidRDefault="00EE75C8">
            <w:pPr>
              <w:spacing w:after="0" w:line="259" w:lineRule="auto"/>
              <w:ind w:left="0" w:firstLine="0"/>
              <w:jc w:val="right"/>
            </w:pPr>
            <w:r>
              <w:rPr>
                <w:rFonts w:ascii="Calibri" w:eastAsia="Calibri" w:hAnsi="Calibri" w:cs="Calibri"/>
                <w:sz w:val="19"/>
              </w:rPr>
              <w:t>0,00 €</w:t>
            </w:r>
          </w:p>
        </w:tc>
        <w:tc>
          <w:tcPr>
            <w:tcW w:w="757" w:type="dxa"/>
            <w:tcBorders>
              <w:top w:val="nil"/>
              <w:left w:val="nil"/>
              <w:bottom w:val="single" w:sz="10" w:space="0" w:color="000000"/>
              <w:right w:val="nil"/>
            </w:tcBorders>
          </w:tcPr>
          <w:p w:rsidR="007617AD" w:rsidRDefault="00EE75C8">
            <w:pPr>
              <w:tabs>
                <w:tab w:val="center" w:pos="428"/>
              </w:tabs>
              <w:spacing w:after="0" w:line="259" w:lineRule="auto"/>
              <w:ind w:left="0" w:firstLine="0"/>
              <w:jc w:val="left"/>
            </w:pPr>
            <w:r>
              <w:rPr>
                <w:rFonts w:ascii="Calibri" w:eastAsia="Calibri" w:hAnsi="Calibri" w:cs="Calibri"/>
                <w:sz w:val="19"/>
              </w:rPr>
              <w:t xml:space="preserve">      -</w:t>
            </w:r>
            <w:r>
              <w:rPr>
                <w:rFonts w:ascii="Calibri" w:eastAsia="Calibri" w:hAnsi="Calibri" w:cs="Calibri"/>
                <w:sz w:val="19"/>
              </w:rPr>
              <w:tab/>
              <w:t xml:space="preserve"> </w:t>
            </w:r>
          </w:p>
        </w:tc>
        <w:tc>
          <w:tcPr>
            <w:tcW w:w="492" w:type="dxa"/>
            <w:gridSpan w:val="2"/>
            <w:tcBorders>
              <w:top w:val="nil"/>
              <w:left w:val="nil"/>
              <w:bottom w:val="single" w:sz="10" w:space="0" w:color="000000"/>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0%</w:t>
            </w:r>
          </w:p>
        </w:tc>
      </w:tr>
      <w:tr w:rsidR="007617AD">
        <w:trPr>
          <w:gridAfter w:val="1"/>
          <w:wAfter w:w="7" w:type="dxa"/>
          <w:trHeight w:val="265"/>
        </w:trPr>
        <w:tc>
          <w:tcPr>
            <w:tcW w:w="2667"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2989" w:type="dxa"/>
            <w:gridSpan w:val="2"/>
            <w:tcBorders>
              <w:top w:val="single" w:sz="10" w:space="0" w:color="000000"/>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b/>
                <w:sz w:val="19"/>
              </w:rPr>
              <w:t>Subtotal costes variables</w:t>
            </w:r>
          </w:p>
        </w:tc>
        <w:tc>
          <w:tcPr>
            <w:tcW w:w="1198" w:type="dxa"/>
            <w:gridSpan w:val="2"/>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1.015.708,75 €</w:t>
            </w:r>
          </w:p>
        </w:tc>
        <w:tc>
          <w:tcPr>
            <w:tcW w:w="757"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0 ,40 </w:t>
            </w:r>
          </w:p>
        </w:tc>
        <w:tc>
          <w:tcPr>
            <w:tcW w:w="492" w:type="dxa"/>
            <w:gridSpan w:val="2"/>
            <w:tcBorders>
              <w:top w:val="single" w:sz="10" w:space="0" w:color="000000"/>
              <w:left w:val="nil"/>
              <w:bottom w:val="single" w:sz="10" w:space="0" w:color="000000"/>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57%</w:t>
            </w:r>
          </w:p>
        </w:tc>
      </w:tr>
      <w:tr w:rsidR="007617AD">
        <w:tblPrEx>
          <w:tblCellMar>
            <w:top w:w="60" w:type="dxa"/>
            <w:right w:w="92" w:type="dxa"/>
          </w:tblCellMar>
        </w:tblPrEx>
        <w:trPr>
          <w:gridBefore w:val="2"/>
          <w:wBefore w:w="2674" w:type="dxa"/>
          <w:trHeight w:val="264"/>
        </w:trPr>
        <w:tc>
          <w:tcPr>
            <w:tcW w:w="2989" w:type="dxa"/>
            <w:gridSpan w:val="2"/>
            <w:tcBorders>
              <w:top w:val="single" w:sz="10" w:space="0" w:color="000000"/>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b/>
                <w:sz w:val="19"/>
              </w:rPr>
              <w:t>COSTES TOTALES</w:t>
            </w:r>
          </w:p>
        </w:tc>
        <w:tc>
          <w:tcPr>
            <w:tcW w:w="1955" w:type="dxa"/>
            <w:gridSpan w:val="3"/>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1.772.122,92 €    0,69 </w:t>
            </w:r>
          </w:p>
        </w:tc>
        <w:tc>
          <w:tcPr>
            <w:tcW w:w="492" w:type="dxa"/>
            <w:gridSpan w:val="2"/>
            <w:tcBorders>
              <w:top w:val="single" w:sz="10" w:space="0" w:color="000000"/>
              <w:left w:val="nil"/>
              <w:bottom w:val="single" w:sz="10" w:space="0" w:color="000000"/>
              <w:right w:val="single" w:sz="10" w:space="0" w:color="000000"/>
            </w:tcBorders>
          </w:tcPr>
          <w:p w:rsidR="007617AD" w:rsidRDefault="00EE75C8">
            <w:pPr>
              <w:spacing w:after="0" w:line="259" w:lineRule="auto"/>
              <w:ind w:left="0" w:firstLine="0"/>
            </w:pPr>
            <w:r>
              <w:rPr>
                <w:rFonts w:ascii="Calibri" w:eastAsia="Calibri" w:hAnsi="Calibri" w:cs="Calibri"/>
                <w:sz w:val="19"/>
              </w:rPr>
              <w:t>100%</w:t>
            </w:r>
          </w:p>
        </w:tc>
      </w:tr>
    </w:tbl>
    <w:p w:rsidR="007617AD" w:rsidRDefault="00EE75C8">
      <w:pPr>
        <w:numPr>
          <w:ilvl w:val="0"/>
          <w:numId w:val="53"/>
        </w:numPr>
        <w:spacing w:after="41" w:line="259" w:lineRule="auto"/>
        <w:ind w:right="366" w:hanging="213"/>
        <w:jc w:val="left"/>
      </w:pPr>
      <w:r>
        <w:rPr>
          <w:rFonts w:ascii="Calibri" w:eastAsia="Calibri" w:hAnsi="Calibri" w:cs="Calibri"/>
          <w:sz w:val="15"/>
        </w:rPr>
        <w:t>5% sobre gastos fijos y variables a excepción de las Inversiones</w:t>
      </w:r>
    </w:p>
    <w:p w:rsidR="007617AD" w:rsidRDefault="00EE75C8">
      <w:pPr>
        <w:numPr>
          <w:ilvl w:val="0"/>
          <w:numId w:val="53"/>
        </w:numPr>
        <w:spacing w:after="154" w:line="259" w:lineRule="auto"/>
        <w:ind w:right="366" w:hanging="213"/>
        <w:jc w:val="left"/>
      </w:pPr>
      <w:r>
        <w:rPr>
          <w:rFonts w:ascii="Calibri" w:eastAsia="Calibri" w:hAnsi="Calibri" w:cs="Calibri"/>
          <w:sz w:val="15"/>
        </w:rPr>
        <w:t>10% sobre gastos fijos y variables a excepción de los gastos de gestión y control</w:t>
      </w:r>
    </w:p>
    <w:p w:rsidR="007617AD" w:rsidRDefault="00EE75C8">
      <w:pPr>
        <w:numPr>
          <w:ilvl w:val="0"/>
          <w:numId w:val="53"/>
        </w:numPr>
        <w:spacing w:after="247" w:line="259" w:lineRule="auto"/>
        <w:ind w:right="366" w:hanging="213"/>
        <w:jc w:val="left"/>
      </w:pPr>
      <w:r>
        <w:rPr>
          <w:rFonts w:ascii="Calibri" w:eastAsia="Calibri" w:hAnsi="Calibri" w:cs="Calibri"/>
          <w:sz w:val="15"/>
        </w:rPr>
        <w:t>Realización de los Programas de Vigilancia y Control ambiental.</w:t>
      </w:r>
      <w:r>
        <w:rPr>
          <w:rFonts w:ascii="Calibri" w:eastAsia="Calibri" w:hAnsi="Calibri" w:cs="Calibri"/>
          <w:sz w:val="15"/>
        </w:rPr>
        <w:tab/>
      </w:r>
      <w:r>
        <w:rPr>
          <w:rFonts w:ascii="Times New Roman" w:eastAsia="Times New Roman" w:hAnsi="Times New Roman" w:cs="Times New Roman"/>
          <w:sz w:val="24"/>
        </w:rPr>
        <w:t xml:space="preserve"> </w:t>
      </w:r>
    </w:p>
    <w:p w:rsidR="007617AD" w:rsidRDefault="00EE75C8">
      <w:pPr>
        <w:spacing w:after="96" w:line="259" w:lineRule="auto"/>
        <w:ind w:left="1063"/>
        <w:jc w:val="left"/>
      </w:pPr>
      <w:r>
        <w:rPr>
          <w:rFonts w:ascii="Times New Roman" w:eastAsia="Times New Roman" w:hAnsi="Times New Roman" w:cs="Times New Roman"/>
          <w:sz w:val="24"/>
        </w:rPr>
        <w:t>4.</w:t>
      </w:r>
      <w:r>
        <w:rPr>
          <w:sz w:val="24"/>
        </w:rPr>
        <w:t xml:space="preserve"> </w:t>
      </w:r>
      <w:r>
        <w:rPr>
          <w:rFonts w:ascii="Times New Roman" w:eastAsia="Times New Roman" w:hAnsi="Times New Roman" w:cs="Times New Roman"/>
          <w:sz w:val="24"/>
          <w:u w:val="single" w:color="000000"/>
        </w:rPr>
        <w:t>Servicio de depuración de aguas residuales industriales</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p w:rsidR="007617AD" w:rsidRDefault="00EE75C8">
      <w:pPr>
        <w:pStyle w:val="Ttulo2"/>
        <w:ind w:left="3120"/>
      </w:pPr>
      <w:r>
        <w:t>Servicio DEPURACIÓN Aguas Residuales Industriales</w:t>
      </w:r>
    </w:p>
    <w:p w:rsidR="007617AD" w:rsidRDefault="00EE75C8">
      <w:pPr>
        <w:pStyle w:val="Ttulo3"/>
        <w:tabs>
          <w:tab w:val="center" w:pos="2645"/>
          <w:tab w:val="center" w:pos="5275"/>
          <w:tab w:val="center" w:pos="7898"/>
          <w:tab w:val="center" w:pos="8915"/>
          <w:tab w:val="center" w:pos="9598"/>
        </w:tabs>
        <w:ind w:left="0" w:firstLine="0"/>
      </w:pPr>
      <w:r>
        <w:rPr>
          <w:b w:val="0"/>
          <w:sz w:val="22"/>
        </w:rPr>
        <w:tab/>
      </w:r>
      <w:r>
        <w:t>NATURALEZA DEL COSTE</w:t>
      </w:r>
      <w:r>
        <w:tab/>
        <w:t>CONCEPTO DEL COSTE</w:t>
      </w:r>
      <w:r>
        <w:tab/>
        <w:t>€/año</w:t>
      </w:r>
      <w:r>
        <w:tab/>
        <w:t>€/m3</w:t>
      </w:r>
      <w:r>
        <w:tab/>
        <w:t>%</w:t>
      </w:r>
    </w:p>
    <w:tbl>
      <w:tblPr>
        <w:tblStyle w:val="TableGrid"/>
        <w:tblW w:w="8249" w:type="dxa"/>
        <w:tblInd w:w="1650" w:type="dxa"/>
        <w:tblCellMar>
          <w:top w:w="30" w:type="dxa"/>
          <w:left w:w="0" w:type="dxa"/>
          <w:bottom w:w="0" w:type="dxa"/>
          <w:right w:w="115" w:type="dxa"/>
        </w:tblCellMar>
        <w:tblLook w:val="04A0" w:firstRow="1" w:lastRow="0" w:firstColumn="1" w:lastColumn="0" w:noHBand="0" w:noVBand="1"/>
      </w:tblPr>
      <w:tblGrid>
        <w:gridCol w:w="2720"/>
        <w:gridCol w:w="3182"/>
        <w:gridCol w:w="1078"/>
        <w:gridCol w:w="769"/>
        <w:gridCol w:w="500"/>
      </w:tblGrid>
      <w:tr w:rsidR="007617AD">
        <w:trPr>
          <w:trHeight w:val="287"/>
        </w:trPr>
        <w:tc>
          <w:tcPr>
            <w:tcW w:w="2720" w:type="dxa"/>
            <w:tcBorders>
              <w:top w:val="single" w:sz="10" w:space="0" w:color="000000"/>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Propio CIATF</w:t>
            </w:r>
          </w:p>
        </w:tc>
        <w:tc>
          <w:tcPr>
            <w:tcW w:w="3182" w:type="dxa"/>
            <w:tcBorders>
              <w:top w:val="single" w:sz="10" w:space="0" w:color="000000"/>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Gestión y Control (1)</w:t>
            </w:r>
          </w:p>
        </w:tc>
        <w:tc>
          <w:tcPr>
            <w:tcW w:w="1078" w:type="dxa"/>
            <w:tcBorders>
              <w:top w:val="single" w:sz="10" w:space="0" w:color="000000"/>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32.801,29 €</w:t>
            </w:r>
          </w:p>
        </w:tc>
        <w:tc>
          <w:tcPr>
            <w:tcW w:w="769"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0,08 </w:t>
            </w:r>
          </w:p>
        </w:tc>
        <w:tc>
          <w:tcPr>
            <w:tcW w:w="500" w:type="dxa"/>
            <w:tcBorders>
              <w:top w:val="single" w:sz="10" w:space="0" w:color="000000"/>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4%</w:t>
            </w:r>
          </w:p>
        </w:tc>
      </w:tr>
      <w:tr w:rsidR="007617AD">
        <w:trPr>
          <w:trHeight w:val="256"/>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Contrato de servicios</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Operación y mantenimiento</w:t>
            </w:r>
          </w:p>
        </w:tc>
        <w:tc>
          <w:tcPr>
            <w:tcW w:w="1078"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274.950,33 €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0 ,66 </w:t>
            </w:r>
          </w:p>
        </w:tc>
        <w:tc>
          <w:tcPr>
            <w:tcW w:w="500" w:type="dxa"/>
            <w:tcBorders>
              <w:top w:val="nil"/>
              <w:left w:val="nil"/>
              <w:bottom w:val="nil"/>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36%</w:t>
            </w:r>
          </w:p>
        </w:tc>
      </w:tr>
      <w:tr w:rsidR="007617AD">
        <w:trPr>
          <w:trHeight w:val="256"/>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Contrato de suministro</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Electricidad (Costes Fijos)</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17.078,26 €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0,04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2%</w:t>
            </w:r>
          </w:p>
        </w:tc>
      </w:tr>
      <w:tr w:rsidR="007617AD">
        <w:trPr>
          <w:trHeight w:val="257"/>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Propio CIATF</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Inversiones (2)</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65.602,59 €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0,16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9%</w:t>
            </w:r>
          </w:p>
        </w:tc>
      </w:tr>
      <w:tr w:rsidR="007617AD">
        <w:trPr>
          <w:trHeight w:val="256"/>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Contrato de servicios</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Seguimiento medioambiental (3)</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52.108,25 €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0,13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7%</w:t>
            </w:r>
          </w:p>
        </w:tc>
      </w:tr>
      <w:tr w:rsidR="007617AD">
        <w:trPr>
          <w:trHeight w:val="238"/>
        </w:trPr>
        <w:tc>
          <w:tcPr>
            <w:tcW w:w="2720" w:type="dxa"/>
            <w:tcBorders>
              <w:top w:val="nil"/>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sz w:val="19"/>
              </w:rPr>
              <w:t>Contrato de suministro</w:t>
            </w:r>
          </w:p>
        </w:tc>
        <w:tc>
          <w:tcPr>
            <w:tcW w:w="3182" w:type="dxa"/>
            <w:tcBorders>
              <w:top w:val="nil"/>
              <w:left w:val="nil"/>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sz w:val="19"/>
              </w:rPr>
              <w:t>Comunicaciones</w:t>
            </w:r>
          </w:p>
        </w:tc>
        <w:tc>
          <w:tcPr>
            <w:tcW w:w="1078" w:type="dxa"/>
            <w:tcBorders>
              <w:top w:val="nil"/>
              <w:left w:val="nil"/>
              <w:bottom w:val="single" w:sz="10" w:space="0" w:color="000000"/>
              <w:right w:val="nil"/>
            </w:tcBorders>
          </w:tcPr>
          <w:p w:rsidR="007617AD" w:rsidRDefault="00EE75C8">
            <w:pPr>
              <w:spacing w:after="0" w:line="259" w:lineRule="auto"/>
              <w:ind w:left="321" w:firstLine="0"/>
              <w:jc w:val="left"/>
            </w:pPr>
            <w:r>
              <w:rPr>
                <w:rFonts w:ascii="Calibri" w:eastAsia="Calibri" w:hAnsi="Calibri" w:cs="Calibri"/>
                <w:sz w:val="19"/>
              </w:rPr>
              <w:t>801,84 €</w:t>
            </w:r>
          </w:p>
        </w:tc>
        <w:tc>
          <w:tcPr>
            <w:tcW w:w="769" w:type="dxa"/>
            <w:tcBorders>
              <w:top w:val="nil"/>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sz w:val="19"/>
              </w:rPr>
              <w:t xml:space="preserve">    0,00 </w:t>
            </w:r>
          </w:p>
        </w:tc>
        <w:tc>
          <w:tcPr>
            <w:tcW w:w="500" w:type="dxa"/>
            <w:tcBorders>
              <w:top w:val="nil"/>
              <w:left w:val="nil"/>
              <w:bottom w:val="single" w:sz="10" w:space="0" w:color="000000"/>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0%</w:t>
            </w:r>
          </w:p>
        </w:tc>
      </w:tr>
      <w:tr w:rsidR="007617AD">
        <w:trPr>
          <w:trHeight w:val="270"/>
        </w:trPr>
        <w:tc>
          <w:tcPr>
            <w:tcW w:w="2720"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3182" w:type="dxa"/>
            <w:tcBorders>
              <w:top w:val="single" w:sz="10" w:space="0" w:color="000000"/>
              <w:left w:val="single" w:sz="10" w:space="0" w:color="000000"/>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b/>
                <w:sz w:val="19"/>
              </w:rPr>
              <w:t>Subtotal costes fijos</w:t>
            </w:r>
          </w:p>
        </w:tc>
        <w:tc>
          <w:tcPr>
            <w:tcW w:w="1078"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443.342,56 €</w:t>
            </w:r>
          </w:p>
        </w:tc>
        <w:tc>
          <w:tcPr>
            <w:tcW w:w="769"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1,07 </w:t>
            </w:r>
          </w:p>
        </w:tc>
        <w:tc>
          <w:tcPr>
            <w:tcW w:w="500" w:type="dxa"/>
            <w:tcBorders>
              <w:top w:val="single" w:sz="10" w:space="0" w:color="000000"/>
              <w:left w:val="nil"/>
              <w:bottom w:val="single" w:sz="10" w:space="0" w:color="000000"/>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59%</w:t>
            </w:r>
          </w:p>
        </w:tc>
      </w:tr>
      <w:tr w:rsidR="007617AD">
        <w:trPr>
          <w:trHeight w:val="261"/>
        </w:trPr>
        <w:tc>
          <w:tcPr>
            <w:tcW w:w="5902" w:type="dxa"/>
            <w:gridSpan w:val="2"/>
            <w:tcBorders>
              <w:top w:val="single" w:sz="10" w:space="0" w:color="000000"/>
              <w:left w:val="single" w:sz="10" w:space="0" w:color="000000"/>
              <w:bottom w:val="nil"/>
              <w:right w:val="nil"/>
            </w:tcBorders>
          </w:tcPr>
          <w:p w:rsidR="007617AD" w:rsidRDefault="00EE75C8">
            <w:pPr>
              <w:tabs>
                <w:tab w:val="center" w:pos="3872"/>
              </w:tabs>
              <w:spacing w:after="0" w:line="259" w:lineRule="auto"/>
              <w:ind w:left="0" w:firstLine="0"/>
              <w:jc w:val="left"/>
            </w:pPr>
            <w:r>
              <w:rPr>
                <w:rFonts w:ascii="Calibri" w:eastAsia="Calibri" w:hAnsi="Calibri" w:cs="Calibri"/>
                <w:sz w:val="19"/>
              </w:rPr>
              <w:t>Contrato de servicios</w:t>
            </w:r>
            <w:r>
              <w:rPr>
                <w:rFonts w:ascii="Calibri" w:eastAsia="Calibri" w:hAnsi="Calibri" w:cs="Calibri"/>
                <w:sz w:val="19"/>
              </w:rPr>
              <w:tab/>
              <w:t>Operación y mantenimiento</w:t>
            </w:r>
          </w:p>
        </w:tc>
        <w:tc>
          <w:tcPr>
            <w:tcW w:w="1078" w:type="dxa"/>
            <w:tcBorders>
              <w:top w:val="single" w:sz="10" w:space="0" w:color="000000"/>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41.734,83 €</w:t>
            </w:r>
          </w:p>
        </w:tc>
        <w:tc>
          <w:tcPr>
            <w:tcW w:w="769"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w:t>
            </w:r>
            <w:r>
              <w:rPr>
                <w:rFonts w:ascii="Calibri" w:eastAsia="Calibri" w:hAnsi="Calibri" w:cs="Calibri"/>
                <w:sz w:val="19"/>
              </w:rPr>
              <w:t xml:space="preserve">0,10 </w:t>
            </w:r>
          </w:p>
        </w:tc>
        <w:tc>
          <w:tcPr>
            <w:tcW w:w="500" w:type="dxa"/>
            <w:tcBorders>
              <w:top w:val="single" w:sz="10" w:space="0" w:color="000000"/>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6%</w:t>
            </w:r>
          </w:p>
        </w:tc>
      </w:tr>
      <w:tr w:rsidR="007617AD">
        <w:trPr>
          <w:trHeight w:val="257"/>
        </w:trPr>
        <w:tc>
          <w:tcPr>
            <w:tcW w:w="5902" w:type="dxa"/>
            <w:gridSpan w:val="2"/>
            <w:tcBorders>
              <w:top w:val="nil"/>
              <w:left w:val="single" w:sz="10" w:space="0" w:color="000000"/>
              <w:bottom w:val="nil"/>
              <w:right w:val="nil"/>
            </w:tcBorders>
          </w:tcPr>
          <w:p w:rsidR="007617AD" w:rsidRDefault="00EE75C8">
            <w:pPr>
              <w:tabs>
                <w:tab w:val="center" w:pos="3952"/>
              </w:tabs>
              <w:spacing w:after="0" w:line="259" w:lineRule="auto"/>
              <w:ind w:left="0" w:firstLine="0"/>
              <w:jc w:val="left"/>
            </w:pPr>
            <w:r>
              <w:rPr>
                <w:rFonts w:ascii="Calibri" w:eastAsia="Calibri" w:hAnsi="Calibri" w:cs="Calibri"/>
                <w:sz w:val="19"/>
              </w:rPr>
              <w:t>Contrato de suministro</w:t>
            </w:r>
            <w:r>
              <w:rPr>
                <w:rFonts w:ascii="Calibri" w:eastAsia="Calibri" w:hAnsi="Calibri" w:cs="Calibri"/>
                <w:sz w:val="19"/>
              </w:rPr>
              <w:tab/>
              <w:t>Electricidad (Costes Variables)</w:t>
            </w:r>
          </w:p>
        </w:tc>
        <w:tc>
          <w:tcPr>
            <w:tcW w:w="1078"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225.136,31 €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0,54 </w:t>
            </w:r>
          </w:p>
        </w:tc>
        <w:tc>
          <w:tcPr>
            <w:tcW w:w="500" w:type="dxa"/>
            <w:tcBorders>
              <w:top w:val="nil"/>
              <w:left w:val="nil"/>
              <w:bottom w:val="nil"/>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30%</w:t>
            </w:r>
          </w:p>
        </w:tc>
      </w:tr>
      <w:tr w:rsidR="007617AD">
        <w:trPr>
          <w:trHeight w:val="256"/>
        </w:trPr>
        <w:tc>
          <w:tcPr>
            <w:tcW w:w="5902" w:type="dxa"/>
            <w:gridSpan w:val="2"/>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Tasas Cabildo Insular de Tenerife Tasas servicio P.I.R.S. Arico</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44.216,04 €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0,11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6%</w:t>
            </w:r>
          </w:p>
        </w:tc>
      </w:tr>
      <w:tr w:rsidR="007617AD">
        <w:trPr>
          <w:trHeight w:val="239"/>
        </w:trPr>
        <w:tc>
          <w:tcPr>
            <w:tcW w:w="5902" w:type="dxa"/>
            <w:gridSpan w:val="2"/>
            <w:tcBorders>
              <w:top w:val="nil"/>
              <w:left w:val="single" w:sz="10" w:space="0" w:color="000000"/>
              <w:bottom w:val="single" w:sz="10" w:space="0" w:color="000000"/>
              <w:right w:val="nil"/>
            </w:tcBorders>
          </w:tcPr>
          <w:p w:rsidR="007617AD" w:rsidRDefault="00EE75C8">
            <w:pPr>
              <w:tabs>
                <w:tab w:val="center" w:pos="3282"/>
              </w:tabs>
              <w:spacing w:after="0" w:line="259" w:lineRule="auto"/>
              <w:ind w:left="0" w:firstLine="0"/>
              <w:jc w:val="left"/>
            </w:pPr>
            <w:r>
              <w:rPr>
                <w:rFonts w:ascii="Calibri" w:eastAsia="Calibri" w:hAnsi="Calibri" w:cs="Calibri"/>
                <w:sz w:val="19"/>
              </w:rPr>
              <w:t>Tasas municipales</w:t>
            </w:r>
            <w:r>
              <w:rPr>
                <w:rFonts w:ascii="Calibri" w:eastAsia="Calibri" w:hAnsi="Calibri" w:cs="Calibri"/>
                <w:sz w:val="19"/>
              </w:rPr>
              <w:tab/>
              <w:t>Agua servicio</w:t>
            </w:r>
          </w:p>
        </w:tc>
        <w:tc>
          <w:tcPr>
            <w:tcW w:w="1078" w:type="dxa"/>
            <w:tcBorders>
              <w:top w:val="nil"/>
              <w:left w:val="nil"/>
              <w:bottom w:val="single" w:sz="10" w:space="0" w:color="000000"/>
              <w:right w:val="nil"/>
            </w:tcBorders>
          </w:tcPr>
          <w:p w:rsidR="007617AD" w:rsidRDefault="00EE75C8">
            <w:pPr>
              <w:spacing w:after="0" w:line="259" w:lineRule="auto"/>
              <w:ind w:left="500" w:firstLine="0"/>
              <w:jc w:val="left"/>
            </w:pPr>
            <w:r>
              <w:rPr>
                <w:rFonts w:ascii="Calibri" w:eastAsia="Calibri" w:hAnsi="Calibri" w:cs="Calibri"/>
                <w:sz w:val="19"/>
              </w:rPr>
              <w:t>0,00 €</w:t>
            </w:r>
          </w:p>
        </w:tc>
        <w:tc>
          <w:tcPr>
            <w:tcW w:w="769" w:type="dxa"/>
            <w:tcBorders>
              <w:top w:val="nil"/>
              <w:left w:val="nil"/>
              <w:bottom w:val="single" w:sz="10" w:space="0" w:color="000000"/>
              <w:right w:val="nil"/>
            </w:tcBorders>
          </w:tcPr>
          <w:p w:rsidR="007617AD" w:rsidRDefault="00EE75C8">
            <w:pPr>
              <w:tabs>
                <w:tab w:val="center" w:pos="436"/>
              </w:tabs>
              <w:spacing w:after="0" w:line="259" w:lineRule="auto"/>
              <w:ind w:left="0" w:firstLine="0"/>
              <w:jc w:val="left"/>
            </w:pPr>
            <w:r>
              <w:rPr>
                <w:rFonts w:ascii="Calibri" w:eastAsia="Calibri" w:hAnsi="Calibri" w:cs="Calibri"/>
                <w:sz w:val="19"/>
              </w:rPr>
              <w:t xml:space="preserve">      -</w:t>
            </w:r>
            <w:r>
              <w:rPr>
                <w:rFonts w:ascii="Calibri" w:eastAsia="Calibri" w:hAnsi="Calibri" w:cs="Calibri"/>
                <w:sz w:val="19"/>
              </w:rPr>
              <w:tab/>
              <w:t xml:space="preserve"> </w:t>
            </w:r>
          </w:p>
        </w:tc>
        <w:tc>
          <w:tcPr>
            <w:tcW w:w="500" w:type="dxa"/>
            <w:tcBorders>
              <w:top w:val="nil"/>
              <w:left w:val="nil"/>
              <w:bottom w:val="single" w:sz="10" w:space="0" w:color="000000"/>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0%</w:t>
            </w:r>
          </w:p>
        </w:tc>
      </w:tr>
      <w:tr w:rsidR="007617AD">
        <w:trPr>
          <w:trHeight w:val="269"/>
        </w:trPr>
        <w:tc>
          <w:tcPr>
            <w:tcW w:w="2720"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3182" w:type="dxa"/>
            <w:tcBorders>
              <w:top w:val="single" w:sz="10" w:space="0" w:color="000000"/>
              <w:left w:val="single" w:sz="10" w:space="0" w:color="000000"/>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b/>
                <w:sz w:val="19"/>
              </w:rPr>
              <w:t>Subtotal costes variables</w:t>
            </w:r>
          </w:p>
        </w:tc>
        <w:tc>
          <w:tcPr>
            <w:tcW w:w="1078"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311.087,18 €</w:t>
            </w:r>
          </w:p>
        </w:tc>
        <w:tc>
          <w:tcPr>
            <w:tcW w:w="769"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0,75 </w:t>
            </w:r>
          </w:p>
        </w:tc>
        <w:tc>
          <w:tcPr>
            <w:tcW w:w="500" w:type="dxa"/>
            <w:tcBorders>
              <w:top w:val="single" w:sz="10" w:space="0" w:color="000000"/>
              <w:left w:val="nil"/>
              <w:bottom w:val="single" w:sz="10" w:space="0" w:color="000000"/>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41%</w:t>
            </w:r>
          </w:p>
        </w:tc>
      </w:tr>
      <w:tr w:rsidR="007617AD">
        <w:tblPrEx>
          <w:tblCellMar>
            <w:top w:w="61" w:type="dxa"/>
            <w:right w:w="94" w:type="dxa"/>
          </w:tblCellMar>
        </w:tblPrEx>
        <w:trPr>
          <w:gridBefore w:val="1"/>
          <w:wBefore w:w="2720" w:type="dxa"/>
          <w:trHeight w:val="270"/>
        </w:trPr>
        <w:tc>
          <w:tcPr>
            <w:tcW w:w="3182" w:type="dxa"/>
            <w:tcBorders>
              <w:top w:val="single" w:sz="10" w:space="0" w:color="000000"/>
              <w:left w:val="single" w:sz="10" w:space="0" w:color="000000"/>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b/>
                <w:sz w:val="19"/>
              </w:rPr>
              <w:t>COSTES TOTALES</w:t>
            </w:r>
          </w:p>
        </w:tc>
        <w:tc>
          <w:tcPr>
            <w:tcW w:w="1847" w:type="dxa"/>
            <w:gridSpan w:val="2"/>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754.429,74 €    1,81 </w:t>
            </w:r>
          </w:p>
        </w:tc>
        <w:tc>
          <w:tcPr>
            <w:tcW w:w="500" w:type="dxa"/>
            <w:tcBorders>
              <w:top w:val="single" w:sz="10" w:space="0" w:color="000000"/>
              <w:left w:val="nil"/>
              <w:bottom w:val="single" w:sz="10" w:space="0" w:color="000000"/>
              <w:right w:val="single" w:sz="10" w:space="0" w:color="000000"/>
            </w:tcBorders>
          </w:tcPr>
          <w:p w:rsidR="007617AD" w:rsidRDefault="00EE75C8">
            <w:pPr>
              <w:spacing w:after="0" w:line="259" w:lineRule="auto"/>
              <w:ind w:left="0" w:firstLine="0"/>
            </w:pPr>
            <w:r>
              <w:rPr>
                <w:rFonts w:ascii="Calibri" w:eastAsia="Calibri" w:hAnsi="Calibri" w:cs="Calibri"/>
                <w:sz w:val="19"/>
              </w:rPr>
              <w:t>100%</w:t>
            </w:r>
          </w:p>
        </w:tc>
      </w:tr>
    </w:tbl>
    <w:p w:rsidR="007617AD" w:rsidRDefault="00EE75C8">
      <w:pPr>
        <w:numPr>
          <w:ilvl w:val="0"/>
          <w:numId w:val="54"/>
        </w:numPr>
        <w:spacing w:after="41" w:line="259" w:lineRule="auto"/>
        <w:ind w:right="366" w:hanging="217"/>
        <w:jc w:val="left"/>
      </w:pPr>
      <w:r>
        <w:rPr>
          <w:rFonts w:ascii="Calibri" w:eastAsia="Calibri" w:hAnsi="Calibri" w:cs="Calibri"/>
          <w:sz w:val="15"/>
        </w:rPr>
        <w:t>5% sobre gastos fijos y variables a excepción de las Inversiones</w:t>
      </w:r>
    </w:p>
    <w:p w:rsidR="007617AD" w:rsidRDefault="00EE75C8">
      <w:pPr>
        <w:numPr>
          <w:ilvl w:val="0"/>
          <w:numId w:val="54"/>
        </w:numPr>
        <w:spacing w:after="95" w:line="259" w:lineRule="auto"/>
        <w:ind w:right="366" w:hanging="217"/>
        <w:jc w:val="left"/>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300393" name="Group 300393"/>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1861" name="Rectangle 2186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1862" name="Rectangle 21862"/>
                        <wps:cNvSpPr/>
                        <wps:spPr>
                          <a:xfrm rot="-5399999">
                            <a:off x="-2094822" y="1272006"/>
                            <a:ext cx="44552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114 de 192 </w:t>
                              </w:r>
                            </w:p>
                          </w:txbxContent>
                        </wps:txbx>
                        <wps:bodyPr horzOverflow="overflow" vert="horz" lIns="0" tIns="0" rIns="0" bIns="0" rtlCol="0">
                          <a:noAutofit/>
                        </wps:bodyPr>
                      </wps:wsp>
                    </wpg:wgp>
                  </a:graphicData>
                </a:graphic>
              </wp:anchor>
            </w:drawing>
          </mc:Choice>
          <mc:Fallback xmlns:a="http://schemas.openxmlformats.org/drawingml/2006/main">
            <w:pict>
              <v:group id="Group 300393" style="width:12.7031pt;height:280.02pt;position:absolute;mso-position-horizontal-relative:page;mso-position-horizontal:absolute;margin-left:682.278pt;mso-position-vertical-relative:page;margin-top:531.9pt;" coordsize="1613,35562">
                <v:rect id="Rectangle 2186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1862" style="position:absolute;width:44552;height:1132;left:-20948;top:127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192 </w:t>
                        </w:r>
                      </w:p>
                    </w:txbxContent>
                  </v:textbox>
                </v:rect>
                <w10:wrap type="square"/>
              </v:group>
            </w:pict>
          </mc:Fallback>
        </mc:AlternateContent>
      </w:r>
      <w:r>
        <w:rPr>
          <w:rFonts w:ascii="Calibri" w:eastAsia="Calibri" w:hAnsi="Calibri" w:cs="Calibri"/>
          <w:sz w:val="15"/>
        </w:rPr>
        <w:t>10% sobre gastos fijos y variables a excepción de los gastos de gestión y control</w:t>
      </w:r>
    </w:p>
    <w:p w:rsidR="007617AD" w:rsidRDefault="00EE75C8">
      <w:pPr>
        <w:numPr>
          <w:ilvl w:val="0"/>
          <w:numId w:val="54"/>
        </w:numPr>
        <w:spacing w:after="168" w:line="259" w:lineRule="auto"/>
        <w:ind w:right="366" w:hanging="217"/>
        <w:jc w:val="left"/>
      </w:pPr>
      <w:r>
        <w:rPr>
          <w:rFonts w:ascii="Calibri" w:eastAsia="Calibri" w:hAnsi="Calibri" w:cs="Calibri"/>
          <w:sz w:val="15"/>
        </w:rPr>
        <w:t>Realización de los Programas de Vigilancia y Control ambiental.</w:t>
      </w:r>
      <w:r>
        <w:rPr>
          <w:rFonts w:ascii="Calibri" w:eastAsia="Calibri" w:hAnsi="Calibri" w:cs="Calibri"/>
          <w:sz w:val="15"/>
        </w:rPr>
        <w:tab/>
      </w:r>
      <w:r>
        <w:rPr>
          <w:rFonts w:ascii="Times New Roman" w:eastAsia="Times New Roman" w:hAnsi="Times New Roman" w:cs="Times New Roman"/>
          <w:sz w:val="24"/>
        </w:rPr>
        <w:t xml:space="preserve"> </w:t>
      </w:r>
    </w:p>
    <w:p w:rsidR="007617AD" w:rsidRDefault="00EE75C8">
      <w:pPr>
        <w:spacing w:after="0"/>
        <w:ind w:left="703" w:right="62"/>
      </w:pPr>
      <w:r>
        <w:t>Estos costes son estimativos y podrían verse alterados a la baja o al alza en función de varias variables como los costes de la energía eléctrica o los costes de operación y mantenimiento que resulten de los procesos de licitación de los diversos contratos</w:t>
      </w:r>
      <w:r>
        <w:t xml:space="preserve"> asociados o como pudiera ser los cambios normativos en materia de depuración y control de vertidos. </w:t>
      </w:r>
    </w:p>
    <w:p w:rsidR="007617AD" w:rsidRDefault="00EE75C8">
      <w:pPr>
        <w:spacing w:after="0" w:line="259" w:lineRule="auto"/>
        <w:ind w:left="699" w:firstLine="0"/>
        <w:jc w:val="center"/>
      </w:pPr>
      <w:r>
        <w:t xml:space="preserve"> </w:t>
      </w:r>
    </w:p>
    <w:p w:rsidR="007617AD" w:rsidRDefault="00EE75C8">
      <w:pPr>
        <w:spacing w:after="90"/>
        <w:ind w:left="703" w:right="58"/>
      </w:pPr>
      <w:r>
        <w:rPr>
          <w:b/>
        </w:rPr>
        <w:t xml:space="preserve">OCTAVO. - REPARTO DE COSTES FIJOS. </w:t>
      </w:r>
      <w:r>
        <w:rPr>
          <w:rFonts w:ascii="Times New Roman" w:eastAsia="Times New Roman" w:hAnsi="Times New Roman" w:cs="Times New Roman"/>
          <w:sz w:val="24"/>
        </w:rPr>
        <w:t xml:space="preserve"> </w:t>
      </w:r>
    </w:p>
    <w:p w:rsidR="007617AD" w:rsidRDefault="00EE75C8">
      <w:pPr>
        <w:ind w:left="703" w:right="62"/>
      </w:pPr>
      <w:r>
        <w:t xml:space="preserve">En virtud de lo establecido en el expositivo séptimo, el reparto de los costes fijos se realizará en función de la </w:t>
      </w:r>
      <w:r>
        <w:t xml:space="preserve">cuota de participación de cada Ayuntamiento en los costes fijos bajo la premisa de </w:t>
      </w:r>
      <w:r>
        <w:rPr>
          <w:u w:val="single" w:color="000000"/>
        </w:rPr>
        <w:t>proporcionalidad entre la cuota de tratamiento asignada por municipio y los costes fijos de cada</w:t>
      </w:r>
      <w:r>
        <w:t xml:space="preserve"> </w:t>
      </w:r>
      <w:r>
        <w:rPr>
          <w:u w:val="single" w:color="000000"/>
        </w:rPr>
        <w:t>una de las instalaciones.</w:t>
      </w:r>
      <w:r>
        <w:rPr>
          <w:rFonts w:ascii="Times New Roman" w:eastAsia="Times New Roman" w:hAnsi="Times New Roman" w:cs="Times New Roman"/>
          <w:sz w:val="24"/>
        </w:rPr>
        <w:t xml:space="preserve"> </w:t>
      </w:r>
    </w:p>
    <w:p w:rsidR="007617AD" w:rsidRDefault="00EE75C8">
      <w:pPr>
        <w:numPr>
          <w:ilvl w:val="0"/>
          <w:numId w:val="55"/>
        </w:numPr>
        <w:spacing w:after="111" w:line="249" w:lineRule="auto"/>
        <w:ind w:hanging="360"/>
        <w:jc w:val="left"/>
      </w:pPr>
      <w:r>
        <w:rPr>
          <w:u w:val="single" w:color="000000"/>
        </w:rPr>
        <w:t>Servicio de depuración de aguas residuales urbana</w:t>
      </w:r>
      <w:r>
        <w:rPr>
          <w:u w:val="single" w:color="000000"/>
        </w:rPr>
        <w:t>s</w:t>
      </w:r>
      <w:r>
        <w:t xml:space="preserve"> </w:t>
      </w:r>
    </w:p>
    <w:p w:rsidR="007617AD" w:rsidRDefault="00EE75C8">
      <w:pPr>
        <w:spacing w:after="27" w:line="259" w:lineRule="auto"/>
        <w:ind w:left="690" w:firstLine="0"/>
        <w:jc w:val="center"/>
      </w:pPr>
      <w:r>
        <w:rPr>
          <w:noProof/>
        </w:rPr>
        <w:drawing>
          <wp:inline distT="0" distB="0" distL="0" distR="0">
            <wp:extent cx="2281428" cy="1030224"/>
            <wp:effectExtent l="0" t="0" r="0" b="0"/>
            <wp:docPr id="21858" name="Picture 21858"/>
            <wp:cNvGraphicFramePr/>
            <a:graphic xmlns:a="http://schemas.openxmlformats.org/drawingml/2006/main">
              <a:graphicData uri="http://schemas.openxmlformats.org/drawingml/2006/picture">
                <pic:pic xmlns:pic="http://schemas.openxmlformats.org/drawingml/2006/picture">
                  <pic:nvPicPr>
                    <pic:cNvPr id="21858" name="Picture 21858"/>
                    <pic:cNvPicPr/>
                  </pic:nvPicPr>
                  <pic:blipFill>
                    <a:blip r:embed="rId14"/>
                    <a:stretch>
                      <a:fillRect/>
                    </a:stretch>
                  </pic:blipFill>
                  <pic:spPr>
                    <a:xfrm>
                      <a:off x="0" y="0"/>
                      <a:ext cx="2281428" cy="1030224"/>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numPr>
          <w:ilvl w:val="0"/>
          <w:numId w:val="55"/>
        </w:numPr>
        <w:spacing w:after="111" w:line="249" w:lineRule="auto"/>
        <w:ind w:hanging="360"/>
        <w:jc w:val="left"/>
      </w:pPr>
      <w:r>
        <w:rPr>
          <w:u w:val="single" w:color="000000"/>
        </w:rPr>
        <w:t>Servicio de depuración de aguas residuales industriales</w:t>
      </w:r>
      <w:r>
        <w:t xml:space="preserve"> </w:t>
      </w:r>
    </w:p>
    <w:p w:rsidR="007617AD" w:rsidRDefault="00EE75C8">
      <w:pPr>
        <w:spacing w:after="43" w:line="259" w:lineRule="auto"/>
        <w:ind w:left="693" w:firstLine="0"/>
        <w:jc w:val="center"/>
      </w:pPr>
      <w:r>
        <w:rPr>
          <w:noProof/>
        </w:rPr>
        <w:drawing>
          <wp:inline distT="0" distB="0" distL="0" distR="0">
            <wp:extent cx="2304288" cy="883920"/>
            <wp:effectExtent l="0" t="0" r="0" b="0"/>
            <wp:docPr id="22064" name="Picture 22064"/>
            <wp:cNvGraphicFramePr/>
            <a:graphic xmlns:a="http://schemas.openxmlformats.org/drawingml/2006/main">
              <a:graphicData uri="http://schemas.openxmlformats.org/drawingml/2006/picture">
                <pic:pic xmlns:pic="http://schemas.openxmlformats.org/drawingml/2006/picture">
                  <pic:nvPicPr>
                    <pic:cNvPr id="22064" name="Picture 22064"/>
                    <pic:cNvPicPr/>
                  </pic:nvPicPr>
                  <pic:blipFill>
                    <a:blip r:embed="rId15"/>
                    <a:stretch>
                      <a:fillRect/>
                    </a:stretch>
                  </pic:blipFill>
                  <pic:spPr>
                    <a:xfrm>
                      <a:off x="0" y="0"/>
                      <a:ext cx="2304288" cy="883920"/>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ind w:left="703" w:right="62"/>
      </w:pPr>
      <w:r>
        <w:t xml:space="preserve">A tal efecto, de conformidad con lo expuesto, las partes acuerdan suscribir el presente convenio sobre la base de las siguientes: </w:t>
      </w:r>
    </w:p>
    <w:p w:rsidR="007617AD" w:rsidRDefault="00EE75C8">
      <w:pPr>
        <w:spacing w:after="0" w:line="259" w:lineRule="auto"/>
        <w:ind w:left="708" w:firstLine="0"/>
        <w:jc w:val="left"/>
      </w:pPr>
      <w:r>
        <w:rPr>
          <w:b/>
        </w:rPr>
        <w:t xml:space="preserve"> </w:t>
      </w:r>
    </w:p>
    <w:p w:rsidR="007617AD" w:rsidRDefault="00EE75C8">
      <w:pPr>
        <w:pStyle w:val="Ttulo3"/>
        <w:spacing w:after="215"/>
        <w:ind w:left="643"/>
        <w:jc w:val="center"/>
      </w:pPr>
      <w:r>
        <w:rPr>
          <w:rFonts w:ascii="Arial" w:eastAsia="Arial" w:hAnsi="Arial" w:cs="Arial"/>
          <w:sz w:val="22"/>
          <w:u w:val="single" w:color="000000"/>
        </w:rPr>
        <w:t>CLÁUSULAS</w:t>
      </w:r>
      <w:r>
        <w:rPr>
          <w:rFonts w:ascii="Arial" w:eastAsia="Arial" w:hAnsi="Arial" w:cs="Arial"/>
          <w:sz w:val="22"/>
        </w:rPr>
        <w:t xml:space="preserve"> </w:t>
      </w:r>
    </w:p>
    <w:p w:rsidR="007617AD" w:rsidRDefault="00EE75C8">
      <w:pPr>
        <w:spacing w:after="234"/>
        <w:ind w:left="703" w:right="58"/>
      </w:pPr>
      <w:r>
        <w:rPr>
          <w:b/>
        </w:rPr>
        <w:t xml:space="preserve">PRIMERA. - OBJETO DEL CONVENIO. </w:t>
      </w:r>
    </w:p>
    <w:p w:rsidR="007617AD" w:rsidRDefault="00EE75C8">
      <w:pPr>
        <w:ind w:left="703" w:right="62"/>
      </w:pPr>
      <w:r>
        <w:t>Es objeto del presente Convenio establecer las bases de colaboración entre el Consejo Insular de Aguas de Tenerife (CIATF) y los Ayuntamientos de Candelaria, Arafo y Güímar, para la gestión conjunta por el CIATF de las infraestructuras de depuración y vert</w:t>
      </w:r>
      <w:r>
        <w:t xml:space="preserve">ido integradas en los Sistemas Territoriales de Saneamiento del Valle de Güímar y del Polígono Industrial del Valle de Güímar, que se identifican a continuación, con el fin de garantizar el servicio público de depuración y tratamiento de aguas residuales, </w:t>
      </w:r>
      <w:r>
        <w:t>de origen urbano e industrial, procedentes de los núcleos de población identificados en la presente cláusula, y cumplir con las obligaciones medioambientales y de calidad del agua residual, dimanantes de la Directiva 271/91, del RD Ley 11/95 que la traspon</w:t>
      </w:r>
      <w:r>
        <w:t xml:space="preserve">e a nuestro ordenamiento jurídico y del Real Decreto 509/1996 que lo desarrolla: </w:t>
      </w:r>
    </w:p>
    <w:p w:rsidR="007617AD" w:rsidRDefault="00EE75C8">
      <w:pPr>
        <w:numPr>
          <w:ilvl w:val="0"/>
          <w:numId w:val="56"/>
        </w:numPr>
        <w:spacing w:after="91"/>
        <w:ind w:right="62" w:hanging="360"/>
      </w:pPr>
      <w:r>
        <w:t xml:space="preserve">EDARU:  Estación Depuradora de Aguas Residuales Urbanas. </w:t>
      </w:r>
    </w:p>
    <w:p w:rsidR="007617AD" w:rsidRDefault="00EE75C8">
      <w:pPr>
        <w:numPr>
          <w:ilvl w:val="0"/>
          <w:numId w:val="56"/>
        </w:numPr>
        <w:spacing w:after="91"/>
        <w:ind w:right="62" w:hanging="360"/>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1122" name="Group 27112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2067" name="Rectangle 2206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2068" name="Rectangle 22068"/>
                        <wps:cNvSpPr/>
                        <wps:spPr>
                          <a:xfrm rot="-5399999">
                            <a:off x="-2094822" y="1272006"/>
                            <a:ext cx="4455272" cy="113224"/>
                          </a:xfrm>
                          <a:prstGeom prst="rect">
                            <a:avLst/>
                          </a:prstGeom>
                          <a:ln>
                            <a:noFill/>
                          </a:ln>
                        </wps:spPr>
                        <wps:txbx>
                          <w:txbxContent>
                            <w:p w:rsidR="007617AD" w:rsidRDefault="00EE75C8">
                              <w:pPr>
                                <w:spacing w:after="160" w:line="259" w:lineRule="auto"/>
                                <w:ind w:left="0" w:firstLine="0"/>
                                <w:jc w:val="left"/>
                              </w:pPr>
                              <w:r>
                                <w:rPr>
                                  <w:sz w:val="12"/>
                                </w:rPr>
                                <w:t>Documento fir</w:t>
                              </w:r>
                              <w:r>
                                <w:rPr>
                                  <w:sz w:val="12"/>
                                </w:rPr>
                                <w:t xml:space="preserve">mado electrónicamente desde la plataforma esPublico Gestiona | Página 115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1122" style="width:12.7031pt;height:280.02pt;position:absolute;mso-position-horizontal-relative:page;mso-position-horizontal:absolute;margin-left:682.278pt;mso-position-vertical-relative:page;margin-top:531.9pt;" coordsize="1613,35562">
                <v:rect id="Rectangle 2206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2068" style="position:absolute;width:44552;height:1132;left:-20948;top:127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192 </w:t>
                        </w:r>
                      </w:p>
                    </w:txbxContent>
                  </v:textbox>
                </v:rect>
                <w10:wrap type="square"/>
              </v:group>
            </w:pict>
          </mc:Fallback>
        </mc:AlternateContent>
      </w:r>
      <w:r>
        <w:t xml:space="preserve">EDARI: Estación Depuradora de Aguas Residuales Industriales. </w:t>
      </w:r>
    </w:p>
    <w:p w:rsidR="007617AD" w:rsidRDefault="00EE75C8">
      <w:pPr>
        <w:numPr>
          <w:ilvl w:val="0"/>
          <w:numId w:val="56"/>
        </w:numPr>
        <w:ind w:right="62" w:hanging="360"/>
      </w:pPr>
      <w:r>
        <w:t xml:space="preserve">Emisario terrestre y emisario submarino del Valle de Güímar. </w:t>
      </w:r>
    </w:p>
    <w:p w:rsidR="007617AD" w:rsidRDefault="00EE75C8">
      <w:pPr>
        <w:numPr>
          <w:ilvl w:val="0"/>
          <w:numId w:val="56"/>
        </w:numPr>
        <w:spacing w:after="93"/>
        <w:ind w:right="62" w:hanging="360"/>
      </w:pPr>
      <w:r>
        <w:t>Estaciones de Bombeo, colectores y conducciones de</w:t>
      </w:r>
      <w:r>
        <w:t xml:space="preserve"> transporte de carácter supramunicipal que se determinen por la Comisión de Seguimiento durante la vigencia del convenio, cuya inclusión requerirá la modificación del convenio que deberá plasmarse en la correspondiente Adenda.</w:t>
      </w:r>
      <w:r>
        <w:rPr>
          <w:rFonts w:ascii="Times New Roman" w:eastAsia="Times New Roman" w:hAnsi="Times New Roman" w:cs="Times New Roman"/>
          <w:sz w:val="24"/>
        </w:rPr>
        <w:t xml:space="preserve"> </w:t>
      </w:r>
    </w:p>
    <w:p w:rsidR="007617AD" w:rsidRDefault="00EE75C8">
      <w:pPr>
        <w:ind w:left="703" w:right="62"/>
      </w:pPr>
      <w:r>
        <w:t>Sin perjuicio de lo anterior</w:t>
      </w:r>
      <w:r>
        <w:t>, previa conformidad de las partes, se podrá ampliar el objeto del presente convenio extendiéndolo a otras infraestructuras necesarias para la depuración y vertido de las aguas residuales generadas en el marco del presente Sistema Territorial, modificación</w:t>
      </w:r>
      <w:r>
        <w:t xml:space="preserve"> que deberá plasmarse en la correspondiente Adenda en la que se describirán las nuevas infraestructuras que se añadan. </w:t>
      </w:r>
    </w:p>
    <w:p w:rsidR="007617AD" w:rsidRDefault="00EE75C8">
      <w:pPr>
        <w:spacing w:after="203"/>
        <w:ind w:left="703" w:right="62"/>
      </w:pPr>
      <w:r>
        <w:t xml:space="preserve">A los efectos de lo señalado anteriormente, a continuación, se relacionan los núcleos de población incluidos en el ámbito del presente convenio (Anexo X del vigente PHDHT): </w:t>
      </w:r>
    </w:p>
    <w:p w:rsidR="007617AD" w:rsidRDefault="00EE75C8">
      <w:pPr>
        <w:numPr>
          <w:ilvl w:val="0"/>
          <w:numId w:val="58"/>
        </w:numPr>
        <w:spacing w:after="144"/>
        <w:ind w:right="62" w:hanging="360"/>
      </w:pPr>
      <w:r>
        <w:t xml:space="preserve">Arafo-Güímar </w:t>
      </w:r>
      <w:r>
        <w:tab/>
        <w:t>Norte-</w:t>
      </w:r>
      <w:r>
        <w:t xml:space="preserve">Polígono </w:t>
      </w:r>
      <w:r>
        <w:tab/>
        <w:t xml:space="preserve">Industrial </w:t>
      </w:r>
      <w:r>
        <w:tab/>
        <w:t xml:space="preserve">(Nº </w:t>
      </w:r>
      <w:r>
        <w:tab/>
        <w:t xml:space="preserve">identificativo </w:t>
      </w:r>
      <w:r>
        <w:tab/>
        <w:t xml:space="preserve">de </w:t>
      </w:r>
      <w:r>
        <w:tab/>
        <w:t xml:space="preserve">la </w:t>
      </w:r>
      <w:r>
        <w:tab/>
        <w:t>aglomeración ES5380040130834)</w:t>
      </w:r>
      <w:r>
        <w:rPr>
          <w:rFonts w:ascii="Times New Roman" w:eastAsia="Times New Roman" w:hAnsi="Times New Roman" w:cs="Times New Roman"/>
          <w:sz w:val="24"/>
        </w:rPr>
        <w:t xml:space="preserve"> </w:t>
      </w:r>
    </w:p>
    <w:p w:rsidR="007617AD" w:rsidRDefault="00EE75C8">
      <w:pPr>
        <w:numPr>
          <w:ilvl w:val="0"/>
          <w:numId w:val="58"/>
        </w:numPr>
        <w:ind w:right="62" w:hanging="360"/>
      </w:pPr>
      <w:r>
        <w:t>Güímar Sur-Puertito (Nº identificativo de la aglomeración ES5380200130835)</w:t>
      </w:r>
      <w:r>
        <w:rPr>
          <w:rFonts w:ascii="Times New Roman" w:eastAsia="Times New Roman" w:hAnsi="Times New Roman" w:cs="Times New Roman"/>
          <w:sz w:val="24"/>
        </w:rPr>
        <w:t xml:space="preserve"> </w:t>
      </w:r>
    </w:p>
    <w:p w:rsidR="007617AD" w:rsidRDefault="00EE75C8">
      <w:pPr>
        <w:numPr>
          <w:ilvl w:val="0"/>
          <w:numId w:val="58"/>
        </w:numPr>
        <w:ind w:right="62" w:hanging="360"/>
      </w:pPr>
      <w:r>
        <w:t>Candelaria - Caletillas (Nº identificativo de la aglomeración ES5380110130831)</w:t>
      </w:r>
      <w:r>
        <w:rPr>
          <w:rFonts w:ascii="Times New Roman" w:eastAsia="Times New Roman" w:hAnsi="Times New Roman" w:cs="Times New Roman"/>
          <w:sz w:val="24"/>
        </w:rPr>
        <w:t xml:space="preserve"> </w:t>
      </w:r>
    </w:p>
    <w:p w:rsidR="007617AD" w:rsidRDefault="00EE75C8">
      <w:pPr>
        <w:numPr>
          <w:ilvl w:val="0"/>
          <w:numId w:val="58"/>
        </w:numPr>
        <w:ind w:right="62" w:hanging="360"/>
      </w:pPr>
      <w:r>
        <w:t>Candelaria - Casco</w:t>
      </w:r>
      <w:r>
        <w:t xml:space="preserve"> (Nº identificativo de la aglomeración ES5380110130832)</w:t>
      </w:r>
      <w:r>
        <w:rPr>
          <w:rFonts w:ascii="Times New Roman" w:eastAsia="Times New Roman" w:hAnsi="Times New Roman" w:cs="Times New Roman"/>
          <w:sz w:val="24"/>
        </w:rPr>
        <w:t xml:space="preserve"> </w:t>
      </w:r>
    </w:p>
    <w:p w:rsidR="007617AD" w:rsidRDefault="00EE75C8">
      <w:pPr>
        <w:numPr>
          <w:ilvl w:val="0"/>
          <w:numId w:val="58"/>
        </w:numPr>
        <w:ind w:right="62" w:hanging="360"/>
      </w:pPr>
      <w:r>
        <w:t>Candelaria - Punta Larga (Nº identificativo de la aglomeración ES5380110130833)</w:t>
      </w:r>
      <w:r>
        <w:rPr>
          <w:rFonts w:ascii="Times New Roman" w:eastAsia="Times New Roman" w:hAnsi="Times New Roman" w:cs="Times New Roman"/>
          <w:sz w:val="24"/>
        </w:rPr>
        <w:t xml:space="preserve"> </w:t>
      </w:r>
    </w:p>
    <w:p w:rsidR="007617AD" w:rsidRDefault="00EE75C8">
      <w:pPr>
        <w:numPr>
          <w:ilvl w:val="0"/>
          <w:numId w:val="58"/>
        </w:numPr>
        <w:spacing w:after="213"/>
        <w:ind w:right="62" w:hanging="360"/>
      </w:pPr>
      <w:r>
        <w:t>Barranco Hondo en el T.M de Candelaria con Nº identificativo de la aglomeración ES5380110130725)</w:t>
      </w:r>
      <w:r>
        <w:rPr>
          <w:rFonts w:ascii="Times New Roman" w:eastAsia="Times New Roman" w:hAnsi="Times New Roman" w:cs="Times New Roman"/>
          <w:sz w:val="24"/>
        </w:rPr>
        <w:t xml:space="preserve"> </w:t>
      </w:r>
    </w:p>
    <w:p w:rsidR="007617AD" w:rsidRDefault="00EE75C8">
      <w:pPr>
        <w:ind w:left="642" w:right="58"/>
      </w:pPr>
      <w:r>
        <w:rPr>
          <w:b/>
        </w:rPr>
        <w:t>SEGUNDA. -  OBLIGACI</w:t>
      </w:r>
      <w:r>
        <w:rPr>
          <w:b/>
        </w:rPr>
        <w:t xml:space="preserve">ONES DEL CONSEJO INSULAR DE AGUAS DE TENERIFE. </w:t>
      </w:r>
    </w:p>
    <w:p w:rsidR="007617AD" w:rsidRDefault="00EE75C8">
      <w:pPr>
        <w:spacing w:after="137"/>
        <w:ind w:left="703" w:right="58"/>
      </w:pPr>
      <w:r>
        <w:rPr>
          <w:b/>
        </w:rPr>
        <w:t>El Consejo Insular de Aguas de Tenerife (CIATF) se compromete a gestionar, en colaboración con los Ayuntamientos de Candelaria, Arafo y Güímar, las infraestructuras identificadas en la cláusula primera integr</w:t>
      </w:r>
      <w:r>
        <w:rPr>
          <w:b/>
        </w:rPr>
        <w:t xml:space="preserve">adas en los Sistemas Territoriales de depuración, regeneración y vertido del Valle de Güimar y Polígono Industrial de Güímar, y en los términos siguientes: </w:t>
      </w:r>
    </w:p>
    <w:p w:rsidR="007617AD" w:rsidRDefault="00EE75C8">
      <w:pPr>
        <w:numPr>
          <w:ilvl w:val="0"/>
          <w:numId w:val="57"/>
        </w:numPr>
        <w:spacing w:after="134"/>
        <w:ind w:right="62" w:hanging="360"/>
      </w:pPr>
      <w:r>
        <w:t xml:space="preserve">La forma de gestión podrá ser, total o parcialmente, cualquiera de las previstas en la legislación </w:t>
      </w:r>
      <w:r>
        <w:t xml:space="preserve">vigente (por sus propios medios; celebrando contratos de servicios, suministros y obras; mediante órgano especial, convenio con otras administraciones, encomienda a medios propios; etc.) </w:t>
      </w:r>
    </w:p>
    <w:p w:rsidR="007617AD" w:rsidRDefault="00EE75C8">
      <w:pPr>
        <w:numPr>
          <w:ilvl w:val="0"/>
          <w:numId w:val="57"/>
        </w:numPr>
        <w:spacing w:after="137"/>
        <w:ind w:right="62" w:hanging="360"/>
      </w:pPr>
      <w:r>
        <w:t>Todos los costes generados por el sistema, incluso gestión, control,</w:t>
      </w:r>
      <w:r>
        <w:t xml:space="preserve"> mantenimiento, consumos, reposiciones e inversiones complementarias, serán sufragados por los perceptores.  </w:t>
      </w:r>
    </w:p>
    <w:p w:rsidR="007617AD" w:rsidRDefault="00EE75C8">
      <w:pPr>
        <w:numPr>
          <w:ilvl w:val="0"/>
          <w:numId w:val="57"/>
        </w:numPr>
        <w:spacing w:after="134"/>
        <w:ind w:right="62" w:hanging="360"/>
      </w:pPr>
      <w:r>
        <w:t>Los contratos de suministros, servicios, asistencias técnicas y obras e inversiones complementarias que celebre el CIATF en relación con la gestió</w:t>
      </w:r>
      <w:r>
        <w:t xml:space="preserve">n de este sistema y tengan repercusión en sus costes, se someterán previamente a la Comisión de Seguimiento, en los términos previstos en la estipulación sexta. </w:t>
      </w:r>
    </w:p>
    <w:p w:rsidR="007617AD" w:rsidRDefault="00EE75C8">
      <w:pPr>
        <w:numPr>
          <w:ilvl w:val="0"/>
          <w:numId w:val="57"/>
        </w:numPr>
        <w:spacing w:after="149"/>
        <w:ind w:right="62" w:hanging="360"/>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2648" name="Group 27264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2198" name="Rectangle 2219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2199" name="Rectangle 22199"/>
                        <wps:cNvSpPr/>
                        <wps:spPr>
                          <a:xfrm rot="-5399999">
                            <a:off x="-2094822" y="1272006"/>
                            <a:ext cx="44552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116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2648" style="width:12.7031pt;height:280.02pt;position:absolute;mso-position-horizontal-relative:page;mso-position-horizontal:absolute;margin-left:682.278pt;mso-position-vertical-relative:page;margin-top:531.9pt;" coordsize="1613,35562">
                <v:rect id="Rectangle 2219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2199" style="position:absolute;width:44552;height:1132;left:-20948;top:127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192 </w:t>
                        </w:r>
                      </w:p>
                    </w:txbxContent>
                  </v:textbox>
                </v:rect>
                <w10:wrap type="square"/>
              </v:group>
            </w:pict>
          </mc:Fallback>
        </mc:AlternateContent>
      </w:r>
      <w:r>
        <w:t>A través de sus servicios técnicos y los mecanismos de contro</w:t>
      </w:r>
      <w:r>
        <w:t xml:space="preserve">l que resulten más procedentes el CIATF procurará en todo momento garantizar que no se produzcan efectos medioambientales o sanitarios inadmisibles a tenor de la normativa vigente que sea de aplicación.  </w:t>
      </w:r>
    </w:p>
    <w:p w:rsidR="007617AD" w:rsidRDefault="00EE75C8">
      <w:pPr>
        <w:numPr>
          <w:ilvl w:val="0"/>
          <w:numId w:val="57"/>
        </w:numPr>
        <w:spacing w:after="5"/>
        <w:ind w:right="62" w:hanging="360"/>
      </w:pPr>
      <w:r>
        <w:t>El efluente regenerado procedente de la Estación De</w:t>
      </w:r>
      <w:r>
        <w:t>puradora de Aguas Residuales Urbanas (EDARu) se entregará en su totalidad a la Entidad Pública Empresarial Local Balsas de Tenerife (BALTEN) para su destino al servicio público de suministro de agua para riego gestionado por dicha entidad. Ello sin perjuic</w:t>
      </w:r>
      <w:r>
        <w:t>io de que, por parte de esta EPEL, conforme al acuerdo que se formalice con los Ayuntamientos, se entreguen</w:t>
      </w:r>
      <w:r>
        <w:rPr>
          <w:i/>
        </w:rPr>
        <w:t xml:space="preserve"> </w:t>
      </w:r>
      <w:r>
        <w:t>los caudales disponibles con destino a los usos y servicios urbanos de aguas regeneradas, cuyo reparto por municipio se realizará de acuerdo a los c</w:t>
      </w:r>
      <w:r>
        <w:t>audales aportados.</w:t>
      </w:r>
      <w:r>
        <w:rPr>
          <w:rFonts w:ascii="Times New Roman" w:eastAsia="Times New Roman" w:hAnsi="Times New Roman" w:cs="Times New Roman"/>
          <w:sz w:val="24"/>
        </w:rPr>
        <w:t xml:space="preserve"> </w:t>
      </w:r>
    </w:p>
    <w:p w:rsidR="007617AD" w:rsidRDefault="00EE75C8">
      <w:pPr>
        <w:spacing w:after="12" w:line="259" w:lineRule="auto"/>
        <w:ind w:left="1068" w:firstLine="0"/>
        <w:jc w:val="left"/>
      </w:pPr>
      <w:r>
        <w:rPr>
          <w:rFonts w:ascii="Times New Roman" w:eastAsia="Times New Roman" w:hAnsi="Times New Roman" w:cs="Times New Roman"/>
          <w:sz w:val="24"/>
        </w:rPr>
        <w:t xml:space="preserve"> </w:t>
      </w:r>
    </w:p>
    <w:p w:rsidR="007617AD" w:rsidRDefault="00EE75C8">
      <w:pPr>
        <w:numPr>
          <w:ilvl w:val="0"/>
          <w:numId w:val="57"/>
        </w:numPr>
        <w:spacing w:after="5"/>
        <w:ind w:right="62" w:hanging="360"/>
      </w:pPr>
      <w:r>
        <w:t xml:space="preserve">Salvo acuerdo expreso y unánime en contrario, la recepción de las aguas residuales brutas de </w:t>
      </w:r>
      <w:r>
        <w:rPr>
          <w:u w:val="single" w:color="000000"/>
        </w:rPr>
        <w:t>origen urbano</w:t>
      </w:r>
      <w:r>
        <w:t xml:space="preserve"> se efectuará en los puntos determinados en el plano del anexo I, así como en los nuevos puntos o estaciones de bombeo por desar</w:t>
      </w:r>
      <w:r>
        <w:t xml:space="preserve">rollar, que sean determinados previa conformidad de las partes, y que deberán plasmarse en la correspondiente Adenda, en la que se detallarán las infraestructuras. </w:t>
      </w:r>
      <w:r>
        <w:rPr>
          <w:rFonts w:ascii="Times New Roman" w:eastAsia="Times New Roman" w:hAnsi="Times New Roman" w:cs="Times New Roman"/>
          <w:sz w:val="24"/>
        </w:rPr>
        <w:t xml:space="preserve"> </w:t>
      </w:r>
    </w:p>
    <w:p w:rsidR="007617AD" w:rsidRDefault="00EE75C8">
      <w:pPr>
        <w:spacing w:after="0" w:line="259" w:lineRule="auto"/>
        <w:ind w:left="1428" w:firstLine="0"/>
        <w:jc w:val="left"/>
      </w:pPr>
      <w:r>
        <w:rPr>
          <w:rFonts w:ascii="Times New Roman" w:eastAsia="Times New Roman" w:hAnsi="Times New Roman" w:cs="Times New Roman"/>
          <w:sz w:val="24"/>
        </w:rPr>
        <w:t xml:space="preserve"> </w:t>
      </w:r>
    </w:p>
    <w:p w:rsidR="007617AD" w:rsidRDefault="00EE75C8">
      <w:pPr>
        <w:numPr>
          <w:ilvl w:val="0"/>
          <w:numId w:val="57"/>
        </w:numPr>
        <w:spacing w:after="7"/>
        <w:ind w:right="62" w:hanging="360"/>
      </w:pPr>
      <w:r>
        <w:t>Salvo acuerdo expreso y unánime en contrario, la recepción de las aguas residuales bruta</w:t>
      </w:r>
      <w:r>
        <w:t xml:space="preserve">s de </w:t>
      </w:r>
      <w:r>
        <w:rPr>
          <w:u w:val="single" w:color="000000"/>
        </w:rPr>
        <w:t>origen industrial</w:t>
      </w:r>
      <w:r>
        <w:t xml:space="preserve"> se efectuará en los puntos determinados en el plano del anexo II, así como en los nuevos puntos por desarrollar, que sean determinados previa conformidad de las partes, y que deberán plasmarse en la correspondiente Adenda, en la que </w:t>
      </w:r>
      <w:r>
        <w:t>se detallarán las infraestructuras. A tal efecto el volumen de caudal que corresponda a cada Ayuntamiento, vendrá determinado por las lecturas de los caudalímetros a implantar. Transitoriamente, hasta la instalación de estos caudalímetros, los volúmenes se</w:t>
      </w:r>
      <w:r>
        <w:t xml:space="preserve">rán estimados por el CIATF de acuerdo con los Ayuntamientos. </w:t>
      </w:r>
      <w:r>
        <w:rPr>
          <w:rFonts w:ascii="Times New Roman" w:eastAsia="Times New Roman" w:hAnsi="Times New Roman" w:cs="Times New Roman"/>
          <w:sz w:val="24"/>
        </w:rPr>
        <w:t xml:space="preserve"> </w:t>
      </w:r>
    </w:p>
    <w:p w:rsidR="007617AD" w:rsidRDefault="00EE75C8">
      <w:pPr>
        <w:spacing w:after="0" w:line="259" w:lineRule="auto"/>
        <w:ind w:left="1428" w:firstLine="0"/>
        <w:jc w:val="left"/>
      </w:pPr>
      <w:r>
        <w:rPr>
          <w:rFonts w:ascii="Times New Roman" w:eastAsia="Times New Roman" w:hAnsi="Times New Roman" w:cs="Times New Roman"/>
          <w:sz w:val="24"/>
        </w:rPr>
        <w:t xml:space="preserve"> </w:t>
      </w:r>
    </w:p>
    <w:p w:rsidR="007617AD" w:rsidRDefault="00EE75C8">
      <w:pPr>
        <w:numPr>
          <w:ilvl w:val="0"/>
          <w:numId w:val="57"/>
        </w:numPr>
        <w:spacing w:after="5"/>
        <w:ind w:right="62" w:hanging="360"/>
      </w:pPr>
      <w:r>
        <w:t>El servicio de control de vertidos al Sistema se incluirá entre sus costes mediante el correspondiente contrato específico que se formalizará una vez se disponga de los datos de explotación d</w:t>
      </w:r>
      <w:r>
        <w:t xml:space="preserve">e la Estación Depuradora de Aguas Residuales Industriales (EDARi) durante el período de un año. La elaboración de los criterios de control privilegiará la trazabilidad de los posibles incumplimientos a través de las lecturas de los sensores especializados </w:t>
      </w:r>
      <w:r>
        <w:t xml:space="preserve">que se dispondrán en la línea de proceso y de los diagnósticos que se operarán en las redes municipales. </w:t>
      </w:r>
      <w:r>
        <w:rPr>
          <w:rFonts w:ascii="Times New Roman" w:eastAsia="Times New Roman" w:hAnsi="Times New Roman" w:cs="Times New Roman"/>
          <w:sz w:val="24"/>
        </w:rPr>
        <w:t xml:space="preserve"> </w:t>
      </w:r>
    </w:p>
    <w:p w:rsidR="007617AD" w:rsidRDefault="00EE75C8">
      <w:pPr>
        <w:spacing w:after="0" w:line="259" w:lineRule="auto"/>
        <w:ind w:left="1428" w:firstLine="0"/>
        <w:jc w:val="left"/>
      </w:pPr>
      <w:r>
        <w:rPr>
          <w:color w:val="00B050"/>
        </w:rPr>
        <w:t xml:space="preserve"> </w:t>
      </w:r>
      <w:r>
        <w:rPr>
          <w:rFonts w:ascii="Times New Roman" w:eastAsia="Times New Roman" w:hAnsi="Times New Roman" w:cs="Times New Roman"/>
          <w:sz w:val="24"/>
        </w:rPr>
        <w:t xml:space="preserve"> </w:t>
      </w:r>
    </w:p>
    <w:p w:rsidR="007617AD" w:rsidRDefault="00EE75C8">
      <w:pPr>
        <w:numPr>
          <w:ilvl w:val="0"/>
          <w:numId w:val="57"/>
        </w:numPr>
        <w:spacing w:after="0"/>
        <w:ind w:right="62" w:hanging="360"/>
      </w:pPr>
      <w:r>
        <w:t>Una vez que cada una de las Estaciones Depuradoras sea recibida para su normal funcionamiento y entre en operación, de conformidad con las Fases t</w:t>
      </w:r>
      <w:r>
        <w:t xml:space="preserve">emporales reguladas en la cláusula séptima, el Consejo Insular de Aguas, emitirá mensualmente a cada Ayuntamiento las correspondientes notas de cargo con los gastos que correspondan de cada una de las dos estaciones con el criterio siguiente: </w:t>
      </w:r>
    </w:p>
    <w:p w:rsidR="007617AD" w:rsidRDefault="00EE75C8">
      <w:pPr>
        <w:spacing w:after="29" w:line="259" w:lineRule="auto"/>
        <w:ind w:left="1560" w:firstLine="0"/>
        <w:jc w:val="left"/>
      </w:pPr>
      <w:r>
        <w:t xml:space="preserve"> </w:t>
      </w:r>
    </w:p>
    <w:p w:rsidR="007617AD" w:rsidRDefault="00EE75C8">
      <w:pPr>
        <w:numPr>
          <w:ilvl w:val="2"/>
          <w:numId w:val="59"/>
        </w:numPr>
        <w:spacing w:after="0"/>
        <w:ind w:right="62" w:hanging="139"/>
      </w:pPr>
      <w:r>
        <w:t xml:space="preserve">Los </w:t>
      </w:r>
      <w:r>
        <w:rPr>
          <w:b/>
        </w:rPr>
        <w:t>gastos fijos</w:t>
      </w:r>
      <w:r>
        <w:t xml:space="preserve"> se distribuirán teniendo en cuenta la cuota de tratamiento asignada para cada municipio. Con carácter indicativo el reparto previsto es el que se determina en el expositivo octavo.</w:t>
      </w:r>
      <w:r>
        <w:rPr>
          <w:rFonts w:ascii="Times New Roman" w:eastAsia="Times New Roman" w:hAnsi="Times New Roman" w:cs="Times New Roman"/>
          <w:sz w:val="24"/>
        </w:rPr>
        <w:t xml:space="preserve"> </w:t>
      </w:r>
    </w:p>
    <w:p w:rsidR="007617AD" w:rsidRDefault="00EE75C8">
      <w:pPr>
        <w:spacing w:after="29" w:line="259" w:lineRule="auto"/>
        <w:ind w:left="2268" w:firstLine="0"/>
        <w:jc w:val="left"/>
      </w:pPr>
      <w:r>
        <w:t xml:space="preserve"> </w:t>
      </w:r>
    </w:p>
    <w:p w:rsidR="007617AD" w:rsidRDefault="00EE75C8">
      <w:pPr>
        <w:numPr>
          <w:ilvl w:val="2"/>
          <w:numId w:val="59"/>
        </w:numPr>
        <w:spacing w:after="0"/>
        <w:ind w:right="62" w:hanging="139"/>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2639" name="Group 27263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2335" name="Rectangle 2233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Verificació</w:t>
                              </w:r>
                              <w:r>
                                <w:rPr>
                                  <w:sz w:val="12"/>
                                </w:rPr>
                                <w:t xml:space="preserve">n: https://candelaria.sedelectronica.es/ </w:t>
                              </w:r>
                            </w:p>
                          </w:txbxContent>
                        </wps:txbx>
                        <wps:bodyPr horzOverflow="overflow" vert="horz" lIns="0" tIns="0" rIns="0" bIns="0" rtlCol="0">
                          <a:noAutofit/>
                        </wps:bodyPr>
                      </wps:wsp>
                      <wps:wsp>
                        <wps:cNvPr id="22336" name="Rectangle 22336"/>
                        <wps:cNvSpPr/>
                        <wps:spPr>
                          <a:xfrm rot="-5399999">
                            <a:off x="-2094822" y="1272006"/>
                            <a:ext cx="44552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117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2639" style="width:12.7031pt;height:280.02pt;position:absolute;mso-position-horizontal-relative:page;mso-position-horizontal:absolute;margin-left:682.278pt;mso-position-vertical-relative:page;margin-top:531.9pt;" coordsize="1613,35562">
                <v:rect id="Rectangle 2233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2336" style="position:absolute;width:44552;height:1132;left:-20948;top:127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192 </w:t>
                        </w:r>
                      </w:p>
                    </w:txbxContent>
                  </v:textbox>
                </v:rect>
                <w10:wrap type="square"/>
              </v:group>
            </w:pict>
          </mc:Fallback>
        </mc:AlternateContent>
      </w:r>
      <w:r>
        <w:t xml:space="preserve">Los </w:t>
      </w:r>
      <w:r>
        <w:rPr>
          <w:b/>
        </w:rPr>
        <w:t>gastos variables</w:t>
      </w:r>
      <w:r>
        <w:t xml:space="preserve"> se aplicarán en base a los volúmenes realmente aportados por cada Ayuntamiento al sistema, según</w:t>
      </w:r>
      <w:r>
        <w:t xml:space="preserve"> reflejen las lecturas de los equipos de medida (contadores) dispuestos para este fin. </w:t>
      </w:r>
      <w:r>
        <w:rPr>
          <w:rFonts w:ascii="Times New Roman" w:eastAsia="Times New Roman" w:hAnsi="Times New Roman" w:cs="Times New Roman"/>
          <w:sz w:val="24"/>
        </w:rPr>
        <w:t xml:space="preserve"> </w:t>
      </w:r>
    </w:p>
    <w:p w:rsidR="007617AD" w:rsidRDefault="00EE75C8">
      <w:pPr>
        <w:spacing w:after="100" w:line="259" w:lineRule="auto"/>
        <w:ind w:left="708" w:firstLine="0"/>
        <w:jc w:val="left"/>
      </w:pPr>
      <w:r>
        <w:rPr>
          <w:color w:val="00B050"/>
        </w:rPr>
        <w:t xml:space="preserve"> </w:t>
      </w:r>
    </w:p>
    <w:p w:rsidR="007617AD" w:rsidRDefault="00EE75C8">
      <w:pPr>
        <w:numPr>
          <w:ilvl w:val="0"/>
          <w:numId w:val="57"/>
        </w:numPr>
        <w:ind w:right="62" w:hanging="360"/>
      </w:pPr>
      <w:r>
        <w:t>Impulsar y desarrollar las inversiones de ámbito supramunicipal que se describen en el Anexo III de forma que se garantice el cumplimiento de las obligaciones de rec</w:t>
      </w:r>
      <w:r>
        <w:t xml:space="preserve">ogida y/o tratamiento de las aguas residuales urbanas establecidas en la Directiva 91/271/CEE del Consejo, de 21 de mayo de 1991, sobre el tratamiento de las aguas residuales urbanas. </w:t>
      </w:r>
    </w:p>
    <w:p w:rsidR="007617AD" w:rsidRDefault="00EE75C8">
      <w:pPr>
        <w:spacing w:after="96" w:line="259" w:lineRule="auto"/>
        <w:ind w:left="708" w:firstLine="0"/>
        <w:jc w:val="left"/>
      </w:pPr>
      <w:r>
        <w:rPr>
          <w:color w:val="00B050"/>
        </w:rPr>
        <w:t xml:space="preserve"> </w:t>
      </w:r>
    </w:p>
    <w:p w:rsidR="007617AD" w:rsidRDefault="00EE75C8">
      <w:pPr>
        <w:ind w:left="703" w:right="58"/>
      </w:pPr>
      <w:r>
        <w:rPr>
          <w:b/>
        </w:rPr>
        <w:t xml:space="preserve">TERCERA. - OBLIGACIONES DE LOS AYUNTAMIENTOS.   </w:t>
      </w:r>
    </w:p>
    <w:p w:rsidR="007617AD" w:rsidRDefault="00EE75C8">
      <w:pPr>
        <w:ind w:left="703" w:right="62"/>
      </w:pPr>
      <w:r>
        <w:t>Los Ayuntamientos de</w:t>
      </w:r>
      <w:r>
        <w:t xml:space="preserve"> Candelaria, Arafo y Güímar, se comprometen a colaborar, con el Consejo Insular de Aguas de Tenerife, en la gestión conjunta de las infraestructuras identificadas en la cláusula primera integradas en los Sistemas Territoriales de Saneamiento del Valle de G</w:t>
      </w:r>
      <w:r>
        <w:t>üímar y Polígono Industrial de Valle de Güímar, en los términos siguientes:</w:t>
      </w:r>
      <w:r>
        <w:rPr>
          <w:rFonts w:ascii="Times New Roman" w:eastAsia="Times New Roman" w:hAnsi="Times New Roman" w:cs="Times New Roman"/>
          <w:sz w:val="24"/>
        </w:rPr>
        <w:t xml:space="preserve"> </w:t>
      </w:r>
    </w:p>
    <w:p w:rsidR="007617AD" w:rsidRDefault="00EE75C8">
      <w:pPr>
        <w:numPr>
          <w:ilvl w:val="0"/>
          <w:numId w:val="62"/>
        </w:numPr>
        <w:ind w:right="62" w:hanging="360"/>
      </w:pPr>
      <w:r>
        <w:t xml:space="preserve">Participarán de forma activa y efectiva en la Comisión de Seguimiento que se regula en la cláusula quinta. </w:t>
      </w:r>
      <w:r>
        <w:rPr>
          <w:rFonts w:ascii="Times New Roman" w:eastAsia="Times New Roman" w:hAnsi="Times New Roman" w:cs="Times New Roman"/>
          <w:sz w:val="24"/>
        </w:rPr>
        <w:t xml:space="preserve"> </w:t>
      </w:r>
    </w:p>
    <w:p w:rsidR="007617AD" w:rsidRDefault="00EE75C8">
      <w:pPr>
        <w:numPr>
          <w:ilvl w:val="0"/>
          <w:numId w:val="62"/>
        </w:numPr>
        <w:ind w:right="62" w:hanging="360"/>
      </w:pPr>
      <w:r>
        <w:t xml:space="preserve">Entregarán sus aguas residuales brutas </w:t>
      </w:r>
      <w:r>
        <w:t>de origen urbano e industrial en los puntos inicialmente previstos al efecto en la cláusula anterior.</w:t>
      </w:r>
      <w:r>
        <w:rPr>
          <w:rFonts w:ascii="Times New Roman" w:eastAsia="Times New Roman" w:hAnsi="Times New Roman" w:cs="Times New Roman"/>
          <w:sz w:val="24"/>
        </w:rPr>
        <w:t xml:space="preserve"> </w:t>
      </w:r>
    </w:p>
    <w:p w:rsidR="007617AD" w:rsidRDefault="00EE75C8">
      <w:pPr>
        <w:numPr>
          <w:ilvl w:val="0"/>
          <w:numId w:val="62"/>
        </w:numPr>
        <w:ind w:right="62" w:hanging="360"/>
      </w:pPr>
      <w:r>
        <w:t xml:space="preserve">Velarán por que el </w:t>
      </w:r>
      <w:r>
        <w:rPr>
          <w:b/>
        </w:rPr>
        <w:t>contenido de dichas aguas brutas</w:t>
      </w:r>
      <w:r>
        <w:t xml:space="preserve"> tanto urbanas como industriales cumplan la normativa aplicable en los Reglamentos de Alcantarillado, </w:t>
      </w:r>
      <w:r>
        <w:t xml:space="preserve">Depuración y Vertido vigentes.   </w:t>
      </w:r>
      <w:r>
        <w:rPr>
          <w:rFonts w:ascii="Times New Roman" w:eastAsia="Times New Roman" w:hAnsi="Times New Roman" w:cs="Times New Roman"/>
          <w:sz w:val="24"/>
        </w:rPr>
        <w:t xml:space="preserve"> </w:t>
      </w:r>
    </w:p>
    <w:p w:rsidR="007617AD" w:rsidRDefault="00EE75C8">
      <w:pPr>
        <w:numPr>
          <w:ilvl w:val="0"/>
          <w:numId w:val="62"/>
        </w:numPr>
        <w:ind w:right="62" w:hanging="360"/>
      </w:pPr>
      <w:r>
        <w:t xml:space="preserve">Adoptarán las medidas de </w:t>
      </w:r>
      <w:r>
        <w:rPr>
          <w:b/>
        </w:rPr>
        <w:t>policía de vertidos</w:t>
      </w:r>
      <w:r>
        <w:t xml:space="preserve"> pertinentes en el ámbito municipal respectivo prestando especial interés en evitar los vertidos al alcantarillado de productos tóxicos, grasas y aguas de salinidad excesiva.</w:t>
      </w:r>
      <w:r>
        <w:rPr>
          <w:rFonts w:ascii="Times New Roman" w:eastAsia="Times New Roman" w:hAnsi="Times New Roman" w:cs="Times New Roman"/>
          <w:sz w:val="24"/>
        </w:rPr>
        <w:t xml:space="preserve"> </w:t>
      </w:r>
    </w:p>
    <w:p w:rsidR="007617AD" w:rsidRDefault="00EE75C8">
      <w:pPr>
        <w:numPr>
          <w:ilvl w:val="0"/>
          <w:numId w:val="62"/>
        </w:numPr>
        <w:spacing w:after="146"/>
        <w:ind w:right="62" w:hanging="360"/>
      </w:pPr>
      <w:r>
        <w:t>I</w:t>
      </w:r>
      <w:r>
        <w:t xml:space="preserve">mpulsar y desarrollar las inversiones de ámbito municipal que se describen en el Anexo III de forma que se garantice el cumplimiento de las obligaciones de recogida de las aguas residuales urbanas establecidas en la Directiva 91/271/CEE del Consejo, de 21 </w:t>
      </w:r>
      <w:r>
        <w:t xml:space="preserve">de mayo de 1991, sobre el tratamiento de las aguas residuales urbanas. </w:t>
      </w:r>
    </w:p>
    <w:p w:rsidR="007617AD" w:rsidRDefault="00EE75C8">
      <w:pPr>
        <w:numPr>
          <w:ilvl w:val="0"/>
          <w:numId w:val="62"/>
        </w:numPr>
        <w:ind w:right="62" w:hanging="360"/>
      </w:pPr>
      <w:r>
        <w:t>Cumplirán las obligaciones económicas que se definen en la cláusula cuarta una vez recibidas las notas de cargo que emitidas por el CIATF.</w:t>
      </w:r>
      <w:r>
        <w:rPr>
          <w:rFonts w:ascii="Times New Roman" w:eastAsia="Times New Roman" w:hAnsi="Times New Roman" w:cs="Times New Roman"/>
          <w:sz w:val="24"/>
        </w:rPr>
        <w:t xml:space="preserve"> </w:t>
      </w:r>
    </w:p>
    <w:p w:rsidR="007617AD" w:rsidRDefault="00EE75C8">
      <w:pPr>
        <w:numPr>
          <w:ilvl w:val="0"/>
          <w:numId w:val="62"/>
        </w:numPr>
        <w:ind w:right="62" w:hanging="360"/>
      </w:pPr>
      <w:r>
        <w:t>Asumirán los costes provocados por un vertid</w:t>
      </w:r>
      <w:r>
        <w:t>o incontrolado proveniente del municipio en cuestión, previa tramitación del expediente correspondiente.</w:t>
      </w:r>
      <w:r>
        <w:rPr>
          <w:rFonts w:ascii="Times New Roman" w:eastAsia="Times New Roman" w:hAnsi="Times New Roman" w:cs="Times New Roman"/>
          <w:sz w:val="24"/>
        </w:rPr>
        <w:t xml:space="preserve"> </w:t>
      </w:r>
    </w:p>
    <w:p w:rsidR="007617AD" w:rsidRDefault="00EE75C8">
      <w:pPr>
        <w:spacing w:after="112" w:line="259" w:lineRule="auto"/>
        <w:ind w:left="708" w:firstLine="0"/>
        <w:jc w:val="left"/>
      </w:pPr>
      <w:r>
        <w:rPr>
          <w:b/>
        </w:rPr>
        <w:t xml:space="preserve"> </w:t>
      </w:r>
    </w:p>
    <w:p w:rsidR="007617AD" w:rsidRDefault="00EE75C8">
      <w:pPr>
        <w:spacing w:after="91"/>
        <w:ind w:left="703" w:right="58"/>
      </w:pPr>
      <w:r>
        <w:rPr>
          <w:b/>
        </w:rPr>
        <w:t>CUARTA. -OBLIGACIONES ECONÓMICAS.</w:t>
      </w:r>
      <w:r>
        <w:rPr>
          <w:rFonts w:ascii="Times New Roman" w:eastAsia="Times New Roman" w:hAnsi="Times New Roman" w:cs="Times New Roman"/>
          <w:sz w:val="24"/>
        </w:rPr>
        <w:t xml:space="preserve"> </w:t>
      </w:r>
    </w:p>
    <w:p w:rsidR="007617AD" w:rsidRDefault="00EE75C8">
      <w:pPr>
        <w:ind w:left="703" w:right="58"/>
      </w:pPr>
      <w:r>
        <w:rPr>
          <w:b/>
        </w:rPr>
        <w:t>Para el cumplimiento de las obligaciones económicas derivadas de este Convenio se establecen las condiciones sigu</w:t>
      </w:r>
      <w:r>
        <w:rPr>
          <w:b/>
        </w:rPr>
        <w:t>ientes:</w:t>
      </w:r>
      <w:r>
        <w:rPr>
          <w:rFonts w:ascii="Calibri" w:eastAsia="Calibri" w:hAnsi="Calibri" w:cs="Calibri"/>
          <w:sz w:val="24"/>
        </w:rPr>
        <w:t xml:space="preserve"> </w:t>
      </w:r>
    </w:p>
    <w:p w:rsidR="007617AD" w:rsidRDefault="00EE75C8">
      <w:pPr>
        <w:ind w:left="1428" w:right="62" w:hanging="360"/>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2801" name="Group 272801"/>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2465" name="Rectangle 2246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2466" name="Rectangle 22466"/>
                        <wps:cNvSpPr/>
                        <wps:spPr>
                          <a:xfrm rot="-5399999">
                            <a:off x="-2094822" y="1272006"/>
                            <a:ext cx="44552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118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2801" style="width:12.7031pt;height:280.02pt;position:absolute;mso-position-horizontal-relative:page;mso-position-horizontal:absolute;margin-left:682.278pt;mso-position-vertical-relative:page;margin-top:531.9pt;" coordsize="1613,35562">
                <v:rect id="Rectangle 2246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2466" style="position:absolute;width:44552;height:1132;left:-20948;top:127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192 </w:t>
                        </w:r>
                      </w:p>
                    </w:txbxContent>
                  </v:textbox>
                </v:rect>
                <w10:wrap type="square"/>
              </v:group>
            </w:pict>
          </mc:Fallback>
        </mc:AlternateContent>
      </w:r>
      <w:r>
        <w:rPr>
          <w:rFonts w:ascii="Times New Roman" w:eastAsia="Times New Roman" w:hAnsi="Times New Roman" w:cs="Times New Roman"/>
          <w:sz w:val="24"/>
        </w:rPr>
        <w:t>g)</w:t>
      </w:r>
      <w:r>
        <w:rPr>
          <w:sz w:val="24"/>
        </w:rPr>
        <w:t xml:space="preserve"> </w:t>
      </w:r>
      <w:r>
        <w:t xml:space="preserve">El CIATF realizará las actuaciones necesarias </w:t>
      </w:r>
      <w:r>
        <w:t>para la operación y mantenimiento del Sistema de Saneamiento y Depuración, a través de la licitación y adjudicación de los contratos correspondientes, previa generación y aprobación del crédito necesario con cargo al compromiso de ingreso de los Ayuntamien</w:t>
      </w:r>
      <w:r>
        <w:t xml:space="preserve">tos derivado del presente convenio tras su formalización. A tal efecto el importe total estimado del convenio incluidos los costes fijos y variables asciende a </w:t>
      </w:r>
      <w:r>
        <w:rPr>
          <w:b/>
        </w:rPr>
        <w:t xml:space="preserve">3.953.601,06 euros </w:t>
      </w:r>
      <w:r>
        <w:t>del cual:</w:t>
      </w:r>
      <w:r>
        <w:rPr>
          <w:rFonts w:ascii="Times New Roman" w:eastAsia="Times New Roman" w:hAnsi="Times New Roman" w:cs="Times New Roman"/>
          <w:sz w:val="24"/>
        </w:rPr>
        <w:t xml:space="preserve"> </w:t>
      </w:r>
    </w:p>
    <w:p w:rsidR="007617AD" w:rsidRDefault="00EE75C8">
      <w:pPr>
        <w:numPr>
          <w:ilvl w:val="1"/>
          <w:numId w:val="57"/>
        </w:numPr>
        <w:ind w:right="62" w:hanging="360"/>
      </w:pPr>
      <w:r>
        <w:t xml:space="preserve">El importe total estimativo que será repercutido a los Ayuntamientos correspondiente a los </w:t>
      </w:r>
      <w:r>
        <w:rPr>
          <w:b/>
          <w:u w:val="single" w:color="000000"/>
        </w:rPr>
        <w:t>costes fijos</w:t>
      </w:r>
      <w:r>
        <w:rPr>
          <w:b/>
        </w:rPr>
        <w:t xml:space="preserve"> </w:t>
      </w:r>
      <w:r>
        <w:t>en los que se incurre necesariamente para la operación y mantenimiento del Sistema, descritos en los expositivos séptimo y octavo, asciende durante todo</w:t>
      </w:r>
      <w:r>
        <w:t xml:space="preserve"> el período de vigencia del convenio a </w:t>
      </w:r>
      <w:r>
        <w:rPr>
          <w:b/>
        </w:rPr>
        <w:t xml:space="preserve">2.365.839,69 euros </w:t>
      </w:r>
      <w:r>
        <w:t>de acuerdo al desglose por Subsistema, anualidades y Ayuntamiento que se recogen en Anexo IV del presente convenio atendiendo a la entrada en vigor escalonada que se regula en la cláusula séptima.</w:t>
      </w:r>
      <w:r>
        <w:rPr>
          <w:rFonts w:ascii="Times New Roman" w:eastAsia="Times New Roman" w:hAnsi="Times New Roman" w:cs="Times New Roman"/>
          <w:sz w:val="24"/>
        </w:rPr>
        <w:t xml:space="preserve"> </w:t>
      </w:r>
    </w:p>
    <w:p w:rsidR="007617AD" w:rsidRDefault="00EE75C8">
      <w:pPr>
        <w:numPr>
          <w:ilvl w:val="1"/>
          <w:numId w:val="57"/>
        </w:numPr>
        <w:spacing w:after="93"/>
        <w:ind w:right="62" w:hanging="360"/>
      </w:pPr>
      <w:r>
        <w:t xml:space="preserve">En relación a los </w:t>
      </w:r>
      <w:r>
        <w:rPr>
          <w:b/>
          <w:u w:val="single" w:color="000000"/>
        </w:rPr>
        <w:t>costes variables</w:t>
      </w:r>
      <w:r>
        <w:rPr>
          <w:b/>
        </w:rPr>
        <w:t xml:space="preserve"> </w:t>
      </w:r>
      <w:r>
        <w:t xml:space="preserve">el importe total estimativo a repercutir asciende a la cantidad de </w:t>
      </w:r>
      <w:r>
        <w:rPr>
          <w:b/>
        </w:rPr>
        <w:t>1.587.761,60 euros</w:t>
      </w:r>
      <w:r>
        <w:t>, de acuerdo al desglose por Subsistema, anualidades y Ayuntamiento que se recoge en Anexo IV del presente convenio atendiendo a la entr</w:t>
      </w:r>
      <w:r>
        <w:t>ada en vigor escalonada que se regula en la cláusula séptima y considerando el volumen de caudal estimado para cada Ayuntamiento incluido en el cronograma de inversiones que figura en Anexo III.</w:t>
      </w:r>
      <w:r>
        <w:rPr>
          <w:rFonts w:ascii="Times New Roman" w:eastAsia="Times New Roman" w:hAnsi="Times New Roman" w:cs="Times New Roman"/>
          <w:sz w:val="24"/>
        </w:rPr>
        <w:t xml:space="preserve"> </w:t>
      </w:r>
    </w:p>
    <w:p w:rsidR="007617AD" w:rsidRDefault="00EE75C8">
      <w:pPr>
        <w:numPr>
          <w:ilvl w:val="0"/>
          <w:numId w:val="61"/>
        </w:numPr>
        <w:spacing w:after="145"/>
        <w:ind w:right="62" w:hanging="360"/>
      </w:pPr>
      <w:r>
        <w:t>Mensualmente el CIATF extenderá las correspondientes notas d</w:t>
      </w:r>
      <w:r>
        <w:t>e cargo a los Ayuntamientos, según el modelo que defina la Comisión de Seguimiento, que deberán estar desglosadas de manera separada de acuerdo a los epígrafes de costes establecidos en el expositivo décimo en relación al coste de cada servicio de depuraci</w:t>
      </w:r>
      <w:r>
        <w:t xml:space="preserve">ón del agua residual, tanto urbana como industrial.  </w:t>
      </w:r>
    </w:p>
    <w:p w:rsidR="007617AD" w:rsidRDefault="00EE75C8">
      <w:pPr>
        <w:numPr>
          <w:ilvl w:val="0"/>
          <w:numId w:val="61"/>
        </w:numPr>
        <w:ind w:right="62" w:hanging="360"/>
      </w:pPr>
      <w:r>
        <w:t>Recibidas las notas de cargo por cada Ayuntamiento, éste deberá hacer efectivo el pago de su importe al CIATF en el plazo máximo de dos (2) meses, contados a partir de la fecha de recepción.</w:t>
      </w:r>
      <w:r>
        <w:rPr>
          <w:rFonts w:ascii="Times New Roman" w:eastAsia="Times New Roman" w:hAnsi="Times New Roman" w:cs="Times New Roman"/>
          <w:sz w:val="24"/>
        </w:rPr>
        <w:t xml:space="preserve"> </w:t>
      </w:r>
    </w:p>
    <w:p w:rsidR="007617AD" w:rsidRDefault="00EE75C8">
      <w:pPr>
        <w:numPr>
          <w:ilvl w:val="0"/>
          <w:numId w:val="61"/>
        </w:numPr>
        <w:spacing w:after="134"/>
        <w:ind w:right="62" w:hanging="360"/>
      </w:pPr>
      <w:r>
        <w:t>Caso de qu</w:t>
      </w:r>
      <w:r>
        <w:t xml:space="preserve">e se supere dicho plazo y permaneciese </w:t>
      </w:r>
      <w:r>
        <w:rPr>
          <w:b/>
        </w:rPr>
        <w:t>la situación de impago de alguna nota de cargo</w:t>
      </w:r>
      <w:r>
        <w:t>, el CIATF queda facultado para recabar su cobro a través del Cabildo Insular de Tenerife, con cargo a los ingresos que proceda efectuar a dicho Ayuntamiento en concepto d</w:t>
      </w:r>
      <w:r>
        <w:t xml:space="preserve">e </w:t>
      </w:r>
      <w:r>
        <w:rPr>
          <w:b/>
        </w:rPr>
        <w:t>carta municipal</w:t>
      </w:r>
      <w:r>
        <w:t xml:space="preserve"> o por la recaudación de tasas, gravámenes y precios públicos municipales a través del </w:t>
      </w:r>
      <w:r>
        <w:rPr>
          <w:b/>
        </w:rPr>
        <w:t>Consorcio de Tributos</w:t>
      </w:r>
      <w:r>
        <w:t>.</w:t>
      </w:r>
      <w:r>
        <w:rPr>
          <w:rFonts w:ascii="Times New Roman" w:eastAsia="Times New Roman" w:hAnsi="Times New Roman" w:cs="Times New Roman"/>
          <w:sz w:val="24"/>
        </w:rPr>
        <w:t xml:space="preserve"> </w:t>
      </w:r>
    </w:p>
    <w:p w:rsidR="007617AD" w:rsidRDefault="00EE75C8">
      <w:pPr>
        <w:numPr>
          <w:ilvl w:val="0"/>
          <w:numId w:val="61"/>
        </w:numPr>
        <w:ind w:right="62" w:hanging="360"/>
      </w:pPr>
      <w:r>
        <w:t xml:space="preserve">Los </w:t>
      </w:r>
      <w:r>
        <w:rPr>
          <w:b/>
        </w:rPr>
        <w:t>costes financieros</w:t>
      </w:r>
      <w:r>
        <w:t xml:space="preserve"> que acarreen las demoras en los pagos por parte de alguno de los Ayuntamientos firmantes podrán ser recla</w:t>
      </w:r>
      <w:r>
        <w:t>mados, previa instrucción del correspondiente procedimiento, a aquél que los causare.</w:t>
      </w:r>
      <w:r>
        <w:rPr>
          <w:rFonts w:ascii="Times New Roman" w:eastAsia="Times New Roman" w:hAnsi="Times New Roman" w:cs="Times New Roman"/>
          <w:sz w:val="24"/>
        </w:rPr>
        <w:t xml:space="preserve"> </w:t>
      </w:r>
    </w:p>
    <w:p w:rsidR="007617AD" w:rsidRDefault="00EE75C8">
      <w:pPr>
        <w:spacing w:after="136" w:line="259" w:lineRule="auto"/>
        <w:ind w:left="1068" w:firstLine="0"/>
        <w:jc w:val="left"/>
      </w:pPr>
      <w:r>
        <w:rPr>
          <w:b/>
        </w:rPr>
        <w:t xml:space="preserve"> </w:t>
      </w:r>
    </w:p>
    <w:p w:rsidR="007617AD" w:rsidRDefault="00EE75C8">
      <w:pPr>
        <w:numPr>
          <w:ilvl w:val="0"/>
          <w:numId w:val="61"/>
        </w:numPr>
        <w:spacing w:after="93"/>
        <w:ind w:right="62" w:hanging="360"/>
      </w:pPr>
      <w:r>
        <w:t xml:space="preserve">Los Ayuntamientos deberán realizar las aportaciones necesarias al </w:t>
      </w:r>
      <w:r>
        <w:rPr>
          <w:b/>
        </w:rPr>
        <w:t>fondo de inversión</w:t>
      </w:r>
      <w:r>
        <w:t xml:space="preserve"> destinado a las reposiciones, ampliaciones y mejoras del sistema de saneamiento y </w:t>
      </w:r>
      <w:r>
        <w:t>depuración que se determinen por la Comisión de Seguimiento.</w:t>
      </w:r>
      <w:r>
        <w:rPr>
          <w:rFonts w:ascii="Times New Roman" w:eastAsia="Times New Roman" w:hAnsi="Times New Roman" w:cs="Times New Roman"/>
          <w:sz w:val="24"/>
        </w:rPr>
        <w:t xml:space="preserve"> </w:t>
      </w:r>
    </w:p>
    <w:p w:rsidR="007617AD" w:rsidRDefault="00EE75C8">
      <w:pPr>
        <w:spacing w:after="96" w:line="259" w:lineRule="auto"/>
        <w:ind w:left="1428" w:firstLine="0"/>
        <w:jc w:val="left"/>
      </w:pPr>
      <w:r>
        <w:t xml:space="preserve"> </w:t>
      </w:r>
    </w:p>
    <w:p w:rsidR="007617AD" w:rsidRDefault="00EE75C8">
      <w:pPr>
        <w:spacing w:after="11"/>
        <w:ind w:left="703" w:right="58"/>
      </w:pPr>
      <w:r>
        <w:rPr>
          <w:b/>
        </w:rPr>
        <w:t>QUINTA. - COMISIÓN DE SEGUIMIENTO DEL CONVENIO DE COLABORACIÓN.</w:t>
      </w:r>
      <w:r>
        <w:rPr>
          <w:rFonts w:ascii="Calibri" w:eastAsia="Calibri" w:hAnsi="Calibri" w:cs="Calibri"/>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ind w:left="703" w:right="62"/>
      </w:pPr>
      <w:r>
        <w:t xml:space="preserve">Para el seguimiento de este Convenio y una real y efectiva coordinación y participación de las partes en su ejecución, se crea una Comisión paritaria de seguimiento.  </w:t>
      </w:r>
    </w:p>
    <w:p w:rsidR="007617AD" w:rsidRDefault="00EE75C8">
      <w:pPr>
        <w:spacing w:after="2" w:line="259" w:lineRule="auto"/>
        <w:ind w:left="708" w:firstLine="0"/>
        <w:jc w:val="left"/>
      </w:pPr>
      <w:r>
        <w:t xml:space="preserve"> </w:t>
      </w:r>
    </w:p>
    <w:p w:rsidR="007617AD" w:rsidRDefault="00EE75C8">
      <w:pPr>
        <w:numPr>
          <w:ilvl w:val="0"/>
          <w:numId w:val="60"/>
        </w:numPr>
        <w:spacing w:after="0"/>
        <w:ind w:right="62" w:hanging="360"/>
      </w:pPr>
      <w:r>
        <w:rPr>
          <w:b/>
        </w:rPr>
        <w:t>Competencias</w:t>
      </w:r>
      <w:r>
        <w:t>: Interpretar las dudas que pudieran suscitarse con motivo de la aplicació</w:t>
      </w:r>
      <w:r>
        <w:t xml:space="preserve">n del presente Convenio. </w:t>
      </w:r>
      <w:r>
        <w:rPr>
          <w:rFonts w:ascii="Times New Roman" w:eastAsia="Times New Roman" w:hAnsi="Times New Roman" w:cs="Times New Roman"/>
          <w:sz w:val="24"/>
        </w:rPr>
        <w:t xml:space="preserve"> </w:t>
      </w:r>
    </w:p>
    <w:p w:rsidR="007617AD" w:rsidRDefault="00EE75C8">
      <w:pPr>
        <w:spacing w:after="5" w:line="259" w:lineRule="auto"/>
        <w:ind w:left="708" w:firstLine="0"/>
        <w:jc w:val="left"/>
      </w:pPr>
      <w:r>
        <w:t xml:space="preserve"> </w:t>
      </w:r>
    </w:p>
    <w:p w:rsidR="007617AD" w:rsidRDefault="00EE75C8">
      <w:pPr>
        <w:numPr>
          <w:ilvl w:val="0"/>
          <w:numId w:val="60"/>
        </w:numPr>
        <w:spacing w:after="0"/>
        <w:ind w:right="62" w:hanging="360"/>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2925" name="Group 272925"/>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2606" name="Rectangle 2260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2607" name="Rectangle 22607"/>
                        <wps:cNvSpPr/>
                        <wps:spPr>
                          <a:xfrm rot="-5399999">
                            <a:off x="-2094822" y="1272006"/>
                            <a:ext cx="44552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119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2925" style="width:12.7031pt;height:280.02pt;position:absolute;mso-position-horizontal-relative:page;mso-position-horizontal:absolute;margin-left:682.278pt;mso-position-vertical-relative:page;margin-top:531.9pt;" coordsize="1613,35562">
                <v:rect id="Rectangle 2260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2607" style="position:absolute;width:44552;height:1132;left:-20948;top:1272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192 </w:t>
                        </w:r>
                      </w:p>
                    </w:txbxContent>
                  </v:textbox>
                </v:rect>
                <w10:wrap type="square"/>
              </v:group>
            </w:pict>
          </mc:Fallback>
        </mc:AlternateContent>
      </w:r>
      <w:r>
        <w:rPr>
          <w:b/>
        </w:rPr>
        <w:t>Composición:</w:t>
      </w:r>
      <w:r>
        <w:t xml:space="preserve"> </w:t>
      </w:r>
      <w:r>
        <w:t>La Comisión paritaria estará constituida por ocho (8) vocales, correspondiendo designar dos (2) vocales a cada una de las Administraciones Públicas firmantes. La designación de estos vocales se efectuará en el momento de la firma de este Convenio o, subsid</w:t>
      </w:r>
      <w:r>
        <w:t xml:space="preserve">iariamente, en un plazo máximo de un (1) mes desde la misma. </w:t>
      </w:r>
      <w:r>
        <w:rPr>
          <w:rFonts w:ascii="Times New Roman" w:eastAsia="Times New Roman" w:hAnsi="Times New Roman" w:cs="Times New Roman"/>
          <w:sz w:val="24"/>
        </w:rPr>
        <w:t xml:space="preserve"> </w:t>
      </w:r>
    </w:p>
    <w:p w:rsidR="007617AD" w:rsidRDefault="00EE75C8">
      <w:pPr>
        <w:spacing w:after="0"/>
        <w:ind w:left="1426" w:right="62"/>
      </w:pPr>
      <w:r>
        <w:t>La Presidencia de la Comisión corresponderá a uno de los vocales designados por el Consejo Insular de Aguas y la Vicepresidencia será alternativa, por años, entre los representantes de los Ayun</w:t>
      </w:r>
      <w:r>
        <w:t xml:space="preserve">tamientos. Los miembros de la Comisión podrán venir asistidos de Técnicos asesores, que tendrán voz, pero no voto.  </w:t>
      </w:r>
    </w:p>
    <w:p w:rsidR="007617AD" w:rsidRDefault="00EE75C8">
      <w:pPr>
        <w:spacing w:after="3" w:line="259" w:lineRule="auto"/>
        <w:ind w:left="1416" w:firstLine="0"/>
        <w:jc w:val="left"/>
      </w:pPr>
      <w:r>
        <w:t xml:space="preserve"> </w:t>
      </w:r>
    </w:p>
    <w:p w:rsidR="007617AD" w:rsidRDefault="00EE75C8">
      <w:pPr>
        <w:numPr>
          <w:ilvl w:val="0"/>
          <w:numId w:val="60"/>
        </w:numPr>
        <w:spacing w:after="0"/>
        <w:ind w:right="62" w:hanging="360"/>
      </w:pPr>
      <w:r>
        <w:rPr>
          <w:b/>
        </w:rPr>
        <w:t>Lugar de celebración:</w:t>
      </w:r>
      <w:r>
        <w:t xml:space="preserve"> las Comisiones se celebran en el lugar que en cada caso designe la Presidencia.</w:t>
      </w:r>
      <w:r>
        <w:rPr>
          <w:rFonts w:ascii="Times New Roman" w:eastAsia="Times New Roman" w:hAnsi="Times New Roman" w:cs="Times New Roman"/>
          <w:sz w:val="24"/>
        </w:rPr>
        <w:t xml:space="preserve"> </w:t>
      </w:r>
    </w:p>
    <w:p w:rsidR="007617AD" w:rsidRDefault="00EE75C8">
      <w:pPr>
        <w:spacing w:after="2" w:line="259" w:lineRule="auto"/>
        <w:ind w:left="1428" w:firstLine="0"/>
        <w:jc w:val="left"/>
      </w:pPr>
      <w:r>
        <w:t xml:space="preserve"> </w:t>
      </w:r>
    </w:p>
    <w:p w:rsidR="007617AD" w:rsidRDefault="00EE75C8">
      <w:pPr>
        <w:numPr>
          <w:ilvl w:val="0"/>
          <w:numId w:val="60"/>
        </w:numPr>
        <w:spacing w:after="0"/>
        <w:ind w:right="62" w:hanging="360"/>
      </w:pPr>
      <w:r>
        <w:rPr>
          <w:b/>
        </w:rPr>
        <w:t>Secretaría y Actas:</w:t>
      </w:r>
      <w:r>
        <w:t xml:space="preserve"> </w:t>
      </w:r>
      <w:r>
        <w:t>la Secretaría de la Comisión será desempeñada por un Técnico de Administración General designado por el CIATF de entre los que desempeñan el trabajo en dicho Organismo. De cada sesión de la Comisión se levantará acta por dicha Secretaría, que será aprobada</w:t>
      </w:r>
      <w:r>
        <w:t>, si procede, en la siguiente sesión que la comisión celebre.</w:t>
      </w:r>
      <w:r>
        <w:rPr>
          <w:rFonts w:ascii="Times New Roman" w:eastAsia="Times New Roman" w:hAnsi="Times New Roman" w:cs="Times New Roman"/>
          <w:sz w:val="24"/>
        </w:rPr>
        <w:t xml:space="preserve"> </w:t>
      </w:r>
    </w:p>
    <w:p w:rsidR="007617AD" w:rsidRDefault="00EE75C8">
      <w:pPr>
        <w:spacing w:after="2" w:line="259" w:lineRule="auto"/>
        <w:ind w:left="1416" w:firstLine="0"/>
        <w:jc w:val="left"/>
      </w:pPr>
      <w:r>
        <w:t xml:space="preserve"> </w:t>
      </w:r>
    </w:p>
    <w:p w:rsidR="007617AD" w:rsidRDefault="00EE75C8">
      <w:pPr>
        <w:numPr>
          <w:ilvl w:val="0"/>
          <w:numId w:val="60"/>
        </w:numPr>
        <w:spacing w:after="0"/>
        <w:ind w:right="62" w:hanging="360"/>
      </w:pPr>
      <w:r>
        <w:rPr>
          <w:b/>
        </w:rPr>
        <w:t>Régimen de adopción de acuerdos:</w:t>
      </w:r>
      <w:r>
        <w:t xml:space="preserve"> Los Acuerdos de la Comisión de Seguimiento habrán de ser tomados por unanimidad y, en caso de que sea necesario, serán elevados a los órganos de gobierno de l</w:t>
      </w:r>
      <w:r>
        <w:t>as respectivas administraciones para su aprobación definitiva.</w:t>
      </w:r>
      <w:r>
        <w:rPr>
          <w:rFonts w:ascii="Times New Roman" w:eastAsia="Times New Roman" w:hAnsi="Times New Roman" w:cs="Times New Roman"/>
          <w:sz w:val="24"/>
        </w:rPr>
        <w:t xml:space="preserve"> </w:t>
      </w:r>
    </w:p>
    <w:p w:rsidR="007617AD" w:rsidRDefault="00EE75C8">
      <w:pPr>
        <w:spacing w:after="5" w:line="259" w:lineRule="auto"/>
        <w:ind w:left="1416" w:firstLine="0"/>
        <w:jc w:val="left"/>
      </w:pPr>
      <w:r>
        <w:t xml:space="preserve"> </w:t>
      </w:r>
    </w:p>
    <w:p w:rsidR="007617AD" w:rsidRDefault="00EE75C8">
      <w:pPr>
        <w:numPr>
          <w:ilvl w:val="0"/>
          <w:numId w:val="60"/>
        </w:numPr>
        <w:ind w:right="62" w:hanging="360"/>
      </w:pPr>
      <w:r>
        <w:rPr>
          <w:b/>
        </w:rPr>
        <w:t xml:space="preserve">Régimen jurídico: </w:t>
      </w:r>
      <w:r>
        <w:t>el funcionamiento de la Comisión, en todo lo no previsto por esta norma, se regirá por las normas establecidas en la Ley 40/2015, de 1 de octubre, para el funcionamiento de</w:t>
      </w:r>
      <w:r>
        <w:t xml:space="preserve"> los órganos colegiados.</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ind w:left="703" w:right="58"/>
      </w:pPr>
      <w:r>
        <w:rPr>
          <w:b/>
        </w:rPr>
        <w:t>SEXTA. -  MODIFICACIÓN Y RESOLUCIÓN DEL CONVENIO.</w:t>
      </w:r>
      <w:r>
        <w:rPr>
          <w:rFonts w:ascii="Times New Roman" w:eastAsia="Times New Roman" w:hAnsi="Times New Roman" w:cs="Times New Roman"/>
          <w:sz w:val="24"/>
        </w:rPr>
        <w:t xml:space="preserve"> </w:t>
      </w:r>
    </w:p>
    <w:p w:rsidR="007617AD" w:rsidRDefault="00EE75C8">
      <w:pPr>
        <w:ind w:left="703" w:right="62"/>
      </w:pPr>
      <w:r>
        <w:t>Cualquiera de las partes podrá promover la revisión del Convenio para incorporar aspectos no previstos, modificarlo o ampliarlo en su alcance y contenido, debiendo comunicarlo</w:t>
      </w:r>
      <w:r>
        <w:t xml:space="preserve"> con un plazo mínimo de antelación de dos meses.</w:t>
      </w:r>
      <w:r>
        <w:rPr>
          <w:b/>
        </w:rPr>
        <w:t xml:space="preserve"> </w:t>
      </w:r>
      <w:r>
        <w:rPr>
          <w:rFonts w:ascii="Times New Roman" w:eastAsia="Times New Roman" w:hAnsi="Times New Roman" w:cs="Times New Roman"/>
          <w:sz w:val="24"/>
        </w:rPr>
        <w:t xml:space="preserve"> </w:t>
      </w:r>
    </w:p>
    <w:p w:rsidR="007617AD" w:rsidRDefault="00EE75C8">
      <w:pPr>
        <w:ind w:left="703" w:right="62"/>
      </w:pPr>
      <w:r>
        <w:t xml:space="preserve">El presente Convenio se extinguirá por terminación de su plazo o si concurriesen las causas de resolución a que se refiere el art. 51.2 de la Ley 40/2015, de 1 de octubre. </w:t>
      </w:r>
      <w:r>
        <w:rPr>
          <w:rFonts w:ascii="Times New Roman" w:eastAsia="Times New Roman" w:hAnsi="Times New Roman" w:cs="Times New Roman"/>
          <w:sz w:val="24"/>
        </w:rPr>
        <w:t xml:space="preserve"> </w:t>
      </w:r>
    </w:p>
    <w:p w:rsidR="007617AD" w:rsidRDefault="00EE75C8">
      <w:pPr>
        <w:ind w:left="703" w:right="62"/>
      </w:pPr>
      <w:r>
        <w:t>En caso de resolución del Conve</w:t>
      </w:r>
      <w:r>
        <w:t>nio, las partes quedan obligadas al cumplimiento de sus respectivos compromisos hasta la fecha en que ésta se produzca. Los efectos de la resolución se adecuarán a lo establecido por el artículo 52 de la Ley 40/2015, de 1 de octubre.</w:t>
      </w:r>
      <w:r>
        <w:rPr>
          <w:b/>
        </w:rPr>
        <w:t xml:space="preserve"> </w:t>
      </w:r>
      <w:r>
        <w:rPr>
          <w:rFonts w:ascii="Times New Roman" w:eastAsia="Times New Roman" w:hAnsi="Times New Roman" w:cs="Times New Roman"/>
          <w:sz w:val="24"/>
        </w:rPr>
        <w:t xml:space="preserve"> </w:t>
      </w:r>
    </w:p>
    <w:p w:rsidR="007617AD" w:rsidRDefault="00EE75C8">
      <w:pPr>
        <w:spacing w:after="0" w:line="259" w:lineRule="auto"/>
        <w:ind w:left="699" w:firstLine="0"/>
        <w:jc w:val="left"/>
      </w:pPr>
      <w:r>
        <w:rPr>
          <w:b/>
        </w:rPr>
        <w:t xml:space="preserve"> </w:t>
      </w:r>
    </w:p>
    <w:p w:rsidR="007617AD" w:rsidRDefault="00EE75C8">
      <w:pPr>
        <w:ind w:left="703" w:right="58"/>
      </w:pPr>
      <w:r>
        <w:rPr>
          <w:b/>
        </w:rPr>
        <w:t xml:space="preserve">SÉPTIMA. - </w:t>
      </w:r>
      <w:r>
        <w:rPr>
          <w:b/>
        </w:rPr>
        <w:t xml:space="preserve">VIGENCIA. </w:t>
      </w:r>
    </w:p>
    <w:p w:rsidR="007617AD" w:rsidRDefault="00EE75C8">
      <w:pPr>
        <w:ind w:left="703" w:right="62"/>
      </w:pPr>
      <w:r>
        <w:t xml:space="preserve">El presente Convenio tendrá una vigencia de </w:t>
      </w:r>
      <w:r>
        <w:rPr>
          <w:b/>
        </w:rPr>
        <w:t>cuatro (4) años,</w:t>
      </w:r>
      <w:r>
        <w:t xml:space="preserve"> a contar desde el día de su firma,</w:t>
      </w:r>
      <w:r>
        <w:rPr>
          <w:b/>
        </w:rPr>
        <w:t xml:space="preserve"> </w:t>
      </w:r>
      <w:r>
        <w:t xml:space="preserve">prorrogables a otros cuatro (4) años más. </w:t>
      </w:r>
      <w:r>
        <w:rPr>
          <w:rFonts w:ascii="Times New Roman" w:eastAsia="Times New Roman" w:hAnsi="Times New Roman" w:cs="Times New Roman"/>
          <w:sz w:val="24"/>
        </w:rPr>
        <w:t xml:space="preserve"> </w:t>
      </w:r>
    </w:p>
    <w:p w:rsidR="007617AD" w:rsidRDefault="00EE75C8">
      <w:pPr>
        <w:spacing w:after="134"/>
        <w:ind w:left="703" w:right="62"/>
      </w:pPr>
      <w:r>
        <w:t>No obstante, se establecen las siguientes Fases para la aplicación efectiva de los compromisos económicos</w:t>
      </w:r>
      <w:r>
        <w:t xml:space="preserve"> regulados en la cláusula cuarta: </w:t>
      </w:r>
    </w:p>
    <w:p w:rsidR="007617AD" w:rsidRDefault="00EE75C8">
      <w:pPr>
        <w:spacing w:after="137"/>
        <w:ind w:left="703" w:right="58"/>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2950" name="Group 27295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2707" name="Rectangle 2270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2708" name="Rectangle 22708"/>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120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2950" style="width:12.7031pt;height:280.02pt;position:absolute;mso-position-horizontal-relative:page;mso-position-horizontal:absolute;margin-left:682.278pt;mso-position-vertical-relative:page;margin-top:531.9pt;" coordsize="1613,35562">
                <v:rect id="Rectangle 2270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2708"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192 </w:t>
                        </w:r>
                      </w:p>
                    </w:txbxContent>
                  </v:textbox>
                </v:rect>
                <w10:wrap type="square"/>
              </v:group>
            </w:pict>
          </mc:Fallback>
        </mc:AlternateContent>
      </w:r>
      <w:r>
        <w:rPr>
          <w:b/>
        </w:rPr>
        <w:t xml:space="preserve">FASE I: Desde la fecha </w:t>
      </w:r>
      <w:r>
        <w:rPr>
          <w:b/>
        </w:rPr>
        <w:t xml:space="preserve">de firma del presente convenio hasta la fecha de recepción de la EDARI (prevista para el mes de enero de 2023). </w:t>
      </w:r>
    </w:p>
    <w:p w:rsidR="007617AD" w:rsidRDefault="00EE75C8">
      <w:pPr>
        <w:spacing w:after="137"/>
        <w:ind w:left="703" w:right="62"/>
      </w:pPr>
      <w:r>
        <w:t>El CIATF no emitirá notas de cargo a los Ayuntamientos asumiendo con cargo a su presupuesto los costes derivados del tratamiento secundario y f</w:t>
      </w:r>
      <w:r>
        <w:t xml:space="preserve">ísico químico de los caudales de la EDARI. </w:t>
      </w:r>
    </w:p>
    <w:p w:rsidR="007617AD" w:rsidRDefault="00EE75C8">
      <w:pPr>
        <w:spacing w:after="134"/>
        <w:ind w:left="703" w:right="58"/>
      </w:pPr>
      <w:r>
        <w:rPr>
          <w:b/>
        </w:rPr>
        <w:t xml:space="preserve">FASE II: Desde la fecha de recepción de la EDARI hasta la fecha de puesta en funcionamiento de la EDARU (prevista para el mes de enero de 2025). </w:t>
      </w:r>
    </w:p>
    <w:p w:rsidR="007617AD" w:rsidRDefault="00EE75C8">
      <w:pPr>
        <w:spacing w:after="137"/>
        <w:ind w:left="703" w:right="62"/>
      </w:pPr>
      <w:r>
        <w:t>El CIATF emitirá a partir de la recepción de la EDARI (prevista pa</w:t>
      </w:r>
      <w:r>
        <w:t xml:space="preserve">ra el mes de enero de 2023) las notas de cargo correspondientes a la operación y mantenimiento de la EDARI de acuerdo a lo regulado en la cláusula cuarta incluyendo los costes en que se haya incurrido desde la puesta en funcionamiento del servicio tras la </w:t>
      </w:r>
      <w:r>
        <w:t xml:space="preserve">recepción de las obras. </w:t>
      </w:r>
    </w:p>
    <w:p w:rsidR="007617AD" w:rsidRDefault="00EE75C8">
      <w:pPr>
        <w:spacing w:after="134"/>
        <w:ind w:left="703" w:right="58"/>
      </w:pPr>
      <w:r>
        <w:rPr>
          <w:b/>
        </w:rPr>
        <w:t xml:space="preserve">FASE III: Desde la fecha de puesta en funcionamiento de la EDARU (prevista para el mes de enero de 2025). </w:t>
      </w:r>
    </w:p>
    <w:p w:rsidR="007617AD" w:rsidRDefault="00EE75C8">
      <w:pPr>
        <w:spacing w:after="134"/>
        <w:ind w:left="703" w:right="62"/>
      </w:pPr>
      <w:r>
        <w:t xml:space="preserve">El CIATF emitirá a partir del mes de enero de 2025 las notas de cargo correspondientes a la operación y mantenimiento de la </w:t>
      </w:r>
      <w:r>
        <w:t xml:space="preserve">EDARI y de la EDARU de acuerdo a lo regulado en la cláusula cuarta. </w:t>
      </w:r>
    </w:p>
    <w:p w:rsidR="007617AD" w:rsidRDefault="00EE75C8">
      <w:pPr>
        <w:ind w:left="703" w:right="62"/>
      </w:pPr>
      <w:r>
        <w:t>Las fechas señaladas tienen carácter indicativo pudiendo verse modificadas atendiendo al cronograma de ejecución de las obras, lo cual requerirá la correspondiente modificación y reajuste de anualidades que deberá ser aprobada por las Administraciones firm</w:t>
      </w:r>
      <w:r>
        <w:t xml:space="preserve">antes y formalizada en la correspondiente Adenda. </w:t>
      </w:r>
    </w:p>
    <w:p w:rsidR="007617AD" w:rsidRDefault="00EE75C8">
      <w:pPr>
        <w:ind w:left="703" w:right="58"/>
      </w:pPr>
      <w:r>
        <w:rPr>
          <w:b/>
        </w:rPr>
        <w:t>OCTAVA. - RÉGIMEN JURÍDICO, SOLUCIÓN DE CONTROVERSIAS Y JURISDICCIÓN.</w:t>
      </w:r>
      <w:r>
        <w:rPr>
          <w:rFonts w:ascii="Times New Roman" w:eastAsia="Times New Roman" w:hAnsi="Times New Roman" w:cs="Times New Roman"/>
          <w:sz w:val="24"/>
        </w:rPr>
        <w:t xml:space="preserve"> </w:t>
      </w:r>
    </w:p>
    <w:p w:rsidR="007617AD" w:rsidRDefault="00EE75C8">
      <w:pPr>
        <w:ind w:left="703" w:right="62"/>
      </w:pPr>
      <w:r>
        <w:t>El presente convenio tiene naturaleza administrativa y está excluido del ámbito de aplicación de la Ley 9/2017, de Contratos del Secto</w:t>
      </w:r>
      <w:r>
        <w:t>r Público conforme a lo establecido en el apartado 2 de su art. 6. Todo ello sin perjuicio de la aplicación de los principios de la citada norma para resolver las dudas y lagunas que pudieran presentarse, según dispone su artículo 4.</w:t>
      </w:r>
      <w:r>
        <w:rPr>
          <w:rFonts w:ascii="Times New Roman" w:eastAsia="Times New Roman" w:hAnsi="Times New Roman" w:cs="Times New Roman"/>
          <w:sz w:val="24"/>
        </w:rPr>
        <w:t xml:space="preserve"> </w:t>
      </w:r>
    </w:p>
    <w:p w:rsidR="007617AD" w:rsidRDefault="00EE75C8">
      <w:pPr>
        <w:spacing w:after="137"/>
        <w:ind w:left="703" w:right="62"/>
      </w:pPr>
      <w:r>
        <w:t>Las partes, interpret</w:t>
      </w:r>
      <w:r>
        <w:t>arán, desarrollarán y ejecutarán el contenido del presente convenio teniendo en cuenta los fines que con el mismo se persiguen, comprometiéndose a resolver de buena fe y común acuerdo todas las cuestiones que puedan surgir en relación con su interpretación</w:t>
      </w:r>
      <w:r>
        <w:t xml:space="preserve"> y ejecución. </w:t>
      </w:r>
    </w:p>
    <w:p w:rsidR="007617AD" w:rsidRDefault="00EE75C8">
      <w:pPr>
        <w:spacing w:after="137"/>
        <w:ind w:left="703" w:right="62"/>
      </w:pPr>
      <w:r>
        <w:t>En defecto de acuerdo cualquiera de las partes podrá recabar la tutela de los Tribunales. A tales efectos para cualquier divergencia o litigio que pueda surgir o derivarse de este convenio, las partes se someten voluntariamente a la jurisdicción contencios</w:t>
      </w:r>
      <w:r>
        <w:t xml:space="preserve">o-administrativa de los Jueces y Tribunales de Santa Cruz de Tenerife, conforme a lo establecido en la normativa de aplicación. </w:t>
      </w:r>
    </w:p>
    <w:p w:rsidR="007617AD" w:rsidRDefault="00EE75C8">
      <w:pPr>
        <w:spacing w:after="97" w:line="248" w:lineRule="auto"/>
        <w:ind w:left="703" w:right="34"/>
        <w:jc w:val="left"/>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3807" name="Group 27380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2845" name="Rectangle 2284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2846" name="Rectangle 22846"/>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 electr</w:t>
                              </w:r>
                              <w:r>
                                <w:rPr>
                                  <w:sz w:val="12"/>
                                </w:rPr>
                                <w:t xml:space="preserve">ónicamente desde la plataforma esPublico Gestiona | Página 121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3807" style="width:12.7031pt;height:280.02pt;position:absolute;mso-position-horizontal-relative:page;mso-position-horizontal:absolute;margin-left:682.278pt;mso-position-vertical-relative:page;margin-top:531.9pt;" coordsize="1613,35562">
                <v:rect id="Rectangle 2284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2846"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192 </w:t>
                        </w:r>
                      </w:p>
                    </w:txbxContent>
                  </v:textbox>
                </v:rect>
                <w10:wrap type="square"/>
              </v:group>
            </w:pict>
          </mc:Fallback>
        </mc:AlternateContent>
      </w:r>
      <w:r>
        <w:t>En todo lo no previsto en el presente convenio se estará a lo dispuesto en la Ley 40/2015, de 1 de octubre de Régimen Jurídico del Sector Público, y cualquier otra disposición normativa</w:t>
      </w:r>
      <w:r>
        <w:t xml:space="preserve"> que por su naturaleza pudiera resultar de aplicación.</w:t>
      </w:r>
      <w:r>
        <w:rPr>
          <w:b/>
        </w:rPr>
        <w:t xml:space="preserve"> </w:t>
      </w:r>
      <w:r>
        <w:rPr>
          <w:rFonts w:ascii="Times New Roman" w:eastAsia="Times New Roman" w:hAnsi="Times New Roman" w:cs="Times New Roman"/>
          <w:sz w:val="24"/>
        </w:rPr>
        <w:t xml:space="preserve"> </w:t>
      </w:r>
    </w:p>
    <w:p w:rsidR="007617AD" w:rsidRDefault="00EE75C8">
      <w:pPr>
        <w:spacing w:after="117" w:line="259" w:lineRule="auto"/>
        <w:ind w:left="708" w:firstLine="0"/>
        <w:jc w:val="left"/>
      </w:pPr>
      <w:r>
        <w:t xml:space="preserve"> </w:t>
      </w:r>
    </w:p>
    <w:p w:rsidR="007617AD" w:rsidRDefault="00EE75C8">
      <w:pPr>
        <w:ind w:left="703" w:right="62"/>
      </w:pPr>
      <w:r>
        <w:t xml:space="preserve">Y para que así conste, en prueba de conformidad, las Partes firman el presente documento, por cuadruplicado ejemplar y a un solo efecto. </w:t>
      </w:r>
    </w:p>
    <w:p w:rsidR="007617AD" w:rsidRDefault="00EE75C8">
      <w:pPr>
        <w:spacing w:after="0" w:line="259" w:lineRule="auto"/>
        <w:ind w:left="708" w:firstLine="0"/>
        <w:jc w:val="left"/>
      </w:pPr>
      <w:r>
        <w:rPr>
          <w:b/>
        </w:rPr>
        <w:t xml:space="preserve"> </w:t>
      </w:r>
    </w:p>
    <w:p w:rsidR="007617AD" w:rsidRDefault="00EE75C8">
      <w:pPr>
        <w:spacing w:after="4"/>
        <w:ind w:left="811" w:right="1335"/>
        <w:jc w:val="left"/>
      </w:pPr>
      <w:r>
        <w:rPr>
          <w:b/>
        </w:rPr>
        <w:t xml:space="preserve">                    El Presidente  </w:t>
      </w:r>
      <w:r>
        <w:rPr>
          <w:b/>
        </w:rPr>
        <w:tab/>
        <w:t>La Alcaldesa-Presiden</w:t>
      </w:r>
      <w:r>
        <w:rPr>
          <w:b/>
        </w:rPr>
        <w:t xml:space="preserve">ta  del Consejo Insular de Aguas de Tenerife </w:t>
      </w:r>
      <w:r>
        <w:rPr>
          <w:b/>
        </w:rPr>
        <w:tab/>
        <w:t xml:space="preserve">del Ayuntamiento de Candelaria  </w:t>
      </w:r>
      <w:r>
        <w:rPr>
          <w:b/>
        </w:rPr>
        <w:tab/>
        <w:t xml:space="preserve"> </w:t>
      </w:r>
    </w:p>
    <w:p w:rsidR="007617AD" w:rsidRDefault="00EE75C8">
      <w:pPr>
        <w:spacing w:after="0" w:line="259" w:lineRule="auto"/>
        <w:ind w:left="816" w:firstLine="0"/>
        <w:jc w:val="left"/>
      </w:pPr>
      <w:r>
        <w:rPr>
          <w:b/>
        </w:rPr>
        <w:t xml:space="preserve"> </w:t>
      </w:r>
      <w:r>
        <w:rPr>
          <w:b/>
        </w:rPr>
        <w:tab/>
        <w:t xml:space="preserve"> </w:t>
      </w:r>
    </w:p>
    <w:p w:rsidR="007617AD" w:rsidRDefault="00EE75C8">
      <w:pPr>
        <w:tabs>
          <w:tab w:val="center" w:pos="2976"/>
          <w:tab w:val="center" w:pos="7301"/>
        </w:tabs>
        <w:spacing w:after="11"/>
        <w:ind w:left="0" w:firstLine="0"/>
        <w:jc w:val="left"/>
      </w:pPr>
      <w:r>
        <w:rPr>
          <w:rFonts w:ascii="Calibri" w:eastAsia="Calibri" w:hAnsi="Calibri" w:cs="Calibri"/>
        </w:rPr>
        <w:tab/>
      </w:r>
      <w:r>
        <w:t xml:space="preserve">D. Pedro M. Martín Domínguez </w:t>
      </w:r>
      <w:r>
        <w:tab/>
        <w:t xml:space="preserve">Dª Maria Concepción Brito Núñez </w:t>
      </w:r>
    </w:p>
    <w:p w:rsidR="007617AD" w:rsidRDefault="00EE75C8">
      <w:pPr>
        <w:spacing w:after="0" w:line="259" w:lineRule="auto"/>
        <w:ind w:left="816" w:firstLine="0"/>
        <w:jc w:val="left"/>
      </w:pPr>
      <w:r>
        <w:rPr>
          <w:b/>
        </w:rPr>
        <w:t xml:space="preserve"> </w:t>
      </w:r>
      <w:r>
        <w:rPr>
          <w:b/>
        </w:rPr>
        <w:tab/>
      </w:r>
      <w:r>
        <w:t xml:space="preserve"> </w:t>
      </w:r>
    </w:p>
    <w:p w:rsidR="007617AD" w:rsidRDefault="00EE75C8">
      <w:pPr>
        <w:spacing w:after="0" w:line="259" w:lineRule="auto"/>
        <w:ind w:left="4319" w:firstLine="0"/>
        <w:jc w:val="center"/>
      </w:pPr>
      <w:r>
        <w:t xml:space="preserve"> </w:t>
      </w:r>
    </w:p>
    <w:p w:rsidR="007617AD" w:rsidRDefault="00EE75C8">
      <w:pPr>
        <w:spacing w:after="11"/>
        <w:ind w:left="1587" w:right="1519" w:firstLine="266"/>
      </w:pPr>
      <w:r>
        <w:rPr>
          <w:b/>
        </w:rPr>
        <w:t xml:space="preserve">El Alcalde-Presidente  </w:t>
      </w:r>
      <w:r>
        <w:rPr>
          <w:b/>
        </w:rPr>
        <w:tab/>
        <w:t xml:space="preserve">El Alcalde-Presidente del Ayuntamiento de Arafo </w:t>
      </w:r>
      <w:r>
        <w:rPr>
          <w:b/>
        </w:rPr>
        <w:tab/>
        <w:t xml:space="preserve"> del Ayuntamiento de Güímar </w:t>
      </w:r>
    </w:p>
    <w:tbl>
      <w:tblPr>
        <w:tblStyle w:val="TableGrid"/>
        <w:tblW w:w="8993" w:type="dxa"/>
        <w:tblInd w:w="708" w:type="dxa"/>
        <w:tblCellMar>
          <w:top w:w="0" w:type="dxa"/>
          <w:left w:w="0" w:type="dxa"/>
          <w:bottom w:w="0" w:type="dxa"/>
          <w:right w:w="0" w:type="dxa"/>
        </w:tblCellMar>
        <w:tblLook w:val="04A0" w:firstRow="1" w:lastRow="0" w:firstColumn="1" w:lastColumn="0" w:noHBand="0" w:noVBand="1"/>
      </w:tblPr>
      <w:tblGrid>
        <w:gridCol w:w="5072"/>
        <w:gridCol w:w="3922"/>
      </w:tblGrid>
      <w:tr w:rsidR="007617AD">
        <w:trPr>
          <w:trHeight w:val="1769"/>
        </w:trPr>
        <w:tc>
          <w:tcPr>
            <w:tcW w:w="5072" w:type="dxa"/>
            <w:tcBorders>
              <w:top w:val="nil"/>
              <w:left w:val="nil"/>
              <w:bottom w:val="nil"/>
              <w:right w:val="nil"/>
            </w:tcBorders>
          </w:tcPr>
          <w:p w:rsidR="007617AD" w:rsidRDefault="00EE75C8">
            <w:pPr>
              <w:spacing w:after="0" w:line="259" w:lineRule="auto"/>
              <w:ind w:left="108" w:firstLine="0"/>
              <w:jc w:val="left"/>
            </w:pPr>
            <w:r>
              <w:rPr>
                <w:b/>
              </w:rPr>
              <w:t xml:space="preserve"> </w:t>
            </w:r>
          </w:p>
          <w:p w:rsidR="007617AD" w:rsidRDefault="00EE75C8">
            <w:pPr>
              <w:spacing w:after="0" w:line="259" w:lineRule="auto"/>
              <w:ind w:left="108" w:firstLine="0"/>
              <w:jc w:val="left"/>
            </w:pPr>
            <w:r>
              <w:rPr>
                <w:b/>
              </w:rPr>
              <w:t xml:space="preserve"> </w:t>
            </w:r>
            <w:r>
              <w:rPr>
                <w:b/>
              </w:rPr>
              <w:tab/>
              <w:t xml:space="preserve"> </w:t>
            </w:r>
          </w:p>
          <w:p w:rsidR="007617AD" w:rsidRDefault="00EE75C8">
            <w:pPr>
              <w:spacing w:after="0" w:line="259" w:lineRule="auto"/>
              <w:ind w:left="850" w:firstLine="0"/>
              <w:jc w:val="left"/>
            </w:pPr>
            <w:r>
              <w:t xml:space="preserve">D. José Ramón Martín Pérez </w:t>
            </w:r>
          </w:p>
          <w:p w:rsidR="007617AD" w:rsidRDefault="00EE75C8">
            <w:pPr>
              <w:spacing w:after="0" w:line="259" w:lineRule="auto"/>
              <w:ind w:left="0" w:right="366" w:firstLine="0"/>
              <w:jc w:val="right"/>
            </w:pPr>
            <w:r>
              <w:rPr>
                <w:b/>
              </w:rPr>
              <w:t xml:space="preserve"> </w:t>
            </w:r>
          </w:p>
          <w:p w:rsidR="007617AD" w:rsidRDefault="00EE75C8">
            <w:pPr>
              <w:spacing w:after="0" w:line="259" w:lineRule="auto"/>
              <w:ind w:left="0" w:right="231" w:firstLine="0"/>
              <w:jc w:val="right"/>
            </w:pPr>
            <w:r>
              <w:rPr>
                <w:b/>
              </w:rPr>
              <w:t xml:space="preserve"> </w:t>
            </w:r>
          </w:p>
          <w:p w:rsidR="007617AD" w:rsidRDefault="00EE75C8">
            <w:pPr>
              <w:spacing w:after="0" w:line="259" w:lineRule="auto"/>
              <w:ind w:left="0" w:firstLine="0"/>
              <w:jc w:val="left"/>
            </w:pPr>
            <w:r>
              <w:rPr>
                <w:b/>
              </w:rPr>
              <w:t xml:space="preserve"> </w:t>
            </w:r>
          </w:p>
          <w:p w:rsidR="007617AD" w:rsidRDefault="00EE75C8">
            <w:pPr>
              <w:spacing w:after="0" w:line="259" w:lineRule="auto"/>
              <w:ind w:left="0" w:firstLine="0"/>
              <w:jc w:val="left"/>
            </w:pPr>
            <w:r>
              <w:rPr>
                <w:b/>
              </w:rPr>
              <w:t xml:space="preserve"> </w:t>
            </w:r>
          </w:p>
        </w:tc>
        <w:tc>
          <w:tcPr>
            <w:tcW w:w="3922" w:type="dxa"/>
            <w:tcBorders>
              <w:top w:val="nil"/>
              <w:left w:val="nil"/>
              <w:bottom w:val="nil"/>
              <w:right w:val="nil"/>
            </w:tcBorders>
          </w:tcPr>
          <w:p w:rsidR="007617AD" w:rsidRDefault="00EE75C8">
            <w:pPr>
              <w:spacing w:after="235" w:line="259" w:lineRule="auto"/>
              <w:ind w:left="281" w:firstLine="0"/>
              <w:jc w:val="left"/>
            </w:pPr>
            <w:r>
              <w:rPr>
                <w:b/>
              </w:rPr>
              <w:t xml:space="preserve"> </w:t>
            </w:r>
          </w:p>
          <w:p w:rsidR="007617AD" w:rsidRDefault="00EE75C8">
            <w:pPr>
              <w:spacing w:after="0" w:line="259" w:lineRule="auto"/>
              <w:ind w:left="310" w:firstLine="0"/>
              <w:jc w:val="left"/>
            </w:pPr>
            <w:r>
              <w:t xml:space="preserve">D. Gustavo Pérez Martín </w:t>
            </w:r>
          </w:p>
        </w:tc>
      </w:tr>
      <w:tr w:rsidR="007617AD">
        <w:trPr>
          <w:trHeight w:val="1016"/>
        </w:trPr>
        <w:tc>
          <w:tcPr>
            <w:tcW w:w="5072" w:type="dxa"/>
            <w:tcBorders>
              <w:top w:val="nil"/>
              <w:left w:val="nil"/>
              <w:bottom w:val="nil"/>
              <w:right w:val="nil"/>
            </w:tcBorders>
          </w:tcPr>
          <w:p w:rsidR="007617AD" w:rsidRDefault="00EE75C8">
            <w:pPr>
              <w:spacing w:after="0" w:line="259" w:lineRule="auto"/>
              <w:ind w:left="1198" w:firstLine="0"/>
              <w:jc w:val="left"/>
            </w:pPr>
            <w:r>
              <w:rPr>
                <w:b/>
              </w:rPr>
              <w:t xml:space="preserve">La Secretaria Delegada Acctal. </w:t>
            </w:r>
          </w:p>
          <w:p w:rsidR="007617AD" w:rsidRDefault="00EE75C8">
            <w:pPr>
              <w:spacing w:after="0" w:line="259" w:lineRule="auto"/>
              <w:ind w:left="0" w:right="100" w:firstLine="0"/>
              <w:jc w:val="right"/>
            </w:pPr>
            <w:r>
              <w:rPr>
                <w:b/>
              </w:rPr>
              <w:t xml:space="preserve"> del Consejo Insular de Aguas de Tenerife </w:t>
            </w:r>
          </w:p>
          <w:p w:rsidR="007617AD" w:rsidRDefault="00EE75C8">
            <w:pPr>
              <w:spacing w:after="0" w:line="259" w:lineRule="auto"/>
              <w:ind w:left="566" w:firstLine="0"/>
              <w:jc w:val="left"/>
            </w:pPr>
            <w:r>
              <w:rPr>
                <w:b/>
              </w:rPr>
              <w:t xml:space="preserve"> </w:t>
            </w:r>
          </w:p>
          <w:p w:rsidR="007617AD" w:rsidRDefault="00EE75C8">
            <w:pPr>
              <w:spacing w:after="0" w:line="259" w:lineRule="auto"/>
              <w:ind w:left="1358" w:firstLine="0"/>
              <w:jc w:val="left"/>
            </w:pPr>
            <w:r>
              <w:t xml:space="preserve">Dª Mª de la O González León </w:t>
            </w:r>
          </w:p>
        </w:tc>
        <w:tc>
          <w:tcPr>
            <w:tcW w:w="3922" w:type="dxa"/>
            <w:tcBorders>
              <w:top w:val="nil"/>
              <w:left w:val="nil"/>
              <w:bottom w:val="nil"/>
              <w:right w:val="nil"/>
            </w:tcBorders>
          </w:tcPr>
          <w:p w:rsidR="007617AD" w:rsidRDefault="00EE75C8">
            <w:pPr>
              <w:spacing w:after="0" w:line="240" w:lineRule="auto"/>
              <w:ind w:left="382" w:right="205" w:firstLine="523"/>
            </w:pPr>
            <w:r>
              <w:rPr>
                <w:b/>
              </w:rPr>
              <w:t xml:space="preserve"> El Secretario General  del Ayuntamiento de Candelaria </w:t>
            </w:r>
          </w:p>
          <w:p w:rsidR="007617AD" w:rsidRDefault="00EE75C8">
            <w:pPr>
              <w:spacing w:after="0" w:line="259" w:lineRule="auto"/>
              <w:ind w:left="173" w:firstLine="0"/>
              <w:jc w:val="left"/>
            </w:pPr>
            <w:r>
              <w:rPr>
                <w:b/>
              </w:rPr>
              <w:t xml:space="preserve"> </w:t>
            </w:r>
          </w:p>
          <w:p w:rsidR="007617AD" w:rsidRDefault="00EE75C8">
            <w:pPr>
              <w:spacing w:after="0" w:line="259" w:lineRule="auto"/>
              <w:ind w:left="0" w:right="80" w:firstLine="0"/>
              <w:jc w:val="right"/>
            </w:pPr>
            <w:r>
              <w:t>D. Octavio M. Fernández Hernández</w:t>
            </w:r>
            <w:r>
              <w:rPr>
                <w:rFonts w:ascii="Times New Roman" w:eastAsia="Times New Roman" w:hAnsi="Times New Roman" w:cs="Times New Roman"/>
                <w:sz w:val="24"/>
              </w:rPr>
              <w:t xml:space="preserve"> </w:t>
            </w:r>
          </w:p>
        </w:tc>
      </w:tr>
      <w:tr w:rsidR="007617AD">
        <w:trPr>
          <w:trHeight w:val="1538"/>
        </w:trPr>
        <w:tc>
          <w:tcPr>
            <w:tcW w:w="5072" w:type="dxa"/>
            <w:tcBorders>
              <w:top w:val="nil"/>
              <w:left w:val="nil"/>
              <w:bottom w:val="nil"/>
              <w:right w:val="nil"/>
            </w:tcBorders>
          </w:tcPr>
          <w:p w:rsidR="007617AD" w:rsidRDefault="00EE75C8">
            <w:pPr>
              <w:spacing w:after="0" w:line="259" w:lineRule="auto"/>
              <w:ind w:left="583" w:firstLine="0"/>
              <w:jc w:val="center"/>
            </w:pPr>
            <w:r>
              <w:rPr>
                <w:b/>
              </w:rPr>
              <w:t xml:space="preserve"> </w:t>
            </w:r>
          </w:p>
          <w:p w:rsidR="007617AD" w:rsidRDefault="00EE75C8">
            <w:pPr>
              <w:spacing w:after="0" w:line="259" w:lineRule="auto"/>
              <w:ind w:left="583" w:firstLine="0"/>
              <w:jc w:val="center"/>
            </w:pPr>
            <w:r>
              <w:rPr>
                <w:b/>
              </w:rPr>
              <w:t xml:space="preserve"> </w:t>
            </w:r>
          </w:p>
          <w:p w:rsidR="007617AD" w:rsidRDefault="00EE75C8">
            <w:pPr>
              <w:spacing w:after="4" w:line="239" w:lineRule="auto"/>
              <w:ind w:left="1409" w:right="862" w:firstLine="0"/>
              <w:jc w:val="center"/>
            </w:pPr>
            <w:r>
              <w:rPr>
                <w:b/>
              </w:rPr>
              <w:t xml:space="preserve">La Secretaria General  del Ayuntamiento de Arafo </w:t>
            </w:r>
          </w:p>
          <w:p w:rsidR="007617AD" w:rsidRDefault="00EE75C8">
            <w:pPr>
              <w:spacing w:after="0" w:line="259" w:lineRule="auto"/>
              <w:ind w:left="566" w:firstLine="0"/>
              <w:jc w:val="left"/>
            </w:pPr>
            <w:r>
              <w:t xml:space="preserve"> </w:t>
            </w:r>
          </w:p>
          <w:p w:rsidR="007617AD" w:rsidRDefault="00EE75C8">
            <w:pPr>
              <w:spacing w:after="0" w:line="259" w:lineRule="auto"/>
              <w:ind w:left="1106" w:firstLine="0"/>
              <w:jc w:val="left"/>
            </w:pPr>
            <w:r>
              <w:t xml:space="preserve">Dª Ruth Cristina Arteaga González </w:t>
            </w:r>
          </w:p>
        </w:tc>
        <w:tc>
          <w:tcPr>
            <w:tcW w:w="3922" w:type="dxa"/>
            <w:tcBorders>
              <w:top w:val="nil"/>
              <w:left w:val="nil"/>
              <w:bottom w:val="nil"/>
              <w:right w:val="nil"/>
            </w:tcBorders>
          </w:tcPr>
          <w:p w:rsidR="007617AD" w:rsidRDefault="00EE75C8">
            <w:pPr>
              <w:spacing w:after="0" w:line="259" w:lineRule="auto"/>
              <w:ind w:left="173" w:firstLine="0"/>
              <w:jc w:val="left"/>
            </w:pPr>
            <w:r>
              <w:rPr>
                <w:b/>
              </w:rPr>
              <w:t xml:space="preserve"> </w:t>
            </w:r>
          </w:p>
          <w:p w:rsidR="007617AD" w:rsidRDefault="00EE75C8">
            <w:pPr>
              <w:spacing w:after="0" w:line="259" w:lineRule="auto"/>
              <w:ind w:left="173" w:firstLine="0"/>
              <w:jc w:val="left"/>
            </w:pPr>
            <w:r>
              <w:rPr>
                <w:b/>
              </w:rPr>
              <w:t xml:space="preserve"> </w:t>
            </w:r>
          </w:p>
          <w:p w:rsidR="007617AD" w:rsidRDefault="00EE75C8">
            <w:pPr>
              <w:spacing w:after="27" w:line="239" w:lineRule="auto"/>
              <w:ind w:left="560" w:right="301" w:firstLine="358"/>
            </w:pPr>
            <w:r>
              <w:rPr>
                <w:b/>
              </w:rPr>
              <w:t xml:space="preserve">La Secretaria General  del Ayuntamiento de Güímar </w:t>
            </w:r>
          </w:p>
          <w:p w:rsidR="007617AD" w:rsidRDefault="00EE75C8">
            <w:pPr>
              <w:spacing w:after="0" w:line="259" w:lineRule="auto"/>
              <w:ind w:left="881" w:firstLine="0"/>
              <w:jc w:val="left"/>
            </w:pPr>
            <w:r>
              <w:rPr>
                <w:b/>
              </w:rPr>
              <w:t xml:space="preserve">   </w:t>
            </w:r>
            <w:r>
              <w:rPr>
                <w:rFonts w:ascii="Times New Roman" w:eastAsia="Times New Roman" w:hAnsi="Times New Roman" w:cs="Times New Roman"/>
                <w:sz w:val="24"/>
              </w:rPr>
              <w:t xml:space="preserve"> </w:t>
            </w:r>
          </w:p>
          <w:p w:rsidR="007617AD" w:rsidRDefault="00EE75C8">
            <w:pPr>
              <w:spacing w:after="0" w:line="259" w:lineRule="auto"/>
              <w:ind w:left="0" w:right="63" w:firstLine="0"/>
              <w:jc w:val="right"/>
            </w:pPr>
            <w:r>
              <w:t xml:space="preserve">Dª María Isabel Santos García </w:t>
            </w:r>
          </w:p>
        </w:tc>
      </w:tr>
    </w:tbl>
    <w:p w:rsidR="007617AD" w:rsidRDefault="00EE75C8">
      <w:pPr>
        <w:spacing w:after="3" w:line="259" w:lineRule="auto"/>
        <w:ind w:left="699" w:firstLine="0"/>
        <w:jc w:val="center"/>
      </w:pPr>
      <w:r>
        <w:t xml:space="preserve"> </w:t>
      </w:r>
    </w:p>
    <w:p w:rsidR="007617AD" w:rsidRDefault="00EE75C8">
      <w:pPr>
        <w:ind w:left="703" w:right="58"/>
      </w:pPr>
      <w:r>
        <w:rPr>
          <w:b/>
        </w:rPr>
        <w:t xml:space="preserve">“ </w:t>
      </w:r>
    </w:p>
    <w:p w:rsidR="007617AD" w:rsidRDefault="00EE75C8">
      <w:pPr>
        <w:ind w:left="693" w:right="58" w:firstLine="708"/>
      </w:pPr>
      <w:r>
        <w:rPr>
          <w:b/>
        </w:rPr>
        <w:t>Esta Alcaldía-</w:t>
      </w:r>
      <w:r>
        <w:rPr>
          <w:b/>
        </w:rPr>
        <w:t xml:space="preserve">Presidencia, eleva AL PLENO DE LA CORPORACIÓN LA SIGUIENTE PROPUESTA DE ACUERDO: </w:t>
      </w:r>
    </w:p>
    <w:p w:rsidR="007617AD" w:rsidRDefault="00EE75C8">
      <w:pPr>
        <w:spacing w:after="98" w:line="259" w:lineRule="auto"/>
        <w:ind w:left="699" w:firstLine="0"/>
        <w:jc w:val="center"/>
      </w:pPr>
      <w:r>
        <w:rPr>
          <w:b/>
        </w:rPr>
        <w:t xml:space="preserve"> </w:t>
      </w:r>
    </w:p>
    <w:p w:rsidR="007617AD" w:rsidRDefault="00EE75C8">
      <w:pPr>
        <w:spacing w:after="0"/>
        <w:ind w:left="693" w:right="58" w:firstLine="1133"/>
      </w:pPr>
      <w:r>
        <w:rPr>
          <w:b/>
        </w:rPr>
        <w:t>Primero. - Aprobar el convenio de colaboración entre el Consejo Insular de Aguas de Tenerife y los Ayuntamientos de Candelaria, Arafo y Güimar para la gestión de las infrae</w:t>
      </w:r>
      <w:r>
        <w:rPr>
          <w:b/>
        </w:rPr>
        <w:t xml:space="preserve">structuras de depuración y vertido de aguas residuales, urbanas e industriales, de los sistemas territoriales del Valle de Güimar y Polígono Industrial del Valle de Güimar cuyo texto se inserta a continuación, así como sus anexos. </w:t>
      </w:r>
    </w:p>
    <w:p w:rsidR="007617AD" w:rsidRDefault="00EE75C8">
      <w:pPr>
        <w:spacing w:after="0" w:line="259" w:lineRule="auto"/>
        <w:ind w:left="1841" w:firstLine="0"/>
        <w:jc w:val="left"/>
      </w:pPr>
      <w:r>
        <w:t xml:space="preserve"> </w:t>
      </w:r>
    </w:p>
    <w:p w:rsidR="007617AD" w:rsidRDefault="00EE75C8">
      <w:pPr>
        <w:spacing w:after="11"/>
        <w:ind w:left="1851" w:right="62"/>
      </w:pPr>
      <w:r>
        <w:t>-Anexo I. Plano de pun</w:t>
      </w:r>
      <w:r>
        <w:t xml:space="preserve">tos de recepción de las aguas residuales brutas de origen urbano.  </w:t>
      </w:r>
    </w:p>
    <w:p w:rsidR="007617AD" w:rsidRDefault="00EE75C8">
      <w:pPr>
        <w:spacing w:after="0" w:line="259" w:lineRule="auto"/>
        <w:ind w:left="1841" w:firstLine="0"/>
        <w:jc w:val="left"/>
      </w:pPr>
      <w:r>
        <w:t xml:space="preserve"> </w:t>
      </w:r>
    </w:p>
    <w:p w:rsidR="007617AD" w:rsidRDefault="00EE75C8">
      <w:pPr>
        <w:numPr>
          <w:ilvl w:val="0"/>
          <w:numId w:val="63"/>
        </w:numPr>
        <w:spacing w:after="11"/>
        <w:ind w:right="62" w:hanging="168"/>
      </w:pPr>
      <w:r>
        <w:t xml:space="preserve">Anexo II. Plano de puntos de recepción de las aguas residuales brutas de origen </w:t>
      </w:r>
    </w:p>
    <w:p w:rsidR="007617AD" w:rsidRDefault="00EE75C8">
      <w:pPr>
        <w:spacing w:after="11"/>
        <w:ind w:left="703" w:right="62"/>
      </w:pPr>
      <w:r>
        <w:t xml:space="preserve">industrial.  </w:t>
      </w:r>
    </w:p>
    <w:p w:rsidR="007617AD" w:rsidRDefault="00EE75C8">
      <w:pPr>
        <w:spacing w:after="0" w:line="259" w:lineRule="auto"/>
        <w:ind w:left="1841" w:firstLine="0"/>
        <w:jc w:val="left"/>
      </w:pPr>
      <w:r>
        <w:t xml:space="preserve"> </w:t>
      </w:r>
    </w:p>
    <w:p w:rsidR="007617AD" w:rsidRDefault="00EE75C8">
      <w:pPr>
        <w:numPr>
          <w:ilvl w:val="0"/>
          <w:numId w:val="63"/>
        </w:numPr>
        <w:spacing w:after="11"/>
        <w:ind w:right="62" w:hanging="168"/>
      </w:pPr>
      <w:r>
        <w:t xml:space="preserve">Anexo III. Cronograma de Inversiones.  </w:t>
      </w:r>
    </w:p>
    <w:p w:rsidR="007617AD" w:rsidRDefault="00EE75C8">
      <w:pPr>
        <w:spacing w:after="0" w:line="259" w:lineRule="auto"/>
        <w:ind w:left="1841" w:firstLine="0"/>
        <w:jc w:val="left"/>
      </w:pPr>
      <w:r>
        <w:t xml:space="preserve"> </w:t>
      </w:r>
    </w:p>
    <w:p w:rsidR="007617AD" w:rsidRDefault="00EE75C8">
      <w:pPr>
        <w:numPr>
          <w:ilvl w:val="0"/>
          <w:numId w:val="63"/>
        </w:numPr>
        <w:spacing w:after="11"/>
        <w:ind w:right="62" w:hanging="168"/>
      </w:pPr>
      <w:r>
        <w:t xml:space="preserve">Anexo IV. Costes estimados del convenio. </w:t>
      </w:r>
    </w:p>
    <w:p w:rsidR="007617AD" w:rsidRDefault="00EE75C8">
      <w:pPr>
        <w:spacing w:after="0" w:line="259" w:lineRule="auto"/>
        <w:ind w:left="1841" w:firstLine="0"/>
        <w:jc w:val="left"/>
      </w:pPr>
      <w:r>
        <w:rPr>
          <w:b/>
        </w:rPr>
        <w:t xml:space="preserve"> </w:t>
      </w:r>
    </w:p>
    <w:p w:rsidR="007617AD" w:rsidRDefault="00EE75C8">
      <w:pPr>
        <w:spacing w:after="11"/>
        <w:ind w:left="1851" w:right="58"/>
      </w:pPr>
      <w:r>
        <w:rPr>
          <w:b/>
        </w:rPr>
        <w:t>Seg</w:t>
      </w:r>
      <w:r>
        <w:rPr>
          <w:b/>
        </w:rPr>
        <w:t xml:space="preserve">undo. - Facultar a la Alcaldesa-Presidenta para la firma de dicho convenio </w:t>
      </w:r>
    </w:p>
    <w:p w:rsidR="007617AD" w:rsidRDefault="00EE75C8">
      <w:pPr>
        <w:spacing w:after="0"/>
        <w:ind w:left="693" w:right="58" w:firstLine="1133"/>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273342" name="Group 27334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2942" name="Rectangle 2294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2943" name="Rectangle 22943"/>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122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3342" style="width:12.7031pt;height:280.02pt;position:absolute;mso-position-horizontal-relative:page;mso-position-horizontal:absolute;margin-left:682.278pt;mso-position-vertical-relative:page;margin-top:531.9pt;" coordsize="1613,35562">
                <v:rect id="Rectangle 2294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2943"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192 </w:t>
                        </w:r>
                      </w:p>
                    </w:txbxContent>
                  </v:textbox>
                </v:rect>
                <w10:wrap type="topAndBottom"/>
              </v:group>
            </w:pict>
          </mc:Fallback>
        </mc:AlternateContent>
      </w:r>
      <w:r>
        <w:rPr>
          <w:b/>
        </w:rPr>
        <w:t xml:space="preserve">Tercero. - Notificar la presente resolución a los Ayuntamientos de Arafo, Candelaria y Güimar. </w:t>
      </w:r>
    </w:p>
    <w:p w:rsidR="007617AD" w:rsidRDefault="00EE75C8">
      <w:pPr>
        <w:spacing w:after="98"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100"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100"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100"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100"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100"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101" w:line="259" w:lineRule="auto"/>
        <w:ind w:left="699" w:firstLine="0"/>
        <w:jc w:val="center"/>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ind w:left="703" w:right="58"/>
      </w:pPr>
      <w:r>
        <w:rPr>
          <w:b/>
        </w:rPr>
        <w:t xml:space="preserve">CONVENIO DE COOPERACIÓN INTERADMINISTRATIVA ENTRE EL CONSEJO INSULAR DE AGUAS DE TENERIFE Y LOS AYUNTAMIENTOS DE CANDELARIA, ARAFO Y GÜÍMAR PARA LA GESTIÓN DE LAS INFRAESTRUCTURAS DE DEPURACIÓN Y VERTIDO DE AGUAS RESIDUALES, URBANAS E INDUSTRIALES, DE LOS </w:t>
      </w:r>
      <w:r>
        <w:rPr>
          <w:b/>
        </w:rPr>
        <w:t xml:space="preserve">SISTEMAS TERRITORIALES DEL VALLE DE GÜIMAR Y POLÍGONO INDUSTRIAL DEL VALLE DE GÜÍMAR. </w:t>
      </w:r>
    </w:p>
    <w:p w:rsidR="007617AD" w:rsidRDefault="00EE75C8">
      <w:pPr>
        <w:spacing w:after="0" w:line="259" w:lineRule="auto"/>
        <w:ind w:left="708" w:firstLine="0"/>
        <w:jc w:val="left"/>
      </w:pPr>
      <w:r>
        <w:t xml:space="preserve"> </w:t>
      </w:r>
    </w:p>
    <w:p w:rsidR="007617AD" w:rsidRDefault="00EE75C8">
      <w:pPr>
        <w:spacing w:after="0" w:line="259" w:lineRule="auto"/>
        <w:ind w:left="0" w:right="6" w:firstLine="0"/>
        <w:jc w:val="right"/>
      </w:pPr>
      <w:r>
        <w:t xml:space="preserve"> </w:t>
      </w:r>
    </w:p>
    <w:p w:rsidR="007617AD" w:rsidRDefault="00EE75C8">
      <w:pPr>
        <w:spacing w:after="672" w:line="265" w:lineRule="auto"/>
        <w:ind w:left="10" w:right="62"/>
        <w:jc w:val="right"/>
      </w:pPr>
      <w:r>
        <w:t>En Santa Cruz de Tenerife, a fecha de la última firma electrónica</w:t>
      </w:r>
      <w:r>
        <w:rPr>
          <w:rFonts w:ascii="Times New Roman" w:eastAsia="Times New Roman" w:hAnsi="Times New Roman" w:cs="Times New Roman"/>
          <w:sz w:val="24"/>
        </w:rPr>
        <w:t xml:space="preserve"> </w:t>
      </w:r>
    </w:p>
    <w:p w:rsidR="007617AD" w:rsidRDefault="00EE75C8">
      <w:pPr>
        <w:pStyle w:val="Ttulo4"/>
        <w:shd w:val="clear" w:color="auto" w:fill="F3F3F3"/>
        <w:spacing w:after="491" w:line="358" w:lineRule="auto"/>
        <w:ind w:left="649"/>
      </w:pPr>
      <w:r>
        <w:rPr>
          <w:color w:val="333333"/>
        </w:rPr>
        <w:t xml:space="preserve">SE REÚNEN </w:t>
      </w:r>
    </w:p>
    <w:p w:rsidR="007617AD" w:rsidRDefault="00EE75C8">
      <w:pPr>
        <w:spacing w:after="0"/>
        <w:ind w:left="703" w:right="62"/>
      </w:pPr>
      <w:r>
        <w:t>De una parte, el Excmo. Sr. Don Pedro M. Martín Domínguez, Presidente del Consejo Insul</w:t>
      </w:r>
      <w:r>
        <w:t xml:space="preserve">ar de Aguas de Tenerife (en lo sucesivo CIATF), en nombre y representación del mismo, facultado para este acto mediante acuerdo de la Junta de Gobierno del Consejo Insular de Aguas celebrada en sesión </w:t>
      </w:r>
      <w:r>
        <w:rPr>
          <w:shd w:val="clear" w:color="auto" w:fill="C0C0C0"/>
        </w:rPr>
        <w:t>_______</w:t>
      </w:r>
      <w:r>
        <w:t xml:space="preserve">, en virtud de lo dispuesto en el artículo 21.2 </w:t>
      </w:r>
      <w:r>
        <w:t xml:space="preserve">del Estatuto del Consejo Insular de Aguas de Tenerife, aprobado por Decreto 115/1992, de 9 de junio. </w:t>
      </w:r>
      <w:r>
        <w:rPr>
          <w:rFonts w:ascii="Times New Roman" w:eastAsia="Times New Roman" w:hAnsi="Times New Roman" w:cs="Times New Roman"/>
          <w:sz w:val="24"/>
        </w:rPr>
        <w:t xml:space="preserve"> </w:t>
      </w:r>
    </w:p>
    <w:p w:rsidR="007617AD" w:rsidRDefault="00EE75C8">
      <w:pPr>
        <w:spacing w:after="338" w:line="259" w:lineRule="auto"/>
        <w:ind w:left="708" w:firstLine="0"/>
        <w:jc w:val="left"/>
      </w:pPr>
      <w:r>
        <w:t xml:space="preserve"> </w:t>
      </w:r>
    </w:p>
    <w:p w:rsidR="007617AD" w:rsidRDefault="00EE75C8">
      <w:pPr>
        <w:spacing w:after="333"/>
        <w:ind w:left="703" w:right="62"/>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3586" name="Group 27358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3038" name="Rectangle 2303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3039" name="Rectangle 23039"/>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123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3586" style="width:12.7031pt;height:280.02pt;position:absolute;mso-position-horizontal-relative:page;mso-position-horizontal:absolute;margin-left:682.278pt;mso-position-vertical-relative:page;margin-top:531.9pt;" coordsize="1613,35562">
                <v:rect id="Rectangle 2303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3039"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192 </w:t>
                        </w:r>
                      </w:p>
                    </w:txbxContent>
                  </v:textbox>
                </v:rect>
                <w10:wrap type="square"/>
              </v:group>
            </w:pict>
          </mc:Fallback>
        </mc:AlternateContent>
      </w:r>
      <w:r>
        <w:t>De otra parte, la Sra. Dª Maria Concepción Brito Núñez, Alcaldesa-Presidenta del Ayuntamiento de Candelaria, en su nombre y representación, y en uso de las facul</w:t>
      </w:r>
      <w:r>
        <w:t xml:space="preserve">tades que le confiere el artículo 21.1.b) de la Ley 7/1985, de 2 de abril, reguladora de las bases del Régimen Local, estando facultado para este acto en virtud del acuerdo plenario de dicha Corporación adoptado en sesión celebrada </w:t>
      </w:r>
      <w:r>
        <w:rPr>
          <w:shd w:val="clear" w:color="auto" w:fill="C0C0C0"/>
        </w:rPr>
        <w:t>_______</w:t>
      </w:r>
      <w:r>
        <w:t>.</w:t>
      </w:r>
      <w:r>
        <w:rPr>
          <w:rFonts w:ascii="Times New Roman" w:eastAsia="Times New Roman" w:hAnsi="Times New Roman" w:cs="Times New Roman"/>
          <w:sz w:val="24"/>
        </w:rPr>
        <w:t xml:space="preserve"> </w:t>
      </w:r>
    </w:p>
    <w:p w:rsidR="007617AD" w:rsidRDefault="00EE75C8">
      <w:pPr>
        <w:spacing w:after="0"/>
        <w:ind w:left="703" w:right="62"/>
      </w:pPr>
      <w:r>
        <w:t>De otra parte,</w:t>
      </w:r>
      <w:r>
        <w:t xml:space="preserve"> el Sr. D. Juan Ramón Martín Pérez, Alcalde-Presidente del Ayuntamiento de Arafo en su nombre y representación, y en uso de las facultades que le confiere el artículo 21.1.b) de la Ley 7/1985, de 2 de abril, reguladora de las bases del Régimen Local, estan</w:t>
      </w:r>
      <w:r>
        <w:t xml:space="preserve">do facultado para este acto en virtud del acuerdo plenario de dicha Corporación adoptado en sesión celebrada </w:t>
      </w:r>
      <w:r>
        <w:rPr>
          <w:shd w:val="clear" w:color="auto" w:fill="C0C0C0"/>
        </w:rPr>
        <w:t>_______</w:t>
      </w:r>
      <w:r>
        <w:t>.</w:t>
      </w:r>
      <w:r>
        <w:rPr>
          <w:rFonts w:ascii="Times New Roman" w:eastAsia="Times New Roman" w:hAnsi="Times New Roman" w:cs="Times New Roman"/>
          <w:sz w:val="24"/>
        </w:rPr>
        <w:t xml:space="preserve"> </w:t>
      </w:r>
    </w:p>
    <w:p w:rsidR="007617AD" w:rsidRDefault="00EE75C8">
      <w:pPr>
        <w:spacing w:after="338" w:line="259" w:lineRule="auto"/>
        <w:ind w:left="708" w:firstLine="0"/>
        <w:jc w:val="left"/>
      </w:pPr>
      <w:r>
        <w:t xml:space="preserve"> </w:t>
      </w:r>
    </w:p>
    <w:p w:rsidR="007617AD" w:rsidRDefault="00EE75C8">
      <w:pPr>
        <w:spacing w:after="331"/>
        <w:ind w:left="703" w:right="62"/>
      </w:pPr>
      <w:r>
        <w:t>Y de otra parte, el Sr. D. Gustavo Pérez Martín, Alcalde-Presidente del Ayuntamiento de Güímar, en su nombre y representación, y en uso</w:t>
      </w:r>
      <w:r>
        <w:t xml:space="preserve"> de las facultades que le confiere el artículo 21.1.b) de la Ley 7/1985, de 2 de abril, reguladora de las bases del Régimen Local, estando facultado para este acto en virtud del acuerdo plenario de dicha Corporación adoptado en sesión celebrada </w:t>
      </w:r>
      <w:r>
        <w:rPr>
          <w:shd w:val="clear" w:color="auto" w:fill="C0C0C0"/>
        </w:rPr>
        <w:t>_______</w:t>
      </w:r>
      <w:r>
        <w:t>.</w:t>
      </w:r>
      <w:r>
        <w:rPr>
          <w:rFonts w:ascii="Times New Roman" w:eastAsia="Times New Roman" w:hAnsi="Times New Roman" w:cs="Times New Roman"/>
          <w:sz w:val="24"/>
        </w:rPr>
        <w:t xml:space="preserve"> </w:t>
      </w:r>
    </w:p>
    <w:p w:rsidR="007617AD" w:rsidRDefault="00EE75C8">
      <w:pPr>
        <w:pStyle w:val="Ttulo4"/>
        <w:shd w:val="clear" w:color="auto" w:fill="F3F3F3"/>
        <w:spacing w:after="491" w:line="358" w:lineRule="auto"/>
        <w:ind w:left="649"/>
      </w:pPr>
      <w:r>
        <w:rPr>
          <w:color w:val="333333"/>
        </w:rPr>
        <w:t>I</w:t>
      </w:r>
      <w:r>
        <w:rPr>
          <w:color w:val="333333"/>
        </w:rPr>
        <w:t xml:space="preserve">NTERVIENEN </w:t>
      </w:r>
    </w:p>
    <w:p w:rsidR="007617AD" w:rsidRDefault="00EE75C8">
      <w:pPr>
        <w:ind w:left="703" w:right="62"/>
      </w:pPr>
      <w:r>
        <w:t>Las partes citadas, en la condición con que comparecen, se reconocen mutua y recíprocamente, con competencia y capacidad legal suficiente para suscribir el presente Convenio de Colaboración y a tal efecto</w:t>
      </w:r>
      <w:r>
        <w:rPr>
          <w:rFonts w:ascii="Times New Roman" w:eastAsia="Times New Roman" w:hAnsi="Times New Roman" w:cs="Times New Roman"/>
          <w:sz w:val="24"/>
        </w:rPr>
        <w:t xml:space="preserve"> </w:t>
      </w:r>
    </w:p>
    <w:p w:rsidR="007617AD" w:rsidRDefault="00EE75C8">
      <w:pPr>
        <w:pStyle w:val="Ttulo4"/>
        <w:shd w:val="clear" w:color="auto" w:fill="F3F3F3"/>
        <w:spacing w:after="491" w:line="358" w:lineRule="auto"/>
        <w:ind w:left="649"/>
      </w:pPr>
      <w:r>
        <w:rPr>
          <w:color w:val="333333"/>
        </w:rPr>
        <w:t xml:space="preserve">EXPONEN </w:t>
      </w:r>
    </w:p>
    <w:p w:rsidR="007617AD" w:rsidRDefault="00EE75C8">
      <w:pPr>
        <w:ind w:left="703" w:right="58"/>
      </w:pPr>
      <w:r>
        <w:rPr>
          <w:b/>
        </w:rPr>
        <w:t>PRIMERO. - TRATAMIENTO DE LAS</w:t>
      </w:r>
      <w:r>
        <w:rPr>
          <w:b/>
        </w:rPr>
        <w:t xml:space="preserve"> AGUAS RESIDUALES URBANAS E INDUSTRIALES. </w:t>
      </w:r>
      <w:r>
        <w:rPr>
          <w:rFonts w:ascii="Times New Roman" w:eastAsia="Times New Roman" w:hAnsi="Times New Roman" w:cs="Times New Roman"/>
          <w:sz w:val="24"/>
        </w:rPr>
        <w:t xml:space="preserve"> </w:t>
      </w:r>
    </w:p>
    <w:p w:rsidR="007617AD" w:rsidRDefault="00EE75C8">
      <w:pPr>
        <w:spacing w:after="103" w:line="259" w:lineRule="auto"/>
        <w:ind w:left="0" w:firstLine="0"/>
        <w:jc w:val="left"/>
      </w:pPr>
      <w:r>
        <w:rPr>
          <w:b/>
        </w:rPr>
        <w:t xml:space="preserve"> </w:t>
      </w:r>
    </w:p>
    <w:p w:rsidR="007617AD" w:rsidRDefault="00EE75C8">
      <w:pPr>
        <w:spacing w:after="134"/>
        <w:ind w:left="703" w:right="62"/>
      </w:pPr>
      <w:r>
        <w:t>La Directiva 91/271/CEE, de 21 de mayo de 1991, sobre el tratamiento de las aguas residuales urbanas (en lo sucesivo Directiva 91/271) - la  cual tiene por objeto la recogida, el tratamiento y el vertido de las</w:t>
      </w:r>
      <w:r>
        <w:t xml:space="preserve"> aguas residuales urbanas y el tratamiento y vertido de las aguas residuales procedentes de determinados sectores industriales, fue traspuesta a nuestro ordenamiento jurídico en virtud del Real Decreto Ley 11/1995, de 28 de diciembre, por el que se aprueba</w:t>
      </w:r>
      <w:r>
        <w:t>n las normas aplicables al tratamiento de las aguas residuales urbanas, y el Real Decreto 509/1996, de 15 de marzo, que lo desarrolla.</w:t>
      </w:r>
      <w:r>
        <w:rPr>
          <w:rFonts w:ascii="Times New Roman" w:eastAsia="Times New Roman" w:hAnsi="Times New Roman" w:cs="Times New Roman"/>
          <w:sz w:val="24"/>
        </w:rPr>
        <w:t xml:space="preserve">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3495" name="Group 273495"/>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3129" name="Rectangle 2312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3130" name="Rectangle 23130"/>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124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3495" style="width:12.7031pt;height:280.02pt;position:absolute;mso-position-horizontal-relative:page;mso-position-horizontal:absolute;margin-left:682.278pt;mso-position-vertical-relative:page;margin-top:531.9pt;" coordsize="1613,35562">
                <v:rect id="Rectangle 2312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3130"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192 </w:t>
                        </w:r>
                      </w:p>
                    </w:txbxContent>
                  </v:textbox>
                </v:rect>
                <w10:wrap type="square"/>
              </v:group>
            </w:pict>
          </mc:Fallback>
        </mc:AlternateContent>
      </w:r>
      <w:r>
        <w:t>El RD 509/1996 estableció la obligación de realizar un tratamiento previo al vertido de las aguas residuales industriales que, entre otros requisitos, sea sufici</w:t>
      </w:r>
      <w:r>
        <w:t xml:space="preserve">ente para “garantizar que los vertidos de las instalaciones de tratamiento no tengan efectos nocivos sobre el medio ambiente y no impidan que las aguas receptoras cumplan los objetivos de calidad de la normativa vigente” (art. 8). </w:t>
      </w:r>
      <w:r>
        <w:rPr>
          <w:rFonts w:ascii="Times New Roman" w:eastAsia="Times New Roman" w:hAnsi="Times New Roman" w:cs="Times New Roman"/>
          <w:sz w:val="24"/>
        </w:rPr>
        <w:t xml:space="preserve"> </w:t>
      </w:r>
    </w:p>
    <w:p w:rsidR="007617AD" w:rsidRDefault="00EE75C8">
      <w:pPr>
        <w:spacing w:after="155"/>
        <w:ind w:left="703" w:right="62"/>
      </w:pPr>
      <w:r>
        <w:t>Además, se reguló el ti</w:t>
      </w:r>
      <w:r>
        <w:t xml:space="preserve">po de tratamiento requerido para las aguas residuales (tratamiento primario vs. tratamiento secundario) en función del número de habitantes equivalentes (h-e) que llegan a la instalación. En los casos de vertido al mar en zonas normales, y hasta un máximo </w:t>
      </w:r>
      <w:r>
        <w:t xml:space="preserve">de 10.000 h – e es admisible un tratamiento primario (estación de tratamiento adecuado, ETAR) y, una vez superado dicho umbral, se requiere el sometimiento del agua residual a un tratamiento secundario (estación depuradora, EDAR).  </w:t>
      </w:r>
    </w:p>
    <w:p w:rsidR="007617AD" w:rsidRDefault="00EE75C8">
      <w:pPr>
        <w:spacing w:after="95" w:line="259" w:lineRule="auto"/>
        <w:ind w:left="708" w:firstLine="0"/>
        <w:jc w:val="left"/>
      </w:pPr>
      <w:r>
        <w:t xml:space="preserve"> </w:t>
      </w:r>
    </w:p>
    <w:p w:rsidR="007617AD" w:rsidRDefault="00EE75C8">
      <w:pPr>
        <w:ind w:left="703" w:right="58"/>
      </w:pPr>
      <w:r>
        <w:rPr>
          <w:b/>
        </w:rPr>
        <w:t>SEGUNDO. - DESCRIPCIÓ</w:t>
      </w:r>
      <w:r>
        <w:rPr>
          <w:b/>
        </w:rPr>
        <w:t>N DEL SISTEMA TERRITORIAL DE INFRAESTRUCTURAS DE SANEAMIENTO DE LAS AGUAS RESIDUALES DE ORIGEN URBANO E INDUSTRIAL DEL VALLE DE GÜÍMAR Y DEL POLÍGONO INDUSTRIAL VALLE DE GÜÍMAR.</w:t>
      </w:r>
      <w:r>
        <w:rPr>
          <w:rFonts w:ascii="Times New Roman" w:eastAsia="Times New Roman" w:hAnsi="Times New Roman" w:cs="Times New Roman"/>
          <w:sz w:val="24"/>
        </w:rPr>
        <w:t xml:space="preserve"> </w:t>
      </w:r>
    </w:p>
    <w:p w:rsidR="007617AD" w:rsidRDefault="00EE75C8">
      <w:pPr>
        <w:spacing w:after="100" w:line="259" w:lineRule="auto"/>
        <w:ind w:left="708" w:firstLine="0"/>
        <w:jc w:val="left"/>
      </w:pPr>
      <w:r>
        <w:t xml:space="preserve"> </w:t>
      </w:r>
    </w:p>
    <w:p w:rsidR="007617AD" w:rsidRDefault="00EE75C8">
      <w:pPr>
        <w:ind w:left="703" w:right="62"/>
      </w:pPr>
      <w:r>
        <w:t>El Sistema Territorial de infraestructuras de saneamiento del Valle de Güím</w:t>
      </w:r>
      <w:r>
        <w:t xml:space="preserve">ar y del Polígono Industrial de Güímar, están definidos por el Plan Hidrológico de Tenerife, cuya descripción gráfica es la siguiente: </w:t>
      </w:r>
    </w:p>
    <w:p w:rsidR="007617AD" w:rsidRDefault="00EE75C8">
      <w:pPr>
        <w:spacing w:after="38" w:line="259" w:lineRule="auto"/>
        <w:ind w:left="0" w:right="1054" w:firstLine="0"/>
        <w:jc w:val="right"/>
      </w:pPr>
      <w:r>
        <w:rPr>
          <w:noProof/>
        </w:rPr>
        <w:drawing>
          <wp:inline distT="0" distB="0" distL="0" distR="0">
            <wp:extent cx="5401057" cy="3534156"/>
            <wp:effectExtent l="0" t="0" r="0" b="0"/>
            <wp:docPr id="23211" name="Picture 23211"/>
            <wp:cNvGraphicFramePr/>
            <a:graphic xmlns:a="http://schemas.openxmlformats.org/drawingml/2006/main">
              <a:graphicData uri="http://schemas.openxmlformats.org/drawingml/2006/picture">
                <pic:pic xmlns:pic="http://schemas.openxmlformats.org/drawingml/2006/picture">
                  <pic:nvPicPr>
                    <pic:cNvPr id="23211" name="Picture 23211"/>
                    <pic:cNvPicPr/>
                  </pic:nvPicPr>
                  <pic:blipFill>
                    <a:blip r:embed="rId16"/>
                    <a:stretch>
                      <a:fillRect/>
                    </a:stretch>
                  </pic:blipFill>
                  <pic:spPr>
                    <a:xfrm>
                      <a:off x="0" y="0"/>
                      <a:ext cx="5401057" cy="3534156"/>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spacing w:after="84" w:line="259" w:lineRule="auto"/>
        <w:ind w:left="708" w:firstLine="0"/>
        <w:jc w:val="left"/>
      </w:pPr>
      <w:r>
        <w:rPr>
          <w:rFonts w:ascii="Times New Roman" w:eastAsia="Times New Roman" w:hAnsi="Times New Roman" w:cs="Times New Roman"/>
          <w:sz w:val="24"/>
        </w:rPr>
        <w:t xml:space="preserve"> </w:t>
      </w:r>
    </w:p>
    <w:p w:rsidR="007617AD" w:rsidRDefault="00EE75C8">
      <w:pPr>
        <w:ind w:left="703" w:right="62"/>
      </w:pPr>
      <w:r>
        <w:t>Este conjunto de infraestructuras, de acuerdo al PHT, está constituido por una serie de elementos que permiten reco</w:t>
      </w:r>
      <w:r>
        <w:t>ger las aguas residuales generada en los ámbitos urbano e industrial y derivarlas hacia la EDARU del Valle de Güímar y la EDARI del Polígono Industrial Valle de Güímar – ambos elementos estructurantes – donde las mismas serán tratadas conforme a los requis</w:t>
      </w:r>
      <w:r>
        <w:t xml:space="preserve">itos que dimanan de la normativa vigente en materia de depuración y vertido. </w:t>
      </w:r>
    </w:p>
    <w:p w:rsidR="007617AD" w:rsidRDefault="00EE75C8">
      <w:pPr>
        <w:ind w:left="703" w:right="62"/>
      </w:pPr>
      <w:r>
        <w:t xml:space="preserve">Los elementos fundamentales son: </w:t>
      </w:r>
    </w:p>
    <w:p w:rsidR="007617AD" w:rsidRDefault="00EE75C8">
      <w:pPr>
        <w:numPr>
          <w:ilvl w:val="0"/>
          <w:numId w:val="64"/>
        </w:numPr>
        <w:spacing w:after="89"/>
        <w:ind w:right="62" w:hanging="360"/>
      </w:pPr>
      <w:r>
        <w:t xml:space="preserve">EDARU:  Estación Depuradora de Aguas Residuales Urbanas. </w:t>
      </w:r>
    </w:p>
    <w:p w:rsidR="007617AD" w:rsidRDefault="00EE75C8">
      <w:pPr>
        <w:numPr>
          <w:ilvl w:val="0"/>
          <w:numId w:val="64"/>
        </w:numPr>
        <w:spacing w:after="91"/>
        <w:ind w:right="62" w:hanging="360"/>
      </w:pPr>
      <w:r>
        <w:t xml:space="preserve">EDARI: Estación Depuradora de Aguas Residuales Industriales. </w:t>
      </w:r>
    </w:p>
    <w:p w:rsidR="007617AD" w:rsidRDefault="00EE75C8">
      <w:pPr>
        <w:numPr>
          <w:ilvl w:val="0"/>
          <w:numId w:val="64"/>
        </w:numPr>
        <w:spacing w:after="89"/>
        <w:ind w:right="62" w:hanging="360"/>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3917" name="Group 27391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3214" name="Rectangle 2321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3215" name="Rectangle 23215"/>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125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3917" style="width:12.7031pt;height:280.02pt;position:absolute;mso-position-horizontal-relative:page;mso-position-horizontal:absolute;margin-left:682.278pt;mso-position-vertical-relative:page;margin-top:531.9pt;" coordsize="1613,35562">
                <v:rect id="Rectangle 2321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3215"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125 de 192 </w:t>
                        </w:r>
                      </w:p>
                    </w:txbxContent>
                  </v:textbox>
                </v:rect>
                <w10:wrap type="square"/>
              </v:group>
            </w:pict>
          </mc:Fallback>
        </mc:AlternateContent>
      </w:r>
      <w:r>
        <w:t>Estaciones de Bombeo de Aguas Residuales, urbanas e industria</w:t>
      </w:r>
      <w:r>
        <w:t xml:space="preserve">les. </w:t>
      </w:r>
    </w:p>
    <w:p w:rsidR="007617AD" w:rsidRDefault="00EE75C8">
      <w:pPr>
        <w:numPr>
          <w:ilvl w:val="0"/>
          <w:numId w:val="64"/>
        </w:numPr>
        <w:spacing w:after="91"/>
        <w:ind w:right="62" w:hanging="360"/>
      </w:pPr>
      <w:r>
        <w:t xml:space="preserve">Colectores y conducciones de transporte. </w:t>
      </w:r>
    </w:p>
    <w:p w:rsidR="007617AD" w:rsidRDefault="00EE75C8">
      <w:pPr>
        <w:numPr>
          <w:ilvl w:val="0"/>
          <w:numId w:val="64"/>
        </w:numPr>
        <w:spacing w:after="73"/>
        <w:ind w:right="62" w:hanging="360"/>
      </w:pPr>
      <w:r>
        <w:t xml:space="preserve">Emisario terrestre y emisario submarino del Valle de Güímar. </w:t>
      </w:r>
    </w:p>
    <w:p w:rsidR="007617AD" w:rsidRDefault="00EE75C8">
      <w:pPr>
        <w:spacing w:after="98" w:line="259" w:lineRule="auto"/>
        <w:ind w:left="1068" w:firstLine="0"/>
        <w:jc w:val="left"/>
      </w:pPr>
      <w:r>
        <w:rPr>
          <w:b/>
        </w:rPr>
        <w:t xml:space="preserve"> </w:t>
      </w:r>
    </w:p>
    <w:p w:rsidR="007617AD" w:rsidRDefault="00EE75C8">
      <w:pPr>
        <w:ind w:left="703" w:right="58"/>
      </w:pPr>
      <w:r>
        <w:rPr>
          <w:b/>
        </w:rPr>
        <w:t>TERCERO. - MARCO PREVIO DE COLABORACIÓN ENTRE LAS ADMINISTRACIONES FIRMANTES DEL CONVENIO.</w:t>
      </w:r>
      <w:r>
        <w:rPr>
          <w:rFonts w:ascii="Times New Roman" w:eastAsia="Times New Roman" w:hAnsi="Times New Roman" w:cs="Times New Roman"/>
          <w:sz w:val="24"/>
        </w:rPr>
        <w:t xml:space="preserve"> </w:t>
      </w:r>
    </w:p>
    <w:p w:rsidR="007617AD" w:rsidRDefault="00EE75C8">
      <w:pPr>
        <w:spacing w:after="98" w:line="259" w:lineRule="auto"/>
        <w:ind w:left="708" w:firstLine="0"/>
        <w:jc w:val="left"/>
      </w:pPr>
      <w:r>
        <w:t xml:space="preserve"> </w:t>
      </w:r>
    </w:p>
    <w:p w:rsidR="007617AD" w:rsidRDefault="00EE75C8">
      <w:pPr>
        <w:spacing w:after="93"/>
        <w:ind w:left="703" w:right="62"/>
      </w:pPr>
      <w:r>
        <w:t xml:space="preserve">Previamente al presente convenio, se han aprobado </w:t>
      </w:r>
      <w:r>
        <w:t>y formalizado los siguientes instrumentos jurídicos entre las partes intervinientes fruto del acuerdo entre las mismas, así como también se han aprobado diferentes resoluciones tanto del Estado como del Gobierno de Canarias fruto de dicha colaboración admi</w:t>
      </w:r>
      <w:r>
        <w:t xml:space="preserve">nistrativa y todo ello en virtud de las competencias concurrentes de todas las Administraciones intervinientes: </w:t>
      </w:r>
    </w:p>
    <w:p w:rsidR="007617AD" w:rsidRDefault="00EE75C8">
      <w:pPr>
        <w:ind w:left="703" w:right="62"/>
      </w:pPr>
      <w:r>
        <w:t>-</w:t>
      </w:r>
      <w:r>
        <w:t>Convenio entre el Cabildo Insular de Tenerife, el Consejo Insular de Aguas de Tenerife y los Ayuntamientos de Arafo, Candelaria y Güimar formalizado el 31 de julio de 2017, para la tramitación de la autorización administrativa de vertido al mar y la conces</w:t>
      </w:r>
      <w:r>
        <w:t>ión de la ocupación de los  bienes del dominio público marítimo terrestre con destino a un emisario submarino en el Polígono Industrial del Valle de Güimar por el que se encomienda al CIATF a elaborar la documentación técnica requerida para dicha autorizac</w:t>
      </w:r>
      <w:r>
        <w:t>ión.</w:t>
      </w:r>
      <w:r>
        <w:rPr>
          <w:b/>
        </w:rPr>
        <w:t xml:space="preserve"> </w:t>
      </w:r>
      <w:r>
        <w:t xml:space="preserve"> </w:t>
      </w:r>
    </w:p>
    <w:p w:rsidR="007617AD" w:rsidRDefault="00EE75C8">
      <w:pPr>
        <w:ind w:left="703" w:right="62"/>
      </w:pPr>
      <w:r>
        <w:t>-Acuerdos de los Plenos de los Ayuntamientos de Arafo, Candelaria y Güimar durante los meses de julio, agosto y septiembre de 2018 por los que se aprobó el Plan de Etapas en el marco del expediente 2017/11106 relativo al emisario del Polígono Indust</w:t>
      </w:r>
      <w:r>
        <w:t xml:space="preserve">rial del Valle de Güimar.  </w:t>
      </w:r>
    </w:p>
    <w:p w:rsidR="007617AD" w:rsidRDefault="00EE75C8">
      <w:pPr>
        <w:ind w:left="703" w:right="62"/>
      </w:pPr>
      <w:r>
        <w:t xml:space="preserve">-Acuerdos de los Plenos de los Ayuntamientos de Arafo, Candelaria y Güímar durante los meses de xxx de 2020 en virtud de los cuales se aprobó la primera modificación del Plan de Etapas en el marco del expediente xxx relativo al </w:t>
      </w:r>
      <w:r>
        <w:t xml:space="preserve">emisario del Polígono Industrial del Valle de Güímar. </w:t>
      </w:r>
    </w:p>
    <w:p w:rsidR="007617AD" w:rsidRDefault="00EE75C8">
      <w:pPr>
        <w:ind w:left="703" w:right="62"/>
      </w:pPr>
      <w:r>
        <w:t xml:space="preserve">-Acuerdos de los Plenos de los Ayuntamientos de Arafo, Candelaria y Güímar durante los meses de xxx de 2021 en virtud de los cuales se aprobó la segunda modificación del Plan de Etapas en el marco del </w:t>
      </w:r>
      <w:r>
        <w:t xml:space="preserve">expediente xxx relativo al emisario del Polígono Industrial del Valle de Güímar. </w:t>
      </w:r>
    </w:p>
    <w:p w:rsidR="007617AD" w:rsidRDefault="00EE75C8">
      <w:pPr>
        <w:ind w:left="703" w:right="62"/>
      </w:pPr>
      <w:r>
        <w:rPr>
          <w:color w:val="00B0F0"/>
        </w:rPr>
        <w:t xml:space="preserve"> -</w:t>
      </w:r>
      <w:r>
        <w:t>Acuerdos de los Plenos de los Ayuntamientos de Arafo, Candelaria y Güímar durante los meses de xxx de 2022 en virtud de los cuales se aprobó la tercera modificación del Pla</w:t>
      </w:r>
      <w:r>
        <w:t xml:space="preserve">n de Etapas en el marco del expediente xxx relativo al emisario del Polígono Industrial del Valle de Güímar.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4158" name="Group 27415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3329" name="Rectangle 2332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3330" name="Rectangle 23330"/>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126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4158" style="width:12.7031pt;height:280.02pt;position:absolute;mso-position-horizontal-relative:page;mso-position-horizontal:absolute;margin-left:682.278pt;mso-position-vertical-relative:page;margin-top:531.9pt;" coordsize="1613,35562">
                <v:rect id="Rectangle 2332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3330"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126 de 192 </w:t>
                        </w:r>
                      </w:p>
                    </w:txbxContent>
                  </v:textbox>
                </v:rect>
                <w10:wrap type="square"/>
              </v:group>
            </w:pict>
          </mc:Fallback>
        </mc:AlternateContent>
      </w:r>
      <w:r>
        <w:t>-Acuerdos de los Plenos de los Ayuntamientos de Arafo, Candelaria y Güímar durante los meses de marzo de 2020 (12 Arafo y Güímar, 13 Candelaria) en virtud de los</w:t>
      </w:r>
      <w:r>
        <w:t xml:space="preserve"> cuales se aprobó la primera modificación del Plan de Etapas en el marco del expediente 2020/5598 relativo al emisario del Polígono Industrial del Valle de Güímar. </w:t>
      </w:r>
    </w:p>
    <w:p w:rsidR="007617AD" w:rsidRDefault="00EE75C8">
      <w:pPr>
        <w:ind w:left="703" w:right="62"/>
      </w:pPr>
      <w:r>
        <w:t>-Acuerdos de los Plenos de los Ayuntamientos de Arafo, Candelaria y Güímar durante los mese</w:t>
      </w:r>
      <w:r>
        <w:t xml:space="preserve">s de 30 de julio (Arafo y Candelaria) y 17 de septiembre (Güímar)  de 2021 en virtud de los cuales se aprobó la segunda modificación del Plan de Etapas en el marco del expediente 2021/30472 relativo al emisario del Polígono Industrial del Valle de Güímar. </w:t>
      </w:r>
    </w:p>
    <w:p w:rsidR="007617AD" w:rsidRDefault="00EE75C8">
      <w:pPr>
        <w:ind w:left="703" w:right="62"/>
      </w:pPr>
      <w:r>
        <w:t>-Acuerdos de los Plenos de los Ayuntamientos de Arafo, Candelaria y Güímar durante los meses de 28 febrero (Arafo, Candelaria y Güímar)  de 2022 en virtud de los cuales se aprobó la tercera modificación del Plan de Etapas en el marco del expediente 2022/8</w:t>
      </w:r>
      <w:r>
        <w:t xml:space="preserve">094 relativo al emisario del Polígono Industrial del Valle de Güímar. </w:t>
      </w:r>
    </w:p>
    <w:p w:rsidR="007617AD" w:rsidRDefault="00EE75C8">
      <w:pPr>
        <w:ind w:left="703" w:right="62"/>
      </w:pPr>
      <w:r>
        <w:t>-Resolución del Viceconsejero de Lucha Contra el Cambio Climático del Gobierno de Canarias de 18 de septiembre de 2019, por la que se autoriza al Ayuntamiento de Arafo en su propio nomb</w:t>
      </w:r>
      <w:r>
        <w:t>re y en representación de los Ayuntamientos de Candelaria y Güimar al vertido de aguas residuales urbanas e industriales depuradas a través del emisario submarino del Polígono Industrial del Valle de Güimar, ubicado en el término municipal de Arafo (VM-013</w:t>
      </w:r>
      <w:r>
        <w:t xml:space="preserve">-TF). </w:t>
      </w:r>
    </w:p>
    <w:p w:rsidR="007617AD" w:rsidRDefault="00EE75C8">
      <w:pPr>
        <w:ind w:left="703" w:right="62"/>
      </w:pPr>
      <w:r>
        <w:t>- Resoluciones del Sr. Viceconsejero de Lucha contra el Cambio Climático del Gobierno de Canarias nº 207/2020 de fecha 30 de septiembre de 2020, nº 312/2021 de 02 de noviembre de 2021 y nº 101/2022 de fecha 11 de marzo de modificación de la autoriza</w:t>
      </w:r>
      <w:r>
        <w:t xml:space="preserve">ción administrativa de vertido al mar otorgada con destino al emisario submarino del Polígono Industrial del Valle de Güimar.  </w:t>
      </w:r>
    </w:p>
    <w:p w:rsidR="007617AD" w:rsidRDefault="00EE75C8">
      <w:pPr>
        <w:spacing w:after="11"/>
        <w:ind w:left="703" w:right="62"/>
      </w:pPr>
      <w:r>
        <w:t xml:space="preserve">-Resolución de la Dirección General de Sostenibilidad y del Mar del Ministerio para la Transición </w:t>
      </w:r>
    </w:p>
    <w:p w:rsidR="007617AD" w:rsidRDefault="00EE75C8">
      <w:pPr>
        <w:ind w:left="703" w:right="62"/>
      </w:pPr>
      <w:r>
        <w:t>Ecológica de fecha 19 de sept</w:t>
      </w:r>
      <w:r>
        <w:t>iembre de 2019 por el que se otorga al Ayuntamiento de Arafo la concesión de ocupación de 803 metros cuadrados de dominio público marítimo terrestre con destino a conducción principal de vertido y conducción de aliviadero de emergencia de aguas procedentes</w:t>
      </w:r>
      <w:r>
        <w:t xml:space="preserve"> del Polígono Industrial de Güimar, en el término municipal de Arafo, isla de Tenerife (Santa Cruz de Tenerife). </w:t>
      </w:r>
    </w:p>
    <w:p w:rsidR="007617AD" w:rsidRDefault="00EE75C8">
      <w:pPr>
        <w:ind w:left="703" w:right="62"/>
      </w:pPr>
      <w:r>
        <w:t>-Convenio de colaboración entre el CIATF, el Cabildo Insular de Tenerife y los Ayuntamientos de Arafo, Candelaria y Güímar aprobado por el Ayu</w:t>
      </w:r>
      <w:r>
        <w:t xml:space="preserve">ntamiento de Candelaria en el Pleno ordinario de 27 de marzo de 2019 y por los Ayuntamientos de Arafo y Güimar en el mes de mayo de 2019 y formalizado por todas las partes intervinientes el día 10 de junio de 2019. </w:t>
      </w:r>
    </w:p>
    <w:p w:rsidR="007617AD" w:rsidRDefault="00EE75C8">
      <w:pPr>
        <w:spacing w:after="142"/>
        <w:ind w:left="703" w:right="62"/>
      </w:pPr>
      <w:r>
        <w:t>El citado convenio en su exposición deci</w:t>
      </w:r>
      <w:r>
        <w:t xml:space="preserve">mosexta establece lo siguiente: </w:t>
      </w:r>
    </w:p>
    <w:p w:rsidR="007617AD" w:rsidRDefault="00EE75C8">
      <w:pPr>
        <w:ind w:left="1078" w:right="62"/>
      </w:pPr>
      <w:r>
        <w:t xml:space="preserve">[…] </w:t>
      </w:r>
    </w:p>
    <w:p w:rsidR="007617AD" w:rsidRDefault="00EE75C8">
      <w:pPr>
        <w:spacing w:after="110" w:line="248" w:lineRule="auto"/>
        <w:ind w:left="1078" w:right="59"/>
      </w:pPr>
      <w:r>
        <w:rPr>
          <w:i/>
        </w:rPr>
        <w:t xml:space="preserve">16.- </w:t>
      </w:r>
      <w:r>
        <w:rPr>
          <w:i/>
        </w:rPr>
        <w:t>Finalmente, los tres Ayuntamientos firmantes consideran que, una vez ejecutada la EDARi del Polígono Industrial del Valle de Güímar, su gestión y operación debe ser realizada por el Consejo Insular de Aguas de Tenerife, quedando así articulado un sistema i</w:t>
      </w:r>
      <w:r>
        <w:rPr>
          <w:i/>
        </w:rPr>
        <w:t>ntegral de saneamiento para el Valle de Güímar en el que se integren los subsistemas de depuración industrial y de depuración urbana, toda vez que la Administración Hidráulica también se encuentra ejecutando una Estación Depuradora de Aguas Residuales para</w:t>
      </w:r>
      <w:r>
        <w:rPr>
          <w:i/>
        </w:rPr>
        <w:t xml:space="preserve"> el tratamiento de los efluentes urbanos. </w:t>
      </w:r>
      <w:r>
        <w:rPr>
          <w:rFonts w:ascii="Times New Roman" w:eastAsia="Times New Roman" w:hAnsi="Times New Roman" w:cs="Times New Roman"/>
          <w:sz w:val="24"/>
        </w:rPr>
        <w:t xml:space="preserve"> </w:t>
      </w:r>
    </w:p>
    <w:p w:rsidR="007617AD" w:rsidRDefault="00EE75C8">
      <w:pPr>
        <w:spacing w:after="110" w:line="248" w:lineRule="auto"/>
        <w:ind w:left="1078" w:right="59"/>
      </w:pPr>
      <w:r>
        <w:rPr>
          <w:i/>
        </w:rPr>
        <w:t xml:space="preserve">Las Corporaciones Municipales, por su parte, desarrollarán todas las facultades propias de la prestación de un servicio público, especialmente, la reglamentación y el cobro de tasas por su prestación.  </w:t>
      </w:r>
    </w:p>
    <w:p w:rsidR="007617AD" w:rsidRDefault="00EE75C8">
      <w:pPr>
        <w:spacing w:after="110" w:line="248" w:lineRule="auto"/>
        <w:ind w:left="1078" w:right="59"/>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4477" name="Group 27447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3447" name="Rectangle 2344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w:t>
                              </w:r>
                              <w:r>
                                <w:rPr>
                                  <w:sz w:val="12"/>
                                </w:rPr>
                                <w:t xml:space="preserve">alidación: 6ZZKGX4GJD4WS6MQ5AJX5N2EM | Verificación: https://candelaria.sedelectronica.es/ </w:t>
                              </w:r>
                            </w:p>
                          </w:txbxContent>
                        </wps:txbx>
                        <wps:bodyPr horzOverflow="overflow" vert="horz" lIns="0" tIns="0" rIns="0" bIns="0" rtlCol="0">
                          <a:noAutofit/>
                        </wps:bodyPr>
                      </wps:wsp>
                      <wps:wsp>
                        <wps:cNvPr id="23448" name="Rectangle 23448"/>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127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4477" style="width:12.7031pt;height:280.02pt;position:absolute;mso-position-horizontal-relative:page;mso-position-horizontal:absolute;margin-left:682.278pt;mso-position-vertical-relative:page;margin-top:531.9pt;" coordsize="1613,35562">
                <v:rect id="Rectangle 2344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3448"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127 de 192 </w:t>
                        </w:r>
                      </w:p>
                    </w:txbxContent>
                  </v:textbox>
                </v:rect>
                <w10:wrap type="square"/>
              </v:group>
            </w:pict>
          </mc:Fallback>
        </mc:AlternateContent>
      </w:r>
      <w:r>
        <w:rPr>
          <w:i/>
        </w:rPr>
        <w:t>La gestión del servicio será objeto de un Convenio específico, prev</w:t>
      </w:r>
      <w:r>
        <w:rPr>
          <w:i/>
        </w:rPr>
        <w:t>io cumplimiento de los trámites procedentes, entre el Consejo Insular de Aguas de Tenerife, como gestor del servicio, y los Ayuntamientos de Candelaria, Arafo y Güímar, como titulares del mismo. En esta gestión se deberá respetar los siguientes principios:</w:t>
      </w:r>
      <w:r>
        <w:rPr>
          <w:i/>
        </w:rPr>
        <w:t xml:space="preserve"> </w:t>
      </w:r>
    </w:p>
    <w:p w:rsidR="007617AD" w:rsidRDefault="00EE75C8">
      <w:pPr>
        <w:spacing w:after="110" w:line="248" w:lineRule="auto"/>
        <w:ind w:left="1078" w:right="59"/>
      </w:pPr>
      <w:r>
        <w:rPr>
          <w:i/>
        </w:rPr>
        <w:t xml:space="preserve">Primero. - El de repercusión de todos los costes del servicio, incluyendo los costes ambientales, a los usuarios del mismo, en aplicación de lo mandatado por la Directiva Marco del Agua.  </w:t>
      </w:r>
    </w:p>
    <w:p w:rsidR="007617AD" w:rsidRDefault="00EE75C8">
      <w:pPr>
        <w:spacing w:after="110" w:line="248" w:lineRule="auto"/>
        <w:ind w:left="1078" w:right="59"/>
      </w:pPr>
      <w:r>
        <w:rPr>
          <w:i/>
        </w:rPr>
        <w:t xml:space="preserve">Segundo. - El de autofinanciación del servicio, por lo que todos </w:t>
      </w:r>
      <w:r>
        <w:rPr>
          <w:i/>
        </w:rPr>
        <w:t xml:space="preserve">los costes generados (funcionamiento, conservación, administración, inversión) se repercutirán, en las proporciones y cuantías que se determinen, entre los usuarios del Sistema.  </w:t>
      </w:r>
    </w:p>
    <w:p w:rsidR="007617AD" w:rsidRDefault="00EE75C8">
      <w:pPr>
        <w:spacing w:after="144" w:line="248" w:lineRule="auto"/>
        <w:ind w:left="1078" w:right="59"/>
      </w:pPr>
      <w:r>
        <w:rPr>
          <w:i/>
        </w:rPr>
        <w:t>Tercero- El de equidad insular, por lo que no podrán existir diferencias sus</w:t>
      </w:r>
      <w:r>
        <w:rPr>
          <w:i/>
        </w:rPr>
        <w:t xml:space="preserve">tanciales entre el coste del servicio en el Polígono Industrial del Valle de Güímar y en otras zonas donde el Consejo Insular de Aguas pudiera asumir competencias similares.  </w:t>
      </w:r>
    </w:p>
    <w:p w:rsidR="007617AD" w:rsidRDefault="00EE75C8">
      <w:pPr>
        <w:spacing w:after="92" w:line="265" w:lineRule="auto"/>
        <w:ind w:left="10" w:right="62"/>
        <w:jc w:val="right"/>
      </w:pPr>
      <w:r>
        <w:t xml:space="preserve">[…] </w:t>
      </w:r>
    </w:p>
    <w:p w:rsidR="007617AD" w:rsidRDefault="00EE75C8">
      <w:pPr>
        <w:spacing w:after="112" w:line="259" w:lineRule="auto"/>
        <w:ind w:left="708" w:firstLine="0"/>
        <w:jc w:val="left"/>
      </w:pPr>
      <w:r>
        <w:rPr>
          <w:b/>
        </w:rPr>
        <w:t xml:space="preserve"> </w:t>
      </w:r>
    </w:p>
    <w:p w:rsidR="007617AD" w:rsidRDefault="00EE75C8">
      <w:pPr>
        <w:spacing w:after="93"/>
        <w:ind w:left="703" w:right="58"/>
      </w:pPr>
      <w:r>
        <w:rPr>
          <w:b/>
        </w:rPr>
        <w:t>3.1. Competencias municipales: Ayuntamientos de Arafo, Candelaria y Güíma</w:t>
      </w:r>
      <w:r>
        <w:rPr>
          <w:b/>
        </w:rPr>
        <w:t>r.</w:t>
      </w:r>
      <w:r>
        <w:rPr>
          <w:rFonts w:ascii="Times New Roman" w:eastAsia="Times New Roman" w:hAnsi="Times New Roman" w:cs="Times New Roman"/>
          <w:sz w:val="24"/>
        </w:rPr>
        <w:t xml:space="preserve"> </w:t>
      </w:r>
    </w:p>
    <w:p w:rsidR="007617AD" w:rsidRDefault="00EE75C8">
      <w:pPr>
        <w:spacing w:after="230"/>
        <w:ind w:left="703" w:right="62"/>
      </w:pPr>
      <w:r>
        <w:t>El art. 7.2 LRBRL dispone que “Las competencias propias de los Municipios, las Provincias, las Islas y demás Entidades Locales territoriales solo podrán ser determinadas por Ley y se ejercen en régimen de autonomía y bajo la propia responsabilidad, ate</w:t>
      </w:r>
      <w:r>
        <w:t xml:space="preserve">ndiendo siempre a la debida coordinación en su programación y ejecución con las demás Administraciones Públicas”.  </w:t>
      </w:r>
    </w:p>
    <w:p w:rsidR="007617AD" w:rsidRDefault="00EE75C8">
      <w:pPr>
        <w:ind w:left="703" w:right="62"/>
      </w:pPr>
      <w:r>
        <w:t>En este sentido conforme al art. 25.2 LRBRL el municipio ejercerá, en todo caso, competencias propias en materia de "</w:t>
      </w:r>
      <w:r>
        <w:t>evacuación y tratamiento de aguas residuales” (letra c.).</w:t>
      </w:r>
      <w:r>
        <w:rPr>
          <w:rFonts w:ascii="Times New Roman" w:eastAsia="Times New Roman" w:hAnsi="Times New Roman" w:cs="Times New Roman"/>
          <w:sz w:val="24"/>
        </w:rPr>
        <w:t xml:space="preserve"> </w:t>
      </w:r>
    </w:p>
    <w:p w:rsidR="007617AD" w:rsidRDefault="00EE75C8">
      <w:pPr>
        <w:spacing w:after="231"/>
        <w:ind w:left="703" w:right="62"/>
      </w:pPr>
      <w:r>
        <w:t xml:space="preserve">Asimismo, conforme a los apartados 3 y 4 del referido art. 25 LRBRL: </w:t>
      </w:r>
    </w:p>
    <w:p w:rsidR="007617AD" w:rsidRDefault="00EE75C8">
      <w:pPr>
        <w:numPr>
          <w:ilvl w:val="0"/>
          <w:numId w:val="65"/>
        </w:numPr>
        <w:spacing w:after="234" w:line="248" w:lineRule="auto"/>
        <w:ind w:right="59"/>
      </w:pPr>
      <w:r>
        <w:rPr>
          <w:i/>
        </w:rPr>
        <w:t>Las competencias municipales en las materias enunciadas en este artículo se determinarán por Ley debiendo evaluar la convenienc</w:t>
      </w:r>
      <w:r>
        <w:rPr>
          <w:i/>
        </w:rPr>
        <w:t xml:space="preserve">ia de la implantación de servicios locales conforme a los principios de descentralización, eficiencia, estabilidad y sostenibilidad financiera. </w:t>
      </w:r>
    </w:p>
    <w:p w:rsidR="007617AD" w:rsidRDefault="00EE75C8">
      <w:pPr>
        <w:numPr>
          <w:ilvl w:val="0"/>
          <w:numId w:val="65"/>
        </w:numPr>
        <w:spacing w:after="231" w:line="248" w:lineRule="auto"/>
        <w:ind w:right="59"/>
      </w:pPr>
      <w:r>
        <w:rPr>
          <w:i/>
        </w:rPr>
        <w:t>La Ley a que se refiere el apartado anterior deberá ir acompañada de una memoria económica que refleje el impac</w:t>
      </w:r>
      <w:r>
        <w:rPr>
          <w:i/>
        </w:rPr>
        <w:t>to sobre los recursos financieros de las Administraciones Públicas afectadas y el cumplimiento de los principios de estabilidad, sostenibilidad financiera y eficiencia del servicio o la actividad. La Ley debe prever la dotación de los recursos necesarios p</w:t>
      </w:r>
      <w:r>
        <w:rPr>
          <w:i/>
        </w:rPr>
        <w:t xml:space="preserve">ara asegurar la suficiencia financiera de las Entidades Locales sin que ello pueda conllevar, en ningún caso, un mayor gasto de las Administraciones  </w:t>
      </w:r>
    </w:p>
    <w:p w:rsidR="007617AD" w:rsidRDefault="00EE75C8">
      <w:pPr>
        <w:spacing w:after="231"/>
        <w:ind w:left="703" w:right="62"/>
      </w:pPr>
      <w:r>
        <w:t>Es de aplicación el artículo 26.1 a) de la Ley de Bases del Régimen local que atribuye a todos los munici</w:t>
      </w:r>
      <w:r>
        <w:t xml:space="preserve">pios la competencia de alcantarillado. </w:t>
      </w:r>
    </w:p>
    <w:p w:rsidR="007617AD" w:rsidRDefault="00EE75C8">
      <w:pPr>
        <w:spacing w:after="211"/>
        <w:ind w:left="703" w:right="62"/>
      </w:pPr>
      <w:r>
        <w:t xml:space="preserve">Por otra parte, la Ley 14/1986, de 25 de abril, General de Sanidad, que concreta las competencias municipales en materia de “medio ambiente urbano”, en su art. 42, apartado 3, considera una responsabilidad mínima de </w:t>
      </w:r>
      <w:r>
        <w:t xml:space="preserve">los Ayuntamientos el “control sanitario del medio ambiente: la contaminación atmosférica, abastecimiento de aguas, saneamiento de aguas residuales, residuos urbanos e industriales”. </w:t>
      </w:r>
      <w:r>
        <w:rPr>
          <w:rFonts w:ascii="Times New Roman" w:eastAsia="Times New Roman" w:hAnsi="Times New Roman" w:cs="Times New Roman"/>
          <w:sz w:val="24"/>
        </w:rPr>
        <w:t xml:space="preserve"> </w:t>
      </w:r>
    </w:p>
    <w:p w:rsidR="007617AD" w:rsidRDefault="00EE75C8">
      <w:pPr>
        <w:spacing w:after="212"/>
        <w:ind w:left="703" w:right="62"/>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4647" name="Group 27464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3562" name="Rectangle 2356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Verificación: https://ca</w:t>
                              </w:r>
                              <w:r>
                                <w:rPr>
                                  <w:sz w:val="12"/>
                                </w:rPr>
                                <w:t xml:space="preserve">ndelaria.sedelectronica.es/ </w:t>
                              </w:r>
                            </w:p>
                          </w:txbxContent>
                        </wps:txbx>
                        <wps:bodyPr horzOverflow="overflow" vert="horz" lIns="0" tIns="0" rIns="0" bIns="0" rtlCol="0">
                          <a:noAutofit/>
                        </wps:bodyPr>
                      </wps:wsp>
                      <wps:wsp>
                        <wps:cNvPr id="23563" name="Rectangle 23563"/>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128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4647" style="width:12.7031pt;height:280.02pt;position:absolute;mso-position-horizontal-relative:page;mso-position-horizontal:absolute;margin-left:682.278pt;mso-position-vertical-relative:page;margin-top:531.9pt;" coordsize="1613,35562">
                <v:rect id="Rectangle 2356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3563"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128 de 192 </w:t>
                        </w:r>
                      </w:p>
                    </w:txbxContent>
                  </v:textbox>
                </v:rect>
                <w10:wrap type="square"/>
              </v:group>
            </w:pict>
          </mc:Fallback>
        </mc:AlternateContent>
      </w:r>
      <w:r>
        <w:t>El art. 10 del Decreto 174/1994 de 29 de julio, por el que se aprueba el Reglamento de Control de Vertidos para la ocupación del d</w:t>
      </w:r>
      <w:r>
        <w:t>ominio público hidráulico. (RCV), según el cual “los municipios son directamente responsables de los servicios de abastecimiento domiciliario de agua potable, de alcantarillado y de tratamiento o depuración de las aguas residuales en los términos de la leg</w:t>
      </w:r>
      <w:r>
        <w:t>islación de régimen local. Entre sus responsabilidades se incluyen (…) b.) El buen funcionamiento de sus servicios de depuración, así como la vigilancia de los instalados en las urbanizaciones no conectados al sistema general; c.) El control de los efluent</w:t>
      </w:r>
      <w:r>
        <w:t xml:space="preserve">es de sus servicios de alcantarillado y depuración de aguas residuales (…)”. </w:t>
      </w:r>
      <w:r>
        <w:rPr>
          <w:rFonts w:ascii="Times New Roman" w:eastAsia="Times New Roman" w:hAnsi="Times New Roman" w:cs="Times New Roman"/>
          <w:sz w:val="24"/>
        </w:rPr>
        <w:t xml:space="preserve"> </w:t>
      </w:r>
    </w:p>
    <w:p w:rsidR="007617AD" w:rsidRDefault="00EE75C8">
      <w:pPr>
        <w:spacing w:after="234"/>
        <w:ind w:left="703" w:right="62"/>
      </w:pPr>
      <w:r>
        <w:t xml:space="preserve">Es de aplicación la norma 297.3 del Plan Hidrológico de la Demarcación Hidrográfica de Tenerife, aprobado mediante Decreto 168/2018, de 26 de noviembre (BOC nº 250 de 27 de diciembre de 2018), que en su apartado 2 dispone: </w:t>
      </w:r>
    </w:p>
    <w:p w:rsidR="007617AD" w:rsidRDefault="00EE75C8">
      <w:pPr>
        <w:spacing w:after="231" w:line="248" w:lineRule="auto"/>
        <w:ind w:left="703" w:right="59"/>
      </w:pPr>
      <w:r>
        <w:rPr>
          <w:i/>
        </w:rPr>
        <w:t>El servicio de tratamiento del a</w:t>
      </w:r>
      <w:r>
        <w:rPr>
          <w:i/>
        </w:rPr>
        <w:t xml:space="preserve">gua residual y el vertido podrá ser gestionado mediante fórmula de convenio entre el CIATF y uno o varios Ayuntamientos. </w:t>
      </w:r>
    </w:p>
    <w:p w:rsidR="007617AD" w:rsidRDefault="00EE75C8">
      <w:pPr>
        <w:spacing w:after="234" w:line="248" w:lineRule="auto"/>
        <w:ind w:left="703" w:right="59"/>
      </w:pPr>
      <w:r>
        <w:rPr>
          <w:i/>
        </w:rPr>
        <w:t>En este caso, se entenderá que el órgano de gestión del Convenio asume la prestación del servicio para su gestión –de manera habitual</w:t>
      </w:r>
      <w:r>
        <w:rPr>
          <w:i/>
        </w:rPr>
        <w:t xml:space="preserve">- por el Consejo Insular de Aguas, sin perjuicio de lo que corresponda en razón de la autonomía de cada Ayuntamiento en su término municipal.  </w:t>
      </w:r>
    </w:p>
    <w:p w:rsidR="007617AD" w:rsidRDefault="00EE75C8">
      <w:pPr>
        <w:spacing w:after="229" w:line="248" w:lineRule="auto"/>
        <w:ind w:left="703" w:right="59"/>
      </w:pPr>
      <w:r>
        <w:rPr>
          <w:i/>
        </w:rPr>
        <w:t>El Consejo Insular se subrogará en la explotación de las instalaciones de depuración y vertido del agua residual</w:t>
      </w:r>
      <w:r>
        <w:rPr>
          <w:i/>
        </w:rPr>
        <w:t xml:space="preserve"> que no cumplan las condiciones adecuadas para la protección del medio ambiente o impidan el tratamiento de la regeneración del agua residual, si fuere necesario para la planificación hidráulica insular. </w:t>
      </w:r>
    </w:p>
    <w:p w:rsidR="007617AD" w:rsidRDefault="00EE75C8">
      <w:pPr>
        <w:spacing w:after="0" w:line="259" w:lineRule="auto"/>
        <w:ind w:left="708" w:firstLine="0"/>
        <w:jc w:val="left"/>
      </w:pPr>
      <w:r>
        <w:rPr>
          <w:b/>
        </w:rPr>
        <w:t xml:space="preserve"> </w:t>
      </w:r>
    </w:p>
    <w:p w:rsidR="007617AD" w:rsidRDefault="00EE75C8">
      <w:pPr>
        <w:spacing w:after="220" w:line="259" w:lineRule="auto"/>
        <w:ind w:left="708" w:firstLine="0"/>
        <w:jc w:val="left"/>
      </w:pPr>
      <w:r>
        <w:rPr>
          <w:b/>
        </w:rPr>
        <w:t xml:space="preserve"> </w:t>
      </w:r>
    </w:p>
    <w:p w:rsidR="007617AD" w:rsidRDefault="00EE75C8">
      <w:pPr>
        <w:spacing w:after="237"/>
        <w:ind w:left="703" w:right="58"/>
      </w:pPr>
      <w:r>
        <w:rPr>
          <w:b/>
        </w:rPr>
        <w:t>3.2. Competencias insulares para la gestión con</w:t>
      </w:r>
      <w:r>
        <w:rPr>
          <w:b/>
        </w:rPr>
        <w:t xml:space="preserve">junta de las infraestructuras de depuración y vertido integradas en el Sistema Territorial de Saneamiento del Valle de Güímar y Polígono Industrial del Valle de Güímar. </w:t>
      </w:r>
    </w:p>
    <w:p w:rsidR="007617AD" w:rsidRDefault="00EE75C8">
      <w:pPr>
        <w:spacing w:after="216" w:line="248" w:lineRule="auto"/>
        <w:ind w:left="703" w:right="59"/>
      </w:pPr>
      <w:r>
        <w:t xml:space="preserve">Es de aplicación el artículo 26.2 de la Ley de Bases del Régimen local que establece: </w:t>
      </w:r>
      <w:r>
        <w:rPr>
          <w:i/>
        </w:rPr>
        <w:t xml:space="preserve">2. En los municipios con población inferior a 20.000 habitantes será la Diputación provincial o entidad equivalente la que coordinará la prestación de los siguientes servicios: b) (…) evacuación y tratamiento de aguas residuales. </w:t>
      </w:r>
      <w:r>
        <w:rPr>
          <w:rFonts w:ascii="Times New Roman" w:eastAsia="Times New Roman" w:hAnsi="Times New Roman" w:cs="Times New Roman"/>
          <w:sz w:val="24"/>
        </w:rPr>
        <w:t xml:space="preserve"> </w:t>
      </w:r>
    </w:p>
    <w:p w:rsidR="007617AD" w:rsidRDefault="00EE75C8">
      <w:pPr>
        <w:spacing w:after="213"/>
        <w:ind w:left="703" w:right="62"/>
      </w:pPr>
      <w:r>
        <w:t>Es de aplicación lo disp</w:t>
      </w:r>
      <w:r>
        <w:t>uesto en el artículo 41.1 de la Ley de Bases del Régimen local que establece Los Cabildos Insulares Canarios, como órganos de gobierno, administración y representación de cada isla, se rigen por las normas contenidas en la disposición adicional decimocuart</w:t>
      </w:r>
      <w:r>
        <w:t>a de esta ley y supletoriamente por las normas que regulan la organización y funcionamiento de las Diputaciones provinciales, asumiendo las competencias de éstas, sin perjuicio de lo dispuesto en el Estatuto de Autonomía de Canarias.</w:t>
      </w:r>
      <w:r>
        <w:rPr>
          <w:rFonts w:ascii="Times New Roman" w:eastAsia="Times New Roman" w:hAnsi="Times New Roman" w:cs="Times New Roman"/>
          <w:sz w:val="24"/>
        </w:rPr>
        <w:t xml:space="preserve"> </w:t>
      </w:r>
    </w:p>
    <w:p w:rsidR="007617AD" w:rsidRDefault="00EE75C8">
      <w:pPr>
        <w:spacing w:after="211" w:line="248" w:lineRule="auto"/>
        <w:ind w:left="703" w:right="59"/>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4962" name="Group 27496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3686" name="Rectangle 2368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w:t>
                              </w:r>
                              <w:r>
                                <w:rPr>
                                  <w:sz w:val="12"/>
                                </w:rPr>
                                <w:t xml:space="preserve">ZZKGX4GJD4WS6MQ5AJX5N2EM | Verificación: https://candelaria.sedelectronica.es/ </w:t>
                              </w:r>
                            </w:p>
                          </w:txbxContent>
                        </wps:txbx>
                        <wps:bodyPr horzOverflow="overflow" vert="horz" lIns="0" tIns="0" rIns="0" bIns="0" rtlCol="0">
                          <a:noAutofit/>
                        </wps:bodyPr>
                      </wps:wsp>
                      <wps:wsp>
                        <wps:cNvPr id="23687" name="Rectangle 23687"/>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129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4962" style="width:12.7031pt;height:280.02pt;position:absolute;mso-position-horizontal-relative:page;mso-position-horizontal:absolute;margin-left:682.278pt;mso-position-vertical-relative:page;margin-top:531.9pt;" coordsize="1613,35562">
                <v:rect id="Rectangle 2368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3687"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129 de 192 </w:t>
                        </w:r>
                      </w:p>
                    </w:txbxContent>
                  </v:textbox>
                </v:rect>
                <w10:wrap type="square"/>
              </v:group>
            </w:pict>
          </mc:Fallback>
        </mc:AlternateContent>
      </w:r>
      <w:r>
        <w:t xml:space="preserve">Es de aplicación la norma 298.1 “Gestión supramunicipal del Saneamiento” del Plan Hidrológico de la Demarcación Hidrográfica de Tenerife, aprobado mediante Decreto 168/2018, de 26 de noviembre (BOC nº 250 de 27 de diciembre de 2018), que dispone: </w:t>
      </w:r>
      <w:r>
        <w:rPr>
          <w:i/>
        </w:rPr>
        <w:t>1.- En lo</w:t>
      </w:r>
      <w:r>
        <w:rPr>
          <w:i/>
        </w:rPr>
        <w:t>s municipios de menos de 20.000 habitantes, el Cabildo de Tenerife –directamente o a través del Consejo Insular de Aguas, según se establezca -coordinará la prestación del servicio de saneamiento del agua residual en los términos previstos en el artículo 2</w:t>
      </w:r>
      <w:r>
        <w:rPr>
          <w:i/>
        </w:rPr>
        <w:t>6.2 de la Ley de Bases del Régimen local (…).</w:t>
      </w:r>
      <w:r>
        <w:rPr>
          <w:rFonts w:ascii="Times New Roman" w:eastAsia="Times New Roman" w:hAnsi="Times New Roman" w:cs="Times New Roman"/>
          <w:sz w:val="24"/>
        </w:rPr>
        <w:t xml:space="preserve"> </w:t>
      </w:r>
    </w:p>
    <w:p w:rsidR="007617AD" w:rsidRDefault="00EE75C8">
      <w:pPr>
        <w:spacing w:after="234"/>
        <w:ind w:left="703" w:right="62"/>
      </w:pPr>
      <w:r>
        <w:t>Los Consejos Insulares son Organismos Autónomos que ejercen en cada Isla las funciones que, en relación con las aguas, la legislación general confía a los Organismos de cuenca, así como las competencias que le</w:t>
      </w:r>
      <w:r>
        <w:t xml:space="preserve"> otorga la propia Ley de Aguas de Canarias (arts. 6 y 10 LAC).  </w:t>
      </w:r>
    </w:p>
    <w:p w:rsidR="007617AD" w:rsidRDefault="00EE75C8">
      <w:pPr>
        <w:spacing w:after="217"/>
        <w:ind w:left="703" w:right="62"/>
      </w:pPr>
      <w:r>
        <w:t>El Consejo Insular de Aguas de Tenerife tiene atribuidas, entre otras funciones, la prestación de toda clase de servicios técnicos y el asesoramiento a las Administraciones Públicas, según de</w:t>
      </w:r>
      <w:r>
        <w:t xml:space="preserve">termina la Ley 12/1990, de 26 de julio, de Aguas de Canarias. </w:t>
      </w:r>
      <w:r>
        <w:rPr>
          <w:rFonts w:ascii="Times New Roman" w:eastAsia="Times New Roman" w:hAnsi="Times New Roman" w:cs="Times New Roman"/>
          <w:sz w:val="24"/>
        </w:rPr>
        <w:t xml:space="preserve"> </w:t>
      </w:r>
    </w:p>
    <w:p w:rsidR="007617AD" w:rsidRDefault="00EE75C8">
      <w:pPr>
        <w:spacing w:after="213"/>
        <w:ind w:left="703" w:right="62"/>
      </w:pPr>
      <w:r>
        <w:t>Atendiendo a lo anterior, de acuerdo con la actuación desarrollada hasta la fecha en los Convenios formalizados con los Ayuntamientos de la Isla para articular sus competencias en lo que respe</w:t>
      </w:r>
      <w:r>
        <w:t>cta a la depuración y vertido, corresponde al CIATF la gestión de las infraestructuras a través de la fórmula que se considere adecuada a tal fin (que podrá ser por contratos de servicios (funciones de operación) o encargo a medio propio, una combinación d</w:t>
      </w:r>
      <w:r>
        <w:t>e ambas u otras fórmulas previstas en el ordenamiento jurídico que sean adecuadas a tal fin), y a llevar a cabo un control ambiental y técnico de su funcionamiento. Además, el CIATF prefinancia esta gestión pues atiende a todos los gastos (incluyendo la el</w:t>
      </w:r>
      <w:r>
        <w:t xml:space="preserve">ectricidad) y, a posteriori, procede a su repercusión íntegra a los Ayuntamientos. </w:t>
      </w:r>
      <w:r>
        <w:rPr>
          <w:rFonts w:ascii="Times New Roman" w:eastAsia="Times New Roman" w:hAnsi="Times New Roman" w:cs="Times New Roman"/>
          <w:sz w:val="24"/>
        </w:rPr>
        <w:t xml:space="preserve"> </w:t>
      </w:r>
    </w:p>
    <w:p w:rsidR="007617AD" w:rsidRDefault="00EE75C8">
      <w:pPr>
        <w:ind w:left="703" w:right="58"/>
      </w:pPr>
      <w:r>
        <w:rPr>
          <w:b/>
        </w:rPr>
        <w:t xml:space="preserve">CUARTO. - ESTACIÓN DEPURADORA DE AGUAS RESIDUALES URBANAS DEL VALLE DE GÜÍMAR (EDARU). </w:t>
      </w:r>
    </w:p>
    <w:p w:rsidR="007617AD" w:rsidRDefault="00EE75C8">
      <w:pPr>
        <w:ind w:left="703" w:right="62"/>
      </w:pPr>
      <w:r>
        <w:t>Las obras de la EDARU, que está ubicada en el T.M. de Arafo, fueron adjudicadas con</w:t>
      </w:r>
      <w:r>
        <w:t xml:space="preserve"> fecha 13 de septiembre de 2017 a la U.T.E. conformada por FERROVIAL AGROMAN, S.A. – CADAGUA, S.A., por un importe de 9.809.062,71 € y un plazo de ejecución de 30 meses, formalizándose el correspondiente contrato administrativo el 5 de octubre de 2017 (anu</w:t>
      </w:r>
      <w:r>
        <w:t xml:space="preserve">ncio insertado en el DOUE de 19/10/2017, 414543-2017-ES). Por requerimientos de encaje físico y perfeccionamiento tecnológico se aprobó y rubricó una Modificación del Proyecto anterior alcanzando un presupuesto de 12.310.399,87€. </w:t>
      </w:r>
    </w:p>
    <w:p w:rsidR="007617AD" w:rsidRDefault="00EE75C8">
      <w:pPr>
        <w:ind w:left="703" w:right="62"/>
      </w:pPr>
      <w:r>
        <w:t>El inicio de las obras tu</w:t>
      </w:r>
      <w:r>
        <w:t xml:space="preserve">vo lugar el 27 de octubre de 2017, con la suscripción del Acta de Comprobación del Replanteo, estando prevista la recepción de las obras -a la fecha de firma del presente Convenio-  en el mes de diciembre de 2022 y su puesta en funcionamiento en el mes de </w:t>
      </w:r>
      <w:r>
        <w:t xml:space="preserve">enero de 2025 cuando se culminen las actuaciones que posibiliten la llegada de los caudales colectados a la misma (actuaciones no incluidas en las obras de la EDARU). Dichas actuaciones figuran en el cronograma que se incorpora como Anexo III del presente </w:t>
      </w:r>
      <w:r>
        <w:t xml:space="preserve">convenio.  </w:t>
      </w:r>
    </w:p>
    <w:p w:rsidR="007617AD" w:rsidRDefault="00EE75C8">
      <w:pPr>
        <w:ind w:left="703" w:right="62"/>
      </w:pPr>
      <w:r>
        <w:t xml:space="preserve">La capacidad de tratamiento de la EDARU es de 75.833 habitantes equivalentes suficiente para cubrir la totalidad de la carga contaminante urbana de los tres municipios a los que prestará servicio, es decir Candelaria, Arafo y Güímar, ampliable </w:t>
      </w:r>
      <w:r>
        <w:t xml:space="preserve">hasta 113.750 habitantes equivalentes para el horizonte temporal 2027. </w:t>
      </w:r>
    </w:p>
    <w:p w:rsidR="007617AD" w:rsidRDefault="00EE75C8">
      <w:pPr>
        <w:ind w:left="703" w:right="62"/>
      </w:pPr>
      <w:r>
        <w:t xml:space="preserve">El 100% del coste de las actuaciones en esta obra incluyendo la redacción del proyecto inicial han sido sufragados con presupuestos del CIATF. </w:t>
      </w:r>
    </w:p>
    <w:p w:rsidR="007617AD" w:rsidRDefault="00EE75C8">
      <w:pPr>
        <w:spacing w:after="98" w:line="259" w:lineRule="auto"/>
        <w:ind w:left="708" w:firstLine="0"/>
        <w:jc w:val="left"/>
      </w:pPr>
      <w:r>
        <w:rPr>
          <w:b/>
        </w:rPr>
        <w:t xml:space="preserve"> </w:t>
      </w:r>
    </w:p>
    <w:p w:rsidR="007617AD" w:rsidRDefault="00EE75C8">
      <w:pPr>
        <w:ind w:left="703" w:right="58"/>
      </w:pPr>
      <w:r>
        <w:rPr>
          <w:b/>
        </w:rPr>
        <w:t>QUINTO. -</w:t>
      </w:r>
      <w:r>
        <w:t xml:space="preserve"> </w:t>
      </w:r>
      <w:r>
        <w:rPr>
          <w:b/>
        </w:rPr>
        <w:t>ESTACIÓN DEPURADORA DE AGUAS</w:t>
      </w:r>
      <w:r>
        <w:rPr>
          <w:b/>
        </w:rPr>
        <w:t xml:space="preserve"> RESIDUALES INDUSTRIALES (EDARI) DEL POLÍGONO INDUSTRIAL DEL VALLE DE GÜIMAR Y ACTUACIONES COMPLEMENTARIAS. </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ind w:left="703" w:right="62"/>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5068" name="Group 27506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3802" name="Rectangle 2380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3803" name="Rectangle 23803"/>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130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5068" style="width:12.7031pt;height:280.02pt;position:absolute;mso-position-horizontal-relative:page;mso-position-horizontal:absolute;margin-left:682.278pt;mso-position-vertical-relative:page;margin-top:531.9pt;" coordsize="1613,35562">
                <v:rect id="Rectangle 2380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3803"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130 de 192 </w:t>
                        </w:r>
                      </w:p>
                    </w:txbxContent>
                  </v:textbox>
                </v:rect>
                <w10:wrap type="square"/>
              </v:group>
            </w:pict>
          </mc:Fallback>
        </mc:AlternateContent>
      </w:r>
      <w:r>
        <w:t>Las obras de la EDARI, así como las actuaciones complementarias. fueron adjudicadas con fecha 16 de septiembre de 2019 la U.T.E. HIDROTEC AGUAS, S.L. y SATOCAN S</w:t>
      </w:r>
      <w:r>
        <w:t xml:space="preserve">.A., por un importe de </w:t>
      </w:r>
    </w:p>
    <w:p w:rsidR="007617AD" w:rsidRDefault="00EE75C8">
      <w:pPr>
        <w:spacing w:after="1"/>
        <w:ind w:left="703" w:right="62"/>
      </w:pPr>
      <w:r>
        <w:t>5.235.122,44 € -6,5% IGIC aplicable no incluido – y un plazo de 23 meses (17 meses de ejecución y 6 meses de periodo de pruebas). La correspondiente Acta de Comprobación de Replanteo se suscribió el 21 de noviembre de 2019, habiéndo</w:t>
      </w:r>
      <w:r>
        <w:t xml:space="preserve">se iniciado con ello las obras. Así mismo se aprobó y rubricó un modificado necesario para optimizar la operación posterior de la planta lo que el presupuesto total alcanza los 5.991.461,46 €. </w:t>
      </w:r>
    </w:p>
    <w:p w:rsidR="007617AD" w:rsidRDefault="00EE75C8">
      <w:pPr>
        <w:spacing w:after="0" w:line="259" w:lineRule="auto"/>
        <w:ind w:left="708" w:firstLine="0"/>
        <w:jc w:val="left"/>
      </w:pPr>
      <w:r>
        <w:t xml:space="preserve"> </w:t>
      </w:r>
    </w:p>
    <w:p w:rsidR="007617AD" w:rsidRDefault="00EE75C8">
      <w:pPr>
        <w:ind w:left="703" w:right="62"/>
      </w:pPr>
      <w:r>
        <w:t>La capacidad de tratamiento de la EDARI es de 14.126 habitan</w:t>
      </w:r>
      <w:r>
        <w:t xml:space="preserve">tes equivalentes suficiente para cubrir la totalidad de la carga contaminante industrial del polígono en un horizonte temporal futuro a los que prestará servicio, es decir Candelaria, Arafo y Güímar. </w:t>
      </w:r>
    </w:p>
    <w:p w:rsidR="007617AD" w:rsidRDefault="00EE75C8">
      <w:pPr>
        <w:ind w:left="703" w:right="62"/>
      </w:pPr>
      <w:r>
        <w:t xml:space="preserve">La finalización de la EDARi está prevista inicialmente para finales de noviembre de 2022 y su recepción en el mes de diciembre de 2022, conforme al plan de etapas actualmente vigente, sin perjuicio de eventuales modificaciones que pudieran producirse como </w:t>
      </w:r>
      <w:r>
        <w:t xml:space="preserve">consecuencia de la ejecución y puesta en funcionamiento de la instalación. </w:t>
      </w:r>
    </w:p>
    <w:p w:rsidR="007617AD" w:rsidRDefault="00EE75C8">
      <w:pPr>
        <w:ind w:left="703" w:right="62"/>
      </w:pPr>
      <w:r>
        <w:t>El 100% del coste de las actuaciones en estas obras (EDARI y actuaciones complementarias) incluyendo la redacción del proyecto inicial han sido sufragados con presupuestos del CIAT</w:t>
      </w:r>
      <w:r>
        <w:t xml:space="preserve">F. </w:t>
      </w:r>
    </w:p>
    <w:p w:rsidR="007617AD" w:rsidRDefault="00EE75C8">
      <w:pPr>
        <w:spacing w:after="100" w:line="259" w:lineRule="auto"/>
        <w:ind w:left="708" w:firstLine="0"/>
        <w:jc w:val="left"/>
      </w:pPr>
      <w:r>
        <w:rPr>
          <w:b/>
        </w:rPr>
        <w:t xml:space="preserve"> </w:t>
      </w:r>
    </w:p>
    <w:p w:rsidR="007617AD" w:rsidRDefault="00EE75C8">
      <w:pPr>
        <w:ind w:left="703" w:right="58"/>
      </w:pPr>
      <w:r>
        <w:rPr>
          <w:b/>
        </w:rPr>
        <w:t xml:space="preserve">SEXTO. - CAUDALES DE DISEÑO DE LAS INSTALACIONES DE DEPURACIÓN DEL AGUA RESIDUAL URBANA E INDUSTRIAL. </w:t>
      </w:r>
    </w:p>
    <w:p w:rsidR="007617AD" w:rsidRDefault="00EE75C8">
      <w:pPr>
        <w:spacing w:after="101" w:line="259" w:lineRule="auto"/>
        <w:ind w:left="708" w:firstLine="0"/>
        <w:jc w:val="left"/>
      </w:pPr>
      <w:r>
        <w:rPr>
          <w:b/>
        </w:rPr>
        <w:t xml:space="preserve"> </w:t>
      </w:r>
    </w:p>
    <w:p w:rsidR="007617AD" w:rsidRDefault="00EE75C8">
      <w:pPr>
        <w:ind w:left="703" w:right="62"/>
      </w:pPr>
      <w:r>
        <w:t>Las instalaciones antes descritas, EDARU y EDARI, se han diseñado para tratar un volumen de agua estimado por municipio y que se detalla en la si</w:t>
      </w:r>
      <w:r>
        <w:t xml:space="preserve">guiente tabla. Estos caudales determinan la </w:t>
      </w:r>
      <w:r>
        <w:rPr>
          <w:u w:val="single" w:color="000000"/>
        </w:rPr>
        <w:t>capacidad de tratamiento reservada</w:t>
      </w:r>
      <w:r>
        <w:t xml:space="preserve"> en las instalaciones para cada uno de los Ayuntamientos y a la vez establecen la cuota de participación de cada Ayuntamiento en los costes fijos bajo la premisa de </w:t>
      </w:r>
      <w:r>
        <w:rPr>
          <w:u w:val="single" w:color="000000"/>
        </w:rPr>
        <w:t>proporcionali</w:t>
      </w:r>
      <w:r>
        <w:rPr>
          <w:u w:val="single" w:color="000000"/>
        </w:rPr>
        <w:t>dad entre la cuota de tratamiento asignada por municipio y los costes fijos de</w:t>
      </w:r>
      <w:r>
        <w:t xml:space="preserve"> </w:t>
      </w:r>
      <w:r>
        <w:rPr>
          <w:u w:val="single" w:color="000000"/>
        </w:rPr>
        <w:t>ambas instalaciones.</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tbl>
      <w:tblPr>
        <w:tblStyle w:val="TableGrid"/>
        <w:tblW w:w="8491" w:type="dxa"/>
        <w:tblInd w:w="1232" w:type="dxa"/>
        <w:tblCellMar>
          <w:top w:w="46" w:type="dxa"/>
          <w:left w:w="29" w:type="dxa"/>
          <w:bottom w:w="0" w:type="dxa"/>
          <w:right w:w="115" w:type="dxa"/>
        </w:tblCellMar>
        <w:tblLook w:val="04A0" w:firstRow="1" w:lastRow="0" w:firstColumn="1" w:lastColumn="0" w:noHBand="0" w:noVBand="1"/>
      </w:tblPr>
      <w:tblGrid>
        <w:gridCol w:w="2826"/>
        <w:gridCol w:w="950"/>
        <w:gridCol w:w="944"/>
        <w:gridCol w:w="938"/>
        <w:gridCol w:w="950"/>
        <w:gridCol w:w="944"/>
        <w:gridCol w:w="938"/>
      </w:tblGrid>
      <w:tr w:rsidR="007617AD">
        <w:trPr>
          <w:trHeight w:val="253"/>
        </w:trPr>
        <w:tc>
          <w:tcPr>
            <w:tcW w:w="2826" w:type="dxa"/>
            <w:vMerge w:val="restart"/>
            <w:tcBorders>
              <w:top w:val="nil"/>
              <w:left w:val="nil"/>
              <w:bottom w:val="nil"/>
              <w:right w:val="single" w:sz="9" w:space="0" w:color="000000"/>
            </w:tcBorders>
          </w:tcPr>
          <w:p w:rsidR="007617AD" w:rsidRDefault="007617AD">
            <w:pPr>
              <w:spacing w:after="160" w:line="259" w:lineRule="auto"/>
              <w:ind w:left="0" w:firstLine="0"/>
              <w:jc w:val="left"/>
            </w:pPr>
          </w:p>
        </w:tc>
        <w:tc>
          <w:tcPr>
            <w:tcW w:w="2832" w:type="dxa"/>
            <w:gridSpan w:val="3"/>
            <w:tcBorders>
              <w:top w:val="single" w:sz="5" w:space="0" w:color="000000"/>
              <w:left w:val="single" w:sz="9" w:space="0" w:color="000000"/>
              <w:bottom w:val="single" w:sz="10" w:space="0" w:color="000000"/>
              <w:right w:val="single" w:sz="9" w:space="0" w:color="000000"/>
            </w:tcBorders>
          </w:tcPr>
          <w:p w:rsidR="007617AD" w:rsidRDefault="00EE75C8">
            <w:pPr>
              <w:spacing w:after="0" w:line="259" w:lineRule="auto"/>
              <w:ind w:left="85" w:firstLine="0"/>
              <w:jc w:val="center"/>
            </w:pPr>
            <w:r>
              <w:rPr>
                <w:rFonts w:ascii="Calibri" w:eastAsia="Calibri" w:hAnsi="Calibri" w:cs="Calibri"/>
                <w:sz w:val="19"/>
              </w:rPr>
              <w:t>Aguas residuales urbanas</w:t>
            </w:r>
          </w:p>
        </w:tc>
        <w:tc>
          <w:tcPr>
            <w:tcW w:w="2832" w:type="dxa"/>
            <w:gridSpan w:val="3"/>
            <w:tcBorders>
              <w:top w:val="single" w:sz="5" w:space="0" w:color="000000"/>
              <w:left w:val="single" w:sz="9" w:space="0" w:color="000000"/>
              <w:bottom w:val="single" w:sz="10" w:space="0" w:color="000000"/>
              <w:right w:val="single" w:sz="9" w:space="0" w:color="000000"/>
            </w:tcBorders>
          </w:tcPr>
          <w:p w:rsidR="007617AD" w:rsidRDefault="00EE75C8">
            <w:pPr>
              <w:spacing w:after="0" w:line="259" w:lineRule="auto"/>
              <w:ind w:left="83" w:firstLine="0"/>
              <w:jc w:val="center"/>
            </w:pPr>
            <w:r>
              <w:rPr>
                <w:rFonts w:ascii="Calibri" w:eastAsia="Calibri" w:hAnsi="Calibri" w:cs="Calibri"/>
                <w:sz w:val="19"/>
              </w:rPr>
              <w:t>Aguas residuales industriales</w:t>
            </w:r>
          </w:p>
        </w:tc>
      </w:tr>
      <w:tr w:rsidR="007617AD">
        <w:trPr>
          <w:trHeight w:val="263"/>
        </w:trPr>
        <w:tc>
          <w:tcPr>
            <w:tcW w:w="0" w:type="auto"/>
            <w:vMerge/>
            <w:tcBorders>
              <w:top w:val="nil"/>
              <w:left w:val="nil"/>
              <w:bottom w:val="nil"/>
              <w:right w:val="single" w:sz="9" w:space="0" w:color="000000"/>
            </w:tcBorders>
          </w:tcPr>
          <w:p w:rsidR="007617AD" w:rsidRDefault="007617AD">
            <w:pPr>
              <w:spacing w:after="160" w:line="259" w:lineRule="auto"/>
              <w:ind w:left="0" w:firstLine="0"/>
              <w:jc w:val="left"/>
            </w:pPr>
          </w:p>
        </w:tc>
        <w:tc>
          <w:tcPr>
            <w:tcW w:w="950" w:type="dxa"/>
            <w:tcBorders>
              <w:top w:val="single" w:sz="10" w:space="0" w:color="000000"/>
              <w:left w:val="single" w:sz="9" w:space="0" w:color="000000"/>
              <w:bottom w:val="nil"/>
              <w:right w:val="single" w:sz="5" w:space="0" w:color="000000"/>
            </w:tcBorders>
          </w:tcPr>
          <w:p w:rsidR="007617AD" w:rsidRDefault="00EE75C8">
            <w:pPr>
              <w:spacing w:after="0" w:line="259" w:lineRule="auto"/>
              <w:ind w:left="112" w:firstLine="0"/>
              <w:jc w:val="left"/>
            </w:pPr>
            <w:r>
              <w:rPr>
                <w:rFonts w:ascii="Calibri" w:eastAsia="Calibri" w:hAnsi="Calibri" w:cs="Calibri"/>
                <w:b/>
                <w:sz w:val="15"/>
              </w:rPr>
              <w:t>VOLUMEN</w:t>
            </w:r>
          </w:p>
        </w:tc>
        <w:tc>
          <w:tcPr>
            <w:tcW w:w="944" w:type="dxa"/>
            <w:tcBorders>
              <w:top w:val="single" w:sz="10" w:space="0" w:color="000000"/>
              <w:left w:val="single" w:sz="5" w:space="0" w:color="000000"/>
              <w:bottom w:val="nil"/>
              <w:right w:val="single" w:sz="5"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c>
          <w:tcPr>
            <w:tcW w:w="938" w:type="dxa"/>
            <w:tcBorders>
              <w:top w:val="single" w:sz="10" w:space="0" w:color="000000"/>
              <w:left w:val="single" w:sz="5" w:space="0" w:color="000000"/>
              <w:bottom w:val="nil"/>
              <w:right w:val="single" w:sz="9"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c>
          <w:tcPr>
            <w:tcW w:w="950" w:type="dxa"/>
            <w:tcBorders>
              <w:top w:val="single" w:sz="10" w:space="0" w:color="000000"/>
              <w:left w:val="single" w:sz="9" w:space="0" w:color="000000"/>
              <w:bottom w:val="nil"/>
              <w:right w:val="single" w:sz="5" w:space="0" w:color="000000"/>
            </w:tcBorders>
          </w:tcPr>
          <w:p w:rsidR="007617AD" w:rsidRDefault="00EE75C8">
            <w:pPr>
              <w:spacing w:after="0" w:line="259" w:lineRule="auto"/>
              <w:ind w:left="112" w:firstLine="0"/>
              <w:jc w:val="left"/>
            </w:pPr>
            <w:r>
              <w:rPr>
                <w:rFonts w:ascii="Calibri" w:eastAsia="Calibri" w:hAnsi="Calibri" w:cs="Calibri"/>
                <w:b/>
                <w:sz w:val="15"/>
              </w:rPr>
              <w:t>VOLUMEN</w:t>
            </w:r>
          </w:p>
        </w:tc>
        <w:tc>
          <w:tcPr>
            <w:tcW w:w="944" w:type="dxa"/>
            <w:tcBorders>
              <w:top w:val="single" w:sz="10" w:space="0" w:color="000000"/>
              <w:left w:val="single" w:sz="5" w:space="0" w:color="000000"/>
              <w:bottom w:val="nil"/>
              <w:right w:val="single" w:sz="5"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c>
          <w:tcPr>
            <w:tcW w:w="938" w:type="dxa"/>
            <w:tcBorders>
              <w:top w:val="single" w:sz="10" w:space="0" w:color="000000"/>
              <w:left w:val="single" w:sz="5" w:space="0" w:color="000000"/>
              <w:bottom w:val="nil"/>
              <w:right w:val="single" w:sz="9"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r>
      <w:tr w:rsidR="007617AD">
        <w:trPr>
          <w:trHeight w:val="219"/>
        </w:trPr>
        <w:tc>
          <w:tcPr>
            <w:tcW w:w="2826" w:type="dxa"/>
            <w:tcBorders>
              <w:top w:val="nil"/>
              <w:left w:val="nil"/>
              <w:bottom w:val="single" w:sz="9" w:space="0" w:color="000000"/>
              <w:right w:val="single" w:sz="9" w:space="0" w:color="000000"/>
            </w:tcBorders>
          </w:tcPr>
          <w:p w:rsidR="007617AD" w:rsidRDefault="007617AD">
            <w:pPr>
              <w:spacing w:after="160" w:line="259" w:lineRule="auto"/>
              <w:ind w:left="0" w:firstLine="0"/>
              <w:jc w:val="left"/>
            </w:pPr>
          </w:p>
        </w:tc>
        <w:tc>
          <w:tcPr>
            <w:tcW w:w="950" w:type="dxa"/>
            <w:tcBorders>
              <w:top w:val="nil"/>
              <w:left w:val="single" w:sz="9" w:space="0" w:color="000000"/>
              <w:bottom w:val="single" w:sz="9" w:space="0" w:color="000000"/>
              <w:right w:val="single" w:sz="5" w:space="0" w:color="000000"/>
            </w:tcBorders>
          </w:tcPr>
          <w:p w:rsidR="007617AD" w:rsidRDefault="00EE75C8">
            <w:pPr>
              <w:spacing w:after="0" w:line="259" w:lineRule="auto"/>
              <w:ind w:left="99" w:firstLine="0"/>
              <w:jc w:val="center"/>
            </w:pPr>
            <w:r>
              <w:rPr>
                <w:rFonts w:ascii="Calibri" w:eastAsia="Calibri" w:hAnsi="Calibri" w:cs="Calibri"/>
                <w:b/>
                <w:sz w:val="15"/>
              </w:rPr>
              <w:t>m3</w:t>
            </w:r>
          </w:p>
        </w:tc>
        <w:tc>
          <w:tcPr>
            <w:tcW w:w="944" w:type="dxa"/>
            <w:tcBorders>
              <w:top w:val="nil"/>
              <w:left w:val="single" w:sz="5" w:space="0" w:color="000000"/>
              <w:bottom w:val="single" w:sz="9" w:space="0" w:color="000000"/>
              <w:right w:val="single" w:sz="5" w:space="0" w:color="000000"/>
            </w:tcBorders>
          </w:tcPr>
          <w:p w:rsidR="007617AD" w:rsidRDefault="00EE75C8">
            <w:pPr>
              <w:spacing w:after="0" w:line="259" w:lineRule="auto"/>
              <w:ind w:left="85" w:firstLine="0"/>
              <w:jc w:val="center"/>
            </w:pPr>
            <w:r>
              <w:rPr>
                <w:rFonts w:ascii="Calibri" w:eastAsia="Calibri" w:hAnsi="Calibri" w:cs="Calibri"/>
                <w:b/>
                <w:sz w:val="15"/>
              </w:rPr>
              <w:t>m3/d</w:t>
            </w:r>
          </w:p>
        </w:tc>
        <w:tc>
          <w:tcPr>
            <w:tcW w:w="938" w:type="dxa"/>
            <w:tcBorders>
              <w:top w:val="nil"/>
              <w:left w:val="single" w:sz="5" w:space="0" w:color="000000"/>
              <w:bottom w:val="single" w:sz="9" w:space="0" w:color="000000"/>
              <w:right w:val="single" w:sz="9" w:space="0" w:color="000000"/>
            </w:tcBorders>
          </w:tcPr>
          <w:p w:rsidR="007617AD" w:rsidRDefault="00EE75C8">
            <w:pPr>
              <w:spacing w:after="0" w:line="259" w:lineRule="auto"/>
              <w:ind w:left="98" w:firstLine="0"/>
              <w:jc w:val="center"/>
            </w:pPr>
            <w:r>
              <w:rPr>
                <w:rFonts w:ascii="Calibri" w:eastAsia="Calibri" w:hAnsi="Calibri" w:cs="Calibri"/>
                <w:b/>
                <w:sz w:val="15"/>
              </w:rPr>
              <w:t>%</w:t>
            </w:r>
          </w:p>
        </w:tc>
        <w:tc>
          <w:tcPr>
            <w:tcW w:w="950" w:type="dxa"/>
            <w:tcBorders>
              <w:top w:val="nil"/>
              <w:left w:val="single" w:sz="9" w:space="0" w:color="000000"/>
              <w:bottom w:val="single" w:sz="9" w:space="0" w:color="000000"/>
              <w:right w:val="single" w:sz="5" w:space="0" w:color="000000"/>
            </w:tcBorders>
          </w:tcPr>
          <w:p w:rsidR="007617AD" w:rsidRDefault="00EE75C8">
            <w:pPr>
              <w:spacing w:after="0" w:line="259" w:lineRule="auto"/>
              <w:ind w:left="99" w:firstLine="0"/>
              <w:jc w:val="center"/>
            </w:pPr>
            <w:r>
              <w:rPr>
                <w:rFonts w:ascii="Calibri" w:eastAsia="Calibri" w:hAnsi="Calibri" w:cs="Calibri"/>
                <w:b/>
                <w:sz w:val="15"/>
              </w:rPr>
              <w:t>m3</w:t>
            </w:r>
          </w:p>
        </w:tc>
        <w:tc>
          <w:tcPr>
            <w:tcW w:w="944" w:type="dxa"/>
            <w:tcBorders>
              <w:top w:val="nil"/>
              <w:left w:val="single" w:sz="5" w:space="0" w:color="000000"/>
              <w:bottom w:val="single" w:sz="9" w:space="0" w:color="000000"/>
              <w:right w:val="single" w:sz="5" w:space="0" w:color="000000"/>
            </w:tcBorders>
          </w:tcPr>
          <w:p w:rsidR="007617AD" w:rsidRDefault="00EE75C8">
            <w:pPr>
              <w:spacing w:after="0" w:line="259" w:lineRule="auto"/>
              <w:ind w:left="85" w:firstLine="0"/>
              <w:jc w:val="center"/>
            </w:pPr>
            <w:r>
              <w:rPr>
                <w:rFonts w:ascii="Calibri" w:eastAsia="Calibri" w:hAnsi="Calibri" w:cs="Calibri"/>
                <w:b/>
                <w:sz w:val="15"/>
              </w:rPr>
              <w:t>m3/d</w:t>
            </w:r>
          </w:p>
        </w:tc>
        <w:tc>
          <w:tcPr>
            <w:tcW w:w="938" w:type="dxa"/>
            <w:tcBorders>
              <w:top w:val="nil"/>
              <w:left w:val="single" w:sz="5" w:space="0" w:color="000000"/>
              <w:bottom w:val="single" w:sz="9" w:space="0" w:color="000000"/>
              <w:right w:val="single" w:sz="9" w:space="0" w:color="000000"/>
            </w:tcBorders>
          </w:tcPr>
          <w:p w:rsidR="007617AD" w:rsidRDefault="00EE75C8">
            <w:pPr>
              <w:spacing w:after="0" w:line="259" w:lineRule="auto"/>
              <w:ind w:left="98" w:firstLine="0"/>
              <w:jc w:val="center"/>
            </w:pPr>
            <w:r>
              <w:rPr>
                <w:rFonts w:ascii="Calibri" w:eastAsia="Calibri" w:hAnsi="Calibri" w:cs="Calibri"/>
                <w:b/>
                <w:sz w:val="15"/>
              </w:rPr>
              <w:t>%</w:t>
            </w:r>
          </w:p>
        </w:tc>
      </w:tr>
      <w:tr w:rsidR="007617AD">
        <w:trPr>
          <w:trHeight w:val="241"/>
        </w:trPr>
        <w:tc>
          <w:tcPr>
            <w:tcW w:w="2826" w:type="dxa"/>
            <w:tcBorders>
              <w:top w:val="single" w:sz="9" w:space="0" w:color="000000"/>
              <w:left w:val="single" w:sz="5" w:space="0" w:color="000000"/>
              <w:bottom w:val="single" w:sz="5"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sz w:val="15"/>
              </w:rPr>
              <w:t>T.M. DE CANDELARIA</w:t>
            </w:r>
          </w:p>
        </w:tc>
        <w:tc>
          <w:tcPr>
            <w:tcW w:w="950" w:type="dxa"/>
            <w:tcBorders>
              <w:top w:val="single" w:sz="9" w:space="0" w:color="000000"/>
              <w:left w:val="single" w:sz="9" w:space="0" w:color="000000"/>
              <w:bottom w:val="single" w:sz="5" w:space="0" w:color="000000"/>
              <w:right w:val="single" w:sz="5" w:space="0" w:color="000000"/>
            </w:tcBorders>
          </w:tcPr>
          <w:p w:rsidR="007617AD" w:rsidRDefault="00EE75C8">
            <w:pPr>
              <w:spacing w:after="0" w:line="259" w:lineRule="auto"/>
              <w:ind w:left="109" w:firstLine="0"/>
              <w:jc w:val="center"/>
            </w:pPr>
            <w:r>
              <w:rPr>
                <w:rFonts w:ascii="Calibri" w:eastAsia="Calibri" w:hAnsi="Calibri" w:cs="Calibri"/>
                <w:sz w:val="15"/>
              </w:rPr>
              <w:t>1.330.858</w:t>
            </w:r>
          </w:p>
        </w:tc>
        <w:tc>
          <w:tcPr>
            <w:tcW w:w="944" w:type="dxa"/>
            <w:tcBorders>
              <w:top w:val="single" w:sz="9" w:space="0" w:color="000000"/>
              <w:left w:val="single" w:sz="5" w:space="0" w:color="000000"/>
              <w:bottom w:val="single" w:sz="5"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sz w:val="15"/>
              </w:rPr>
              <w:t>3.646</w:t>
            </w:r>
          </w:p>
        </w:tc>
        <w:tc>
          <w:tcPr>
            <w:tcW w:w="938" w:type="dxa"/>
            <w:tcBorders>
              <w:top w:val="single" w:sz="9"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52,09%</w:t>
            </w:r>
          </w:p>
        </w:tc>
        <w:tc>
          <w:tcPr>
            <w:tcW w:w="950" w:type="dxa"/>
            <w:tcBorders>
              <w:top w:val="single" w:sz="9" w:space="0" w:color="000000"/>
              <w:left w:val="single" w:sz="9" w:space="0" w:color="000000"/>
              <w:bottom w:val="single" w:sz="5"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235.724</w:t>
            </w:r>
          </w:p>
        </w:tc>
        <w:tc>
          <w:tcPr>
            <w:tcW w:w="944" w:type="dxa"/>
            <w:tcBorders>
              <w:top w:val="single" w:sz="9" w:space="0" w:color="000000"/>
              <w:left w:val="single" w:sz="5" w:space="0" w:color="000000"/>
              <w:bottom w:val="single" w:sz="5"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646</w:t>
            </w:r>
          </w:p>
        </w:tc>
        <w:tc>
          <w:tcPr>
            <w:tcW w:w="938" w:type="dxa"/>
            <w:tcBorders>
              <w:top w:val="single" w:sz="9"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56,65%</w:t>
            </w:r>
          </w:p>
        </w:tc>
      </w:tr>
      <w:tr w:rsidR="007617AD">
        <w:trPr>
          <w:trHeight w:val="236"/>
        </w:trPr>
        <w:tc>
          <w:tcPr>
            <w:tcW w:w="2826" w:type="dxa"/>
            <w:tcBorders>
              <w:top w:val="single" w:sz="5" w:space="0" w:color="000000"/>
              <w:left w:val="single" w:sz="5" w:space="0" w:color="000000"/>
              <w:bottom w:val="single" w:sz="5"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sz w:val="15"/>
              </w:rPr>
              <w:t>T.M. DE ARAFO</w:t>
            </w:r>
          </w:p>
        </w:tc>
        <w:tc>
          <w:tcPr>
            <w:tcW w:w="950" w:type="dxa"/>
            <w:tcBorders>
              <w:top w:val="single" w:sz="5" w:space="0" w:color="000000"/>
              <w:left w:val="single" w:sz="9" w:space="0" w:color="000000"/>
              <w:bottom w:val="single" w:sz="5"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263.984</w:t>
            </w:r>
          </w:p>
        </w:tc>
        <w:tc>
          <w:tcPr>
            <w:tcW w:w="944" w:type="dxa"/>
            <w:tcBorders>
              <w:top w:val="single" w:sz="5" w:space="0" w:color="000000"/>
              <w:left w:val="single" w:sz="5" w:space="0" w:color="000000"/>
              <w:bottom w:val="single" w:sz="5"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723</w:t>
            </w:r>
          </w:p>
        </w:tc>
        <w:tc>
          <w:tcPr>
            <w:tcW w:w="938" w:type="dxa"/>
            <w:tcBorders>
              <w:top w:val="single" w:sz="5"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10,33%</w:t>
            </w:r>
          </w:p>
        </w:tc>
        <w:tc>
          <w:tcPr>
            <w:tcW w:w="950" w:type="dxa"/>
            <w:tcBorders>
              <w:top w:val="single" w:sz="5" w:space="0" w:color="000000"/>
              <w:left w:val="single" w:sz="9" w:space="0" w:color="000000"/>
              <w:bottom w:val="single" w:sz="5"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100.625</w:t>
            </w:r>
          </w:p>
        </w:tc>
        <w:tc>
          <w:tcPr>
            <w:tcW w:w="944" w:type="dxa"/>
            <w:tcBorders>
              <w:top w:val="single" w:sz="5" w:space="0" w:color="000000"/>
              <w:left w:val="single" w:sz="5" w:space="0" w:color="000000"/>
              <w:bottom w:val="single" w:sz="5"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276</w:t>
            </w:r>
          </w:p>
        </w:tc>
        <w:tc>
          <w:tcPr>
            <w:tcW w:w="938" w:type="dxa"/>
            <w:tcBorders>
              <w:top w:val="single" w:sz="5"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24,18%</w:t>
            </w:r>
          </w:p>
        </w:tc>
      </w:tr>
      <w:tr w:rsidR="007617AD">
        <w:trPr>
          <w:trHeight w:val="241"/>
        </w:trPr>
        <w:tc>
          <w:tcPr>
            <w:tcW w:w="2826" w:type="dxa"/>
            <w:tcBorders>
              <w:top w:val="single" w:sz="5" w:space="0" w:color="000000"/>
              <w:left w:val="single" w:sz="5" w:space="0" w:color="000000"/>
              <w:bottom w:val="single" w:sz="9"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sz w:val="15"/>
              </w:rPr>
              <w:t>T.M. DE GÜÍMAR</w:t>
            </w:r>
          </w:p>
        </w:tc>
        <w:tc>
          <w:tcPr>
            <w:tcW w:w="950" w:type="dxa"/>
            <w:tcBorders>
              <w:top w:val="single" w:sz="5" w:space="0" w:color="000000"/>
              <w:left w:val="single" w:sz="9" w:space="0" w:color="000000"/>
              <w:bottom w:val="single" w:sz="9"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960.158</w:t>
            </w:r>
          </w:p>
        </w:tc>
        <w:tc>
          <w:tcPr>
            <w:tcW w:w="944" w:type="dxa"/>
            <w:tcBorders>
              <w:top w:val="single" w:sz="5" w:space="0" w:color="000000"/>
              <w:left w:val="single" w:sz="5" w:space="0" w:color="000000"/>
              <w:bottom w:val="single" w:sz="9"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sz w:val="15"/>
              </w:rPr>
              <w:t>2.631</w:t>
            </w:r>
          </w:p>
        </w:tc>
        <w:tc>
          <w:tcPr>
            <w:tcW w:w="938" w:type="dxa"/>
            <w:tcBorders>
              <w:top w:val="single" w:sz="5" w:space="0" w:color="000000"/>
              <w:left w:val="single" w:sz="5" w:space="0" w:color="000000"/>
              <w:bottom w:val="single" w:sz="9"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37,58%</w:t>
            </w:r>
          </w:p>
        </w:tc>
        <w:tc>
          <w:tcPr>
            <w:tcW w:w="950" w:type="dxa"/>
            <w:tcBorders>
              <w:top w:val="single" w:sz="5" w:space="0" w:color="000000"/>
              <w:left w:val="single" w:sz="9" w:space="0" w:color="000000"/>
              <w:bottom w:val="single" w:sz="9" w:space="0" w:color="000000"/>
              <w:right w:val="single" w:sz="5" w:space="0" w:color="000000"/>
            </w:tcBorders>
          </w:tcPr>
          <w:p w:rsidR="007617AD" w:rsidRDefault="00EE75C8">
            <w:pPr>
              <w:spacing w:after="0" w:line="259" w:lineRule="auto"/>
              <w:ind w:left="336" w:firstLine="0"/>
              <w:jc w:val="left"/>
            </w:pPr>
            <w:r>
              <w:rPr>
                <w:rFonts w:ascii="Calibri" w:eastAsia="Calibri" w:hAnsi="Calibri" w:cs="Calibri"/>
                <w:sz w:val="15"/>
              </w:rPr>
              <w:t>79.751</w:t>
            </w:r>
          </w:p>
        </w:tc>
        <w:tc>
          <w:tcPr>
            <w:tcW w:w="944" w:type="dxa"/>
            <w:tcBorders>
              <w:top w:val="single" w:sz="5" w:space="0" w:color="000000"/>
              <w:left w:val="single" w:sz="5" w:space="0" w:color="000000"/>
              <w:bottom w:val="single" w:sz="9"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218</w:t>
            </w:r>
          </w:p>
        </w:tc>
        <w:tc>
          <w:tcPr>
            <w:tcW w:w="938" w:type="dxa"/>
            <w:tcBorders>
              <w:top w:val="single" w:sz="5" w:space="0" w:color="000000"/>
              <w:left w:val="single" w:sz="5" w:space="0" w:color="000000"/>
              <w:bottom w:val="single" w:sz="9"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19,17%</w:t>
            </w:r>
          </w:p>
        </w:tc>
      </w:tr>
      <w:tr w:rsidR="007617AD">
        <w:trPr>
          <w:trHeight w:val="247"/>
        </w:trPr>
        <w:tc>
          <w:tcPr>
            <w:tcW w:w="2826" w:type="dxa"/>
            <w:tcBorders>
              <w:top w:val="single" w:sz="9" w:space="0" w:color="000000"/>
              <w:left w:val="single" w:sz="5" w:space="0" w:color="000000"/>
              <w:bottom w:val="single" w:sz="9"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b/>
                <w:sz w:val="15"/>
              </w:rPr>
              <w:t>TOTAL Sistema Comarcal</w:t>
            </w:r>
          </w:p>
        </w:tc>
        <w:tc>
          <w:tcPr>
            <w:tcW w:w="950" w:type="dxa"/>
            <w:tcBorders>
              <w:top w:val="single" w:sz="9" w:space="0" w:color="000000"/>
              <w:left w:val="single" w:sz="9" w:space="0" w:color="000000"/>
              <w:bottom w:val="single" w:sz="9" w:space="0" w:color="000000"/>
              <w:right w:val="single" w:sz="5" w:space="0" w:color="000000"/>
            </w:tcBorders>
          </w:tcPr>
          <w:p w:rsidR="007617AD" w:rsidRDefault="00EE75C8">
            <w:pPr>
              <w:spacing w:after="0" w:line="259" w:lineRule="auto"/>
              <w:ind w:left="109" w:firstLine="0"/>
              <w:jc w:val="center"/>
            </w:pPr>
            <w:r>
              <w:rPr>
                <w:rFonts w:ascii="Calibri" w:eastAsia="Calibri" w:hAnsi="Calibri" w:cs="Calibri"/>
                <w:b/>
                <w:sz w:val="15"/>
              </w:rPr>
              <w:t>2.555.000</w:t>
            </w:r>
          </w:p>
        </w:tc>
        <w:tc>
          <w:tcPr>
            <w:tcW w:w="944" w:type="dxa"/>
            <w:tcBorders>
              <w:top w:val="single" w:sz="9" w:space="0" w:color="000000"/>
              <w:left w:val="single" w:sz="5" w:space="0" w:color="000000"/>
              <w:bottom w:val="single" w:sz="9"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b/>
                <w:sz w:val="15"/>
              </w:rPr>
              <w:t>7.000</w:t>
            </w:r>
          </w:p>
        </w:tc>
        <w:tc>
          <w:tcPr>
            <w:tcW w:w="938" w:type="dxa"/>
            <w:tcBorders>
              <w:top w:val="single" w:sz="9" w:space="0" w:color="000000"/>
              <w:left w:val="single" w:sz="5" w:space="0" w:color="000000"/>
              <w:bottom w:val="single" w:sz="9" w:space="0" w:color="000000"/>
              <w:right w:val="single" w:sz="9" w:space="0" w:color="000000"/>
            </w:tcBorders>
          </w:tcPr>
          <w:p w:rsidR="007617AD" w:rsidRDefault="00EE75C8">
            <w:pPr>
              <w:spacing w:after="0" w:line="259" w:lineRule="auto"/>
              <w:ind w:left="96" w:firstLine="0"/>
              <w:jc w:val="center"/>
            </w:pPr>
            <w:r>
              <w:rPr>
                <w:rFonts w:ascii="Calibri" w:eastAsia="Calibri" w:hAnsi="Calibri" w:cs="Calibri"/>
                <w:b/>
                <w:sz w:val="15"/>
              </w:rPr>
              <w:t>100,00%</w:t>
            </w:r>
          </w:p>
        </w:tc>
        <w:tc>
          <w:tcPr>
            <w:tcW w:w="950" w:type="dxa"/>
            <w:tcBorders>
              <w:top w:val="single" w:sz="9" w:space="0" w:color="000000"/>
              <w:left w:val="single" w:sz="9" w:space="0" w:color="000000"/>
              <w:bottom w:val="single" w:sz="9"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b/>
                <w:sz w:val="15"/>
              </w:rPr>
              <w:t>416.100</w:t>
            </w:r>
          </w:p>
        </w:tc>
        <w:tc>
          <w:tcPr>
            <w:tcW w:w="944" w:type="dxa"/>
            <w:tcBorders>
              <w:top w:val="single" w:sz="9" w:space="0" w:color="000000"/>
              <w:left w:val="single" w:sz="5" w:space="0" w:color="000000"/>
              <w:bottom w:val="single" w:sz="9"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b/>
                <w:sz w:val="15"/>
              </w:rPr>
              <w:t>1.140</w:t>
            </w:r>
          </w:p>
        </w:tc>
        <w:tc>
          <w:tcPr>
            <w:tcW w:w="938" w:type="dxa"/>
            <w:tcBorders>
              <w:top w:val="single" w:sz="9" w:space="0" w:color="000000"/>
              <w:left w:val="single" w:sz="5" w:space="0" w:color="000000"/>
              <w:bottom w:val="single" w:sz="9" w:space="0" w:color="000000"/>
              <w:right w:val="single" w:sz="9" w:space="0" w:color="000000"/>
            </w:tcBorders>
          </w:tcPr>
          <w:p w:rsidR="007617AD" w:rsidRDefault="00EE75C8">
            <w:pPr>
              <w:spacing w:after="0" w:line="259" w:lineRule="auto"/>
              <w:ind w:left="96" w:firstLine="0"/>
              <w:jc w:val="center"/>
            </w:pPr>
            <w:r>
              <w:rPr>
                <w:rFonts w:ascii="Calibri" w:eastAsia="Calibri" w:hAnsi="Calibri" w:cs="Calibri"/>
                <w:b/>
                <w:sz w:val="15"/>
              </w:rPr>
              <w:t>100,00%</w:t>
            </w:r>
          </w:p>
        </w:tc>
      </w:tr>
    </w:tbl>
    <w:p w:rsidR="007617AD" w:rsidRDefault="00EE75C8">
      <w:pPr>
        <w:spacing w:after="90" w:line="259" w:lineRule="auto"/>
        <w:ind w:left="708" w:firstLine="0"/>
        <w:jc w:val="left"/>
      </w:pPr>
      <w:r>
        <w:rPr>
          <w:rFonts w:ascii="Times New Roman" w:eastAsia="Times New Roman" w:hAnsi="Times New Roman" w:cs="Times New Roman"/>
          <w:b/>
          <w:sz w:val="24"/>
        </w:rPr>
        <w:t xml:space="preserve"> </w:t>
      </w:r>
    </w:p>
    <w:p w:rsidR="007617AD" w:rsidRDefault="00EE75C8">
      <w:pPr>
        <w:spacing w:after="91"/>
        <w:ind w:left="703" w:right="58"/>
      </w:pPr>
      <w:r>
        <w:rPr>
          <w:b/>
        </w:rPr>
        <w:t xml:space="preserve">SÉPTIMO. - </w:t>
      </w:r>
      <w:r>
        <w:rPr>
          <w:b/>
        </w:rPr>
        <w:t>COSTES DEL SERVICIO A COLMATACIÓN.</w:t>
      </w:r>
      <w:r>
        <w:rPr>
          <w:rFonts w:ascii="Times New Roman" w:eastAsia="Times New Roman" w:hAnsi="Times New Roman" w:cs="Times New Roman"/>
          <w:sz w:val="24"/>
        </w:rPr>
        <w:t xml:space="preserve">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96435" name="Group 296435"/>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3971" name="Rectangle 2397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3972" name="Rectangle 23972"/>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131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96435" style="width:12.7031pt;height:280.02pt;position:absolute;mso-position-horizontal-relative:page;mso-position-horizontal:absolute;margin-left:682.278pt;mso-position-vertical-relative:page;margin-top:531.9pt;" coordsize="1613,35562">
                <v:rect id="Rectangle 2397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3972"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131 de 192 </w:t>
                        </w:r>
                      </w:p>
                    </w:txbxContent>
                  </v:textbox>
                </v:rect>
                <w10:wrap type="square"/>
              </v:group>
            </w:pict>
          </mc:Fallback>
        </mc:AlternateContent>
      </w:r>
      <w:r>
        <w:t>La normativa del PHDHT</w:t>
      </w:r>
      <w:r>
        <w:t xml:space="preserve"> establece en su artículo 301 relativo a los Criterios Económico Financieros para la gestión del saneamiento, lo siguiente: </w:t>
      </w:r>
    </w:p>
    <w:p w:rsidR="007617AD" w:rsidRDefault="00EE75C8">
      <w:pPr>
        <w:numPr>
          <w:ilvl w:val="0"/>
          <w:numId w:val="66"/>
        </w:numPr>
        <w:spacing w:after="110" w:line="248" w:lineRule="auto"/>
        <w:ind w:right="59"/>
      </w:pPr>
      <w:r>
        <w:rPr>
          <w:i/>
        </w:rPr>
        <w:t>De conformidad con lo preconizado por la Directiva Marco del Agua, las Ordenanzas que regulen los aspectos económicos - financieros</w:t>
      </w:r>
      <w:r>
        <w:rPr>
          <w:i/>
        </w:rPr>
        <w:t xml:space="preserve"> del servicio de saneamiento, deberán tender paulatinamente a la plena recuperación de sus costes. </w:t>
      </w:r>
    </w:p>
    <w:p w:rsidR="007617AD" w:rsidRDefault="00EE75C8">
      <w:pPr>
        <w:numPr>
          <w:ilvl w:val="0"/>
          <w:numId w:val="66"/>
        </w:numPr>
        <w:spacing w:after="110" w:line="248" w:lineRule="auto"/>
        <w:ind w:right="59"/>
      </w:pPr>
      <w:r>
        <w:rPr>
          <w:i/>
        </w:rPr>
        <w:t>La tarifa por el servicio de alcantarillado estará ligada al consumo de agua, contabilizado a través de los contadores. El recibo hará constar de modo indep</w:t>
      </w:r>
      <w:r>
        <w:rPr>
          <w:i/>
        </w:rPr>
        <w:t xml:space="preserve">endiente la repercusión de este servicio. </w:t>
      </w:r>
    </w:p>
    <w:p w:rsidR="007617AD" w:rsidRDefault="00EE75C8">
      <w:pPr>
        <w:numPr>
          <w:ilvl w:val="0"/>
          <w:numId w:val="66"/>
        </w:numPr>
        <w:spacing w:after="110" w:line="248" w:lineRule="auto"/>
        <w:ind w:right="59"/>
      </w:pPr>
      <w:r>
        <w:rPr>
          <w:i/>
        </w:rPr>
        <w:t xml:space="preserve">A efectos de simplificación, se privilegiará la combinación del recibo por alcantarillado con la del abastecimiento. El recibo será único, cubriendo ambos servicios. </w:t>
      </w:r>
    </w:p>
    <w:p w:rsidR="007617AD" w:rsidRDefault="00EE75C8">
      <w:pPr>
        <w:ind w:left="703" w:right="62"/>
      </w:pPr>
      <w:r>
        <w:t>La estimación de los costes del servicio de de</w:t>
      </w:r>
      <w:r>
        <w:t>puración y vertido son los propios de operación y mantenimiento de cada una de las instalaciones en fase de colmatación y se presenta en las siguientes tablas clasificados por coste fijo y variable.</w:t>
      </w:r>
      <w:r>
        <w:rPr>
          <w:rFonts w:ascii="Times New Roman" w:eastAsia="Times New Roman" w:hAnsi="Times New Roman" w:cs="Times New Roman"/>
          <w:sz w:val="24"/>
        </w:rPr>
        <w:t xml:space="preserve"> </w:t>
      </w:r>
    </w:p>
    <w:p w:rsidR="007617AD" w:rsidRDefault="00EE75C8">
      <w:pPr>
        <w:spacing w:after="84" w:line="259" w:lineRule="auto"/>
        <w:ind w:left="708" w:firstLine="0"/>
        <w:jc w:val="left"/>
      </w:pPr>
      <w:r>
        <w:rPr>
          <w:rFonts w:ascii="Times New Roman" w:eastAsia="Times New Roman" w:hAnsi="Times New Roman" w:cs="Times New Roman"/>
          <w:sz w:val="24"/>
        </w:rPr>
        <w:t xml:space="preserve"> </w:t>
      </w:r>
    </w:p>
    <w:p w:rsidR="007617AD" w:rsidRDefault="00EE75C8">
      <w:pPr>
        <w:spacing w:after="111" w:line="249" w:lineRule="auto"/>
        <w:ind w:left="1078"/>
        <w:jc w:val="left"/>
      </w:pPr>
      <w:r>
        <w:t xml:space="preserve">5. </w:t>
      </w:r>
      <w:r>
        <w:rPr>
          <w:u w:val="single" w:color="000000"/>
        </w:rPr>
        <w:t>Servicio de depuración de aguas residuales urbanas</w:t>
      </w:r>
      <w:r>
        <w:t xml:space="preserve"> </w:t>
      </w:r>
    </w:p>
    <w:p w:rsidR="007617AD" w:rsidRDefault="00EE75C8">
      <w:pPr>
        <w:pStyle w:val="Ttulo2"/>
        <w:tabs>
          <w:tab w:val="center" w:pos="5661"/>
          <w:tab w:val="center" w:pos="9704"/>
        </w:tabs>
        <w:spacing w:after="314"/>
        <w:ind w:left="0" w:firstLine="0"/>
      </w:pPr>
      <w:r>
        <w:rPr>
          <w:b w:val="0"/>
          <w:sz w:val="22"/>
          <w:u w:val="none"/>
        </w:rPr>
        <w:tab/>
      </w:r>
      <w:r>
        <w:t>Servicio DEPURACIÓN Aguas Residuales Urbanas</w:t>
      </w:r>
      <w:r>
        <w:tab/>
      </w:r>
      <w:r>
        <w:rPr>
          <w:noProof/>
          <w:sz w:val="22"/>
        </w:rPr>
        <mc:AlternateContent>
          <mc:Choice Requires="wpg">
            <w:drawing>
              <wp:inline distT="0" distB="0" distL="0" distR="0">
                <wp:extent cx="7996" cy="103653"/>
                <wp:effectExtent l="0" t="0" r="0" b="0"/>
                <wp:docPr id="301855" name="Group 301855"/>
                <wp:cNvGraphicFramePr/>
                <a:graphic xmlns:a="http://schemas.openxmlformats.org/drawingml/2006/main">
                  <a:graphicData uri="http://schemas.microsoft.com/office/word/2010/wordprocessingGroup">
                    <wpg:wgp>
                      <wpg:cNvGrpSpPr/>
                      <wpg:grpSpPr>
                        <a:xfrm>
                          <a:off x="0" y="0"/>
                          <a:ext cx="7996" cy="103653"/>
                          <a:chOff x="0" y="0"/>
                          <a:chExt cx="7996" cy="103653"/>
                        </a:xfrm>
                      </wpg:grpSpPr>
                      <pic:pic xmlns:pic="http://schemas.openxmlformats.org/drawingml/2006/picture">
                        <pic:nvPicPr>
                          <pic:cNvPr id="24136" name="Picture 24136"/>
                          <pic:cNvPicPr/>
                        </pic:nvPicPr>
                        <pic:blipFill>
                          <a:blip r:embed="rId12"/>
                          <a:stretch>
                            <a:fillRect/>
                          </a:stretch>
                        </pic:blipFill>
                        <pic:spPr>
                          <a:xfrm>
                            <a:off x="0" y="0"/>
                            <a:ext cx="7996" cy="103653"/>
                          </a:xfrm>
                          <a:prstGeom prst="rect">
                            <a:avLst/>
                          </a:prstGeom>
                        </pic:spPr>
                      </pic:pic>
                      <pic:pic xmlns:pic="http://schemas.openxmlformats.org/drawingml/2006/picture">
                        <pic:nvPicPr>
                          <pic:cNvPr id="24138" name="Picture 24138"/>
                          <pic:cNvPicPr/>
                        </pic:nvPicPr>
                        <pic:blipFill>
                          <a:blip r:embed="rId12"/>
                          <a:stretch>
                            <a:fillRect/>
                          </a:stretch>
                        </pic:blipFill>
                        <pic:spPr>
                          <a:xfrm>
                            <a:off x="0" y="0"/>
                            <a:ext cx="7996" cy="103653"/>
                          </a:xfrm>
                          <a:prstGeom prst="rect">
                            <a:avLst/>
                          </a:prstGeom>
                        </pic:spPr>
                      </pic:pic>
                    </wpg:wgp>
                  </a:graphicData>
                </a:graphic>
              </wp:inline>
            </w:drawing>
          </mc:Choice>
          <mc:Fallback xmlns:a="http://schemas.openxmlformats.org/drawingml/2006/main">
            <w:pict>
              <v:group id="Group 301855" style="width:0.629578pt;height:8.16164pt;mso-position-horizontal-relative:char;mso-position-vertical-relative:line" coordsize="79,1036">
                <v:shape id="Picture 24136" style="position:absolute;width:79;height:1036;left:0;top:0;" filled="f">
                  <v:imagedata r:id="rId13"/>
                </v:shape>
                <v:shape id="Picture 24138" style="position:absolute;width:79;height:1036;left:0;top:0;" filled="f">
                  <v:imagedata r:id="rId13"/>
                </v:shape>
              </v:group>
            </w:pict>
          </mc:Fallback>
        </mc:AlternateContent>
      </w:r>
    </w:p>
    <w:p w:rsidR="007617AD" w:rsidRDefault="00EE75C8">
      <w:pPr>
        <w:pStyle w:val="Ttulo3"/>
        <w:tabs>
          <w:tab w:val="center" w:pos="2579"/>
          <w:tab w:val="center" w:pos="5164"/>
          <w:tab w:val="center" w:pos="7743"/>
          <w:tab w:val="center" w:pos="8743"/>
          <w:tab w:val="center" w:pos="9413"/>
        </w:tabs>
        <w:ind w:left="0" w:firstLine="0"/>
      </w:pPr>
      <w:r>
        <w:rPr>
          <w:noProof/>
          <w:sz w:val="22"/>
        </w:rPr>
        <mc:AlternateContent>
          <mc:Choice Requires="wpg">
            <w:drawing>
              <wp:anchor distT="0" distB="0" distL="114300" distR="114300" simplePos="0" relativeHeight="251795456"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301856" name="Group 30185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4141" name="Rectangle 2414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4142" name="Rectangle 24142"/>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132 de 192 </w:t>
                              </w:r>
                            </w:p>
                          </w:txbxContent>
                        </wps:txbx>
                        <wps:bodyPr horzOverflow="overflow" vert="horz" lIns="0" tIns="0" rIns="0" bIns="0" rtlCol="0">
                          <a:noAutofit/>
                        </wps:bodyPr>
                      </wps:wsp>
                    </wpg:wgp>
                  </a:graphicData>
                </a:graphic>
              </wp:anchor>
            </w:drawing>
          </mc:Choice>
          <mc:Fallback xmlns:a="http://schemas.openxmlformats.org/drawingml/2006/main">
            <w:pict>
              <v:group id="Group 301856" style="width:12.7031pt;height:280.02pt;position:absolute;mso-position-horizontal-relative:page;mso-position-horizontal:absolute;margin-left:682.278pt;mso-position-vertical-relative:page;margin-top:531.9pt;" coordsize="1613,35562">
                <v:rect id="Rectangle 2414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4142"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132 de 192 </w:t>
                        </w:r>
                      </w:p>
                    </w:txbxContent>
                  </v:textbox>
                </v:rect>
                <w10:wrap type="topAndBottom"/>
              </v:group>
            </w:pict>
          </mc:Fallback>
        </mc:AlternateContent>
      </w:r>
      <w:r>
        <w:rPr>
          <w:b w:val="0"/>
          <w:sz w:val="22"/>
        </w:rPr>
        <w:tab/>
      </w:r>
      <w:r>
        <w:t>NATURALEZA DEL COSTE</w:t>
      </w:r>
      <w:r>
        <w:tab/>
        <w:t>CONCEPTO DEL COSTE</w:t>
      </w:r>
      <w:r>
        <w:tab/>
        <w:t>€/año</w:t>
      </w:r>
      <w:r>
        <w:tab/>
        <w:t>€/m3</w:t>
      </w:r>
      <w:r>
        <w:tab/>
        <w:t>%</w:t>
      </w:r>
    </w:p>
    <w:tbl>
      <w:tblPr>
        <w:tblStyle w:val="TableGrid"/>
        <w:tblW w:w="8103" w:type="dxa"/>
        <w:tblInd w:w="1607" w:type="dxa"/>
        <w:tblCellMar>
          <w:top w:w="30" w:type="dxa"/>
          <w:left w:w="0" w:type="dxa"/>
          <w:bottom w:w="0" w:type="dxa"/>
          <w:right w:w="115" w:type="dxa"/>
        </w:tblCellMar>
        <w:tblLook w:val="04A0" w:firstRow="1" w:lastRow="0" w:firstColumn="1" w:lastColumn="0" w:noHBand="0" w:noVBand="1"/>
      </w:tblPr>
      <w:tblGrid>
        <w:gridCol w:w="2667"/>
        <w:gridCol w:w="7"/>
        <w:gridCol w:w="2982"/>
        <w:gridCol w:w="7"/>
        <w:gridCol w:w="1191"/>
        <w:gridCol w:w="757"/>
        <w:gridCol w:w="7"/>
        <w:gridCol w:w="485"/>
        <w:gridCol w:w="7"/>
      </w:tblGrid>
      <w:tr w:rsidR="007617AD">
        <w:trPr>
          <w:gridAfter w:val="1"/>
          <w:wAfter w:w="7" w:type="dxa"/>
          <w:trHeight w:val="282"/>
        </w:trPr>
        <w:tc>
          <w:tcPr>
            <w:tcW w:w="2667" w:type="dxa"/>
            <w:tcBorders>
              <w:top w:val="single" w:sz="10" w:space="0" w:color="000000"/>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Propio CIATF</w:t>
            </w:r>
          </w:p>
        </w:tc>
        <w:tc>
          <w:tcPr>
            <w:tcW w:w="2989" w:type="dxa"/>
            <w:gridSpan w:val="2"/>
            <w:tcBorders>
              <w:top w:val="single" w:sz="10" w:space="0" w:color="000000"/>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Gestión y Control (1)</w:t>
            </w:r>
          </w:p>
        </w:tc>
        <w:tc>
          <w:tcPr>
            <w:tcW w:w="1198" w:type="dxa"/>
            <w:gridSpan w:val="2"/>
            <w:tcBorders>
              <w:top w:val="single" w:sz="10" w:space="0" w:color="000000"/>
              <w:left w:val="nil"/>
              <w:bottom w:val="nil"/>
              <w:right w:val="nil"/>
            </w:tcBorders>
          </w:tcPr>
          <w:p w:rsidR="007617AD" w:rsidRDefault="00EE75C8">
            <w:pPr>
              <w:spacing w:after="0" w:line="259" w:lineRule="auto"/>
              <w:ind w:left="223" w:firstLine="0"/>
              <w:jc w:val="center"/>
            </w:pPr>
            <w:r>
              <w:rPr>
                <w:rFonts w:ascii="Calibri" w:eastAsia="Calibri" w:hAnsi="Calibri" w:cs="Calibri"/>
                <w:sz w:val="19"/>
              </w:rPr>
              <w:t>77.048,82 €</w:t>
            </w:r>
          </w:p>
        </w:tc>
        <w:tc>
          <w:tcPr>
            <w:tcW w:w="757"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0,03 </w:t>
            </w:r>
          </w:p>
        </w:tc>
        <w:tc>
          <w:tcPr>
            <w:tcW w:w="492" w:type="dxa"/>
            <w:gridSpan w:val="2"/>
            <w:tcBorders>
              <w:top w:val="single" w:sz="10" w:space="0" w:color="000000"/>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4%</w:t>
            </w:r>
          </w:p>
        </w:tc>
      </w:tr>
      <w:tr w:rsidR="007617AD">
        <w:trPr>
          <w:gridAfter w:val="1"/>
          <w:wAfter w:w="7" w:type="dxa"/>
          <w:trHeight w:val="258"/>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Contrato de servicios</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Operación y mantenimiento</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398.361,49 €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0,16 </w:t>
            </w:r>
          </w:p>
        </w:tc>
        <w:tc>
          <w:tcPr>
            <w:tcW w:w="492" w:type="dxa"/>
            <w:gridSpan w:val="2"/>
            <w:tcBorders>
              <w:top w:val="nil"/>
              <w:left w:val="nil"/>
              <w:bottom w:val="nil"/>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22%</w:t>
            </w:r>
          </w:p>
        </w:tc>
      </w:tr>
      <w:tr w:rsidR="007617AD">
        <w:trPr>
          <w:gridAfter w:val="1"/>
          <w:wAfter w:w="7" w:type="dxa"/>
          <w:trHeight w:val="258"/>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Contrato de suministro</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Electricidad (Costes Fijos)</w:t>
            </w:r>
          </w:p>
        </w:tc>
        <w:tc>
          <w:tcPr>
            <w:tcW w:w="1198" w:type="dxa"/>
            <w:gridSpan w:val="2"/>
            <w:tcBorders>
              <w:top w:val="nil"/>
              <w:left w:val="nil"/>
              <w:bottom w:val="nil"/>
              <w:right w:val="nil"/>
            </w:tcBorders>
          </w:tcPr>
          <w:p w:rsidR="007617AD" w:rsidRDefault="00EE75C8">
            <w:pPr>
              <w:spacing w:after="0" w:line="259" w:lineRule="auto"/>
              <w:ind w:left="223" w:firstLine="0"/>
              <w:jc w:val="center"/>
            </w:pPr>
            <w:r>
              <w:rPr>
                <w:rFonts w:ascii="Calibri" w:eastAsia="Calibri" w:hAnsi="Calibri" w:cs="Calibri"/>
                <w:sz w:val="19"/>
              </w:rPr>
              <w:t>73.996,12 €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w:t>
            </w:r>
            <w:r>
              <w:rPr>
                <w:rFonts w:ascii="Calibri" w:eastAsia="Calibri" w:hAnsi="Calibri" w:cs="Calibri"/>
                <w:sz w:val="19"/>
              </w:rPr>
              <w:t xml:space="preserve">0 ,03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4%</w:t>
            </w:r>
          </w:p>
        </w:tc>
      </w:tr>
      <w:tr w:rsidR="007617AD">
        <w:trPr>
          <w:gridAfter w:val="1"/>
          <w:wAfter w:w="7" w:type="dxa"/>
          <w:trHeight w:val="252"/>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Propio CIATF</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Inversiones (2)</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154.097,65 €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0 ,06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9%</w:t>
            </w:r>
          </w:p>
        </w:tc>
      </w:tr>
      <w:tr w:rsidR="007617AD">
        <w:trPr>
          <w:gridAfter w:val="1"/>
          <w:wAfter w:w="7" w:type="dxa"/>
          <w:trHeight w:val="258"/>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Contrato de servicios</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Seguimiento medioambiental (3)</w:t>
            </w:r>
          </w:p>
        </w:tc>
        <w:tc>
          <w:tcPr>
            <w:tcW w:w="1198" w:type="dxa"/>
            <w:gridSpan w:val="2"/>
            <w:tcBorders>
              <w:top w:val="nil"/>
              <w:left w:val="nil"/>
              <w:bottom w:val="nil"/>
              <w:right w:val="nil"/>
            </w:tcBorders>
          </w:tcPr>
          <w:p w:rsidR="007617AD" w:rsidRDefault="00EE75C8">
            <w:pPr>
              <w:spacing w:after="0" w:line="259" w:lineRule="auto"/>
              <w:ind w:left="223" w:firstLine="0"/>
              <w:jc w:val="center"/>
            </w:pPr>
            <w:r>
              <w:rPr>
                <w:rFonts w:ascii="Calibri" w:eastAsia="Calibri" w:hAnsi="Calibri" w:cs="Calibri"/>
                <w:sz w:val="19"/>
              </w:rPr>
              <w:t>52.108,25 €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0 ,02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3%</w:t>
            </w:r>
          </w:p>
        </w:tc>
      </w:tr>
      <w:tr w:rsidR="007617AD">
        <w:trPr>
          <w:gridAfter w:val="1"/>
          <w:wAfter w:w="7" w:type="dxa"/>
          <w:trHeight w:val="241"/>
        </w:trPr>
        <w:tc>
          <w:tcPr>
            <w:tcW w:w="2667" w:type="dxa"/>
            <w:tcBorders>
              <w:top w:val="nil"/>
              <w:left w:val="single" w:sz="5" w:space="0" w:color="000000"/>
              <w:bottom w:val="single" w:sz="10" w:space="0" w:color="000000"/>
              <w:right w:val="nil"/>
            </w:tcBorders>
          </w:tcPr>
          <w:p w:rsidR="007617AD" w:rsidRDefault="00EE75C8">
            <w:pPr>
              <w:spacing w:after="0" w:line="259" w:lineRule="auto"/>
              <w:ind w:left="31" w:firstLine="0"/>
              <w:jc w:val="left"/>
            </w:pPr>
            <w:r>
              <w:rPr>
                <w:rFonts w:ascii="Calibri" w:eastAsia="Calibri" w:hAnsi="Calibri" w:cs="Calibri"/>
                <w:sz w:val="19"/>
              </w:rPr>
              <w:t>Contrato de suministro</w:t>
            </w:r>
          </w:p>
        </w:tc>
        <w:tc>
          <w:tcPr>
            <w:tcW w:w="2989" w:type="dxa"/>
            <w:gridSpan w:val="2"/>
            <w:tcBorders>
              <w:top w:val="nil"/>
              <w:left w:val="nil"/>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sz w:val="19"/>
              </w:rPr>
              <w:t>Comunicaciones</w:t>
            </w:r>
          </w:p>
        </w:tc>
        <w:tc>
          <w:tcPr>
            <w:tcW w:w="1198" w:type="dxa"/>
            <w:gridSpan w:val="2"/>
            <w:tcBorders>
              <w:top w:val="nil"/>
              <w:left w:val="nil"/>
              <w:bottom w:val="single" w:sz="10" w:space="0" w:color="000000"/>
              <w:right w:val="nil"/>
            </w:tcBorders>
          </w:tcPr>
          <w:p w:rsidR="007617AD" w:rsidRDefault="00EE75C8">
            <w:pPr>
              <w:spacing w:after="0" w:line="259" w:lineRule="auto"/>
              <w:ind w:left="454" w:firstLine="0"/>
              <w:jc w:val="left"/>
            </w:pPr>
            <w:r>
              <w:rPr>
                <w:rFonts w:ascii="Calibri" w:eastAsia="Calibri" w:hAnsi="Calibri" w:cs="Calibri"/>
                <w:sz w:val="19"/>
              </w:rPr>
              <w:t>801,84 €</w:t>
            </w:r>
          </w:p>
        </w:tc>
        <w:tc>
          <w:tcPr>
            <w:tcW w:w="757" w:type="dxa"/>
            <w:tcBorders>
              <w:top w:val="nil"/>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sz w:val="19"/>
              </w:rPr>
              <w:t xml:space="preserve">    0,00 </w:t>
            </w:r>
          </w:p>
        </w:tc>
        <w:tc>
          <w:tcPr>
            <w:tcW w:w="492" w:type="dxa"/>
            <w:gridSpan w:val="2"/>
            <w:tcBorders>
              <w:top w:val="nil"/>
              <w:left w:val="nil"/>
              <w:bottom w:val="single" w:sz="10" w:space="0" w:color="000000"/>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0%</w:t>
            </w:r>
          </w:p>
        </w:tc>
      </w:tr>
      <w:tr w:rsidR="007617AD">
        <w:trPr>
          <w:gridAfter w:val="1"/>
          <w:wAfter w:w="7" w:type="dxa"/>
          <w:trHeight w:val="264"/>
        </w:trPr>
        <w:tc>
          <w:tcPr>
            <w:tcW w:w="2667"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2989" w:type="dxa"/>
            <w:gridSpan w:val="2"/>
            <w:tcBorders>
              <w:top w:val="single" w:sz="10" w:space="0" w:color="000000"/>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b/>
                <w:sz w:val="19"/>
              </w:rPr>
              <w:t>Subtotal costes fijos</w:t>
            </w:r>
          </w:p>
        </w:tc>
        <w:tc>
          <w:tcPr>
            <w:tcW w:w="1198" w:type="dxa"/>
            <w:gridSpan w:val="2"/>
            <w:tcBorders>
              <w:top w:val="single" w:sz="10" w:space="0" w:color="000000"/>
              <w:left w:val="nil"/>
              <w:bottom w:val="single" w:sz="10" w:space="0" w:color="000000"/>
              <w:right w:val="nil"/>
            </w:tcBorders>
          </w:tcPr>
          <w:p w:rsidR="007617AD" w:rsidRDefault="00EE75C8">
            <w:pPr>
              <w:spacing w:after="0" w:line="259" w:lineRule="auto"/>
              <w:ind w:left="139" w:firstLine="0"/>
              <w:jc w:val="left"/>
            </w:pPr>
            <w:r>
              <w:rPr>
                <w:rFonts w:ascii="Calibri" w:eastAsia="Calibri" w:hAnsi="Calibri" w:cs="Calibri"/>
                <w:b/>
                <w:sz w:val="19"/>
              </w:rPr>
              <w:t>756.414,17 €</w:t>
            </w:r>
          </w:p>
        </w:tc>
        <w:tc>
          <w:tcPr>
            <w:tcW w:w="757"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0,30 </w:t>
            </w:r>
          </w:p>
        </w:tc>
        <w:tc>
          <w:tcPr>
            <w:tcW w:w="492" w:type="dxa"/>
            <w:gridSpan w:val="2"/>
            <w:tcBorders>
              <w:top w:val="single" w:sz="10" w:space="0" w:color="000000"/>
              <w:left w:val="nil"/>
              <w:bottom w:val="single" w:sz="10" w:space="0" w:color="000000"/>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43%</w:t>
            </w:r>
          </w:p>
        </w:tc>
      </w:tr>
      <w:tr w:rsidR="007617AD">
        <w:trPr>
          <w:gridAfter w:val="1"/>
          <w:wAfter w:w="7" w:type="dxa"/>
          <w:trHeight w:val="282"/>
        </w:trPr>
        <w:tc>
          <w:tcPr>
            <w:tcW w:w="5656" w:type="dxa"/>
            <w:gridSpan w:val="3"/>
            <w:tcBorders>
              <w:top w:val="single" w:sz="10" w:space="0" w:color="000000"/>
              <w:left w:val="single" w:sz="5" w:space="0" w:color="000000"/>
              <w:bottom w:val="nil"/>
              <w:right w:val="nil"/>
            </w:tcBorders>
          </w:tcPr>
          <w:p w:rsidR="007617AD" w:rsidRDefault="00EE75C8">
            <w:pPr>
              <w:tabs>
                <w:tab w:val="center" w:pos="3800"/>
              </w:tabs>
              <w:spacing w:after="0" w:line="259" w:lineRule="auto"/>
              <w:ind w:left="0" w:firstLine="0"/>
              <w:jc w:val="left"/>
            </w:pPr>
            <w:r>
              <w:rPr>
                <w:rFonts w:ascii="Calibri" w:eastAsia="Calibri" w:hAnsi="Calibri" w:cs="Calibri"/>
                <w:sz w:val="19"/>
              </w:rPr>
              <w:t>Contrato de servicios</w:t>
            </w:r>
            <w:r>
              <w:rPr>
                <w:rFonts w:ascii="Calibri" w:eastAsia="Calibri" w:hAnsi="Calibri" w:cs="Calibri"/>
                <w:sz w:val="19"/>
              </w:rPr>
              <w:tab/>
              <w:t>Operación y mantenimiento</w:t>
            </w:r>
          </w:p>
        </w:tc>
        <w:tc>
          <w:tcPr>
            <w:tcW w:w="1198" w:type="dxa"/>
            <w:gridSpan w:val="2"/>
            <w:tcBorders>
              <w:top w:val="single" w:sz="10" w:space="0" w:color="000000"/>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232.853,09 €</w:t>
            </w:r>
          </w:p>
        </w:tc>
        <w:tc>
          <w:tcPr>
            <w:tcW w:w="757"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0,09 </w:t>
            </w:r>
          </w:p>
        </w:tc>
        <w:tc>
          <w:tcPr>
            <w:tcW w:w="492" w:type="dxa"/>
            <w:gridSpan w:val="2"/>
            <w:tcBorders>
              <w:top w:val="single" w:sz="10" w:space="0" w:color="000000"/>
              <w:left w:val="nil"/>
              <w:bottom w:val="nil"/>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13%</w:t>
            </w:r>
          </w:p>
        </w:tc>
      </w:tr>
      <w:tr w:rsidR="007617AD">
        <w:trPr>
          <w:gridAfter w:val="1"/>
          <w:wAfter w:w="7" w:type="dxa"/>
          <w:trHeight w:val="252"/>
        </w:trPr>
        <w:tc>
          <w:tcPr>
            <w:tcW w:w="5656" w:type="dxa"/>
            <w:gridSpan w:val="3"/>
            <w:tcBorders>
              <w:top w:val="nil"/>
              <w:left w:val="single" w:sz="5" w:space="0" w:color="000000"/>
              <w:bottom w:val="nil"/>
              <w:right w:val="nil"/>
            </w:tcBorders>
          </w:tcPr>
          <w:p w:rsidR="007617AD" w:rsidRDefault="00EE75C8">
            <w:pPr>
              <w:tabs>
                <w:tab w:val="center" w:pos="3878"/>
              </w:tabs>
              <w:spacing w:after="0" w:line="259" w:lineRule="auto"/>
              <w:ind w:left="0" w:firstLine="0"/>
              <w:jc w:val="left"/>
            </w:pPr>
            <w:r>
              <w:rPr>
                <w:rFonts w:ascii="Calibri" w:eastAsia="Calibri" w:hAnsi="Calibri" w:cs="Calibri"/>
                <w:sz w:val="19"/>
              </w:rPr>
              <w:t>Contrato de suministro</w:t>
            </w:r>
            <w:r>
              <w:rPr>
                <w:rFonts w:ascii="Calibri" w:eastAsia="Calibri" w:hAnsi="Calibri" w:cs="Calibri"/>
                <w:sz w:val="19"/>
              </w:rPr>
              <w:tab/>
              <w:t>Electricidad (Costes Variables)</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644.780,90 €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0 ,25 </w:t>
            </w:r>
          </w:p>
        </w:tc>
        <w:tc>
          <w:tcPr>
            <w:tcW w:w="492" w:type="dxa"/>
            <w:gridSpan w:val="2"/>
            <w:tcBorders>
              <w:top w:val="nil"/>
              <w:left w:val="nil"/>
              <w:bottom w:val="nil"/>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36%</w:t>
            </w:r>
          </w:p>
        </w:tc>
      </w:tr>
      <w:tr w:rsidR="007617AD">
        <w:trPr>
          <w:gridAfter w:val="1"/>
          <w:wAfter w:w="7" w:type="dxa"/>
          <w:trHeight w:val="252"/>
        </w:trPr>
        <w:tc>
          <w:tcPr>
            <w:tcW w:w="5656" w:type="dxa"/>
            <w:gridSpan w:val="3"/>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Tasas Cabildo Insular de Tenerife Tasas servicio P.I.R.S. Arico</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138.074,76 €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0 ,05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8%</w:t>
            </w:r>
          </w:p>
        </w:tc>
      </w:tr>
      <w:tr w:rsidR="007617AD">
        <w:trPr>
          <w:gridAfter w:val="1"/>
          <w:wAfter w:w="7" w:type="dxa"/>
          <w:trHeight w:val="234"/>
        </w:trPr>
        <w:tc>
          <w:tcPr>
            <w:tcW w:w="5656" w:type="dxa"/>
            <w:gridSpan w:val="3"/>
            <w:tcBorders>
              <w:top w:val="nil"/>
              <w:left w:val="single" w:sz="5" w:space="0" w:color="000000"/>
              <w:bottom w:val="single" w:sz="10" w:space="0" w:color="000000"/>
              <w:right w:val="nil"/>
            </w:tcBorders>
          </w:tcPr>
          <w:p w:rsidR="007617AD" w:rsidRDefault="00EE75C8">
            <w:pPr>
              <w:tabs>
                <w:tab w:val="center" w:pos="3220"/>
              </w:tabs>
              <w:spacing w:after="0" w:line="259" w:lineRule="auto"/>
              <w:ind w:left="0" w:firstLine="0"/>
              <w:jc w:val="left"/>
            </w:pPr>
            <w:r>
              <w:rPr>
                <w:rFonts w:ascii="Calibri" w:eastAsia="Calibri" w:hAnsi="Calibri" w:cs="Calibri"/>
                <w:sz w:val="19"/>
              </w:rPr>
              <w:t>Tasas municipales</w:t>
            </w:r>
            <w:r>
              <w:rPr>
                <w:rFonts w:ascii="Calibri" w:eastAsia="Calibri" w:hAnsi="Calibri" w:cs="Calibri"/>
                <w:sz w:val="19"/>
              </w:rPr>
              <w:tab/>
              <w:t>Agua servicio</w:t>
            </w:r>
          </w:p>
        </w:tc>
        <w:tc>
          <w:tcPr>
            <w:tcW w:w="1198" w:type="dxa"/>
            <w:gridSpan w:val="2"/>
            <w:tcBorders>
              <w:top w:val="nil"/>
              <w:left w:val="nil"/>
              <w:bottom w:val="single" w:sz="10" w:space="0" w:color="000000"/>
              <w:right w:val="nil"/>
            </w:tcBorders>
          </w:tcPr>
          <w:p w:rsidR="007617AD" w:rsidRDefault="00EE75C8">
            <w:pPr>
              <w:spacing w:after="0" w:line="259" w:lineRule="auto"/>
              <w:ind w:left="0" w:firstLine="0"/>
              <w:jc w:val="right"/>
            </w:pPr>
            <w:r>
              <w:rPr>
                <w:rFonts w:ascii="Calibri" w:eastAsia="Calibri" w:hAnsi="Calibri" w:cs="Calibri"/>
                <w:sz w:val="19"/>
              </w:rPr>
              <w:t>0,00 €</w:t>
            </w:r>
          </w:p>
        </w:tc>
        <w:tc>
          <w:tcPr>
            <w:tcW w:w="757" w:type="dxa"/>
            <w:tcBorders>
              <w:top w:val="nil"/>
              <w:left w:val="nil"/>
              <w:bottom w:val="single" w:sz="10" w:space="0" w:color="000000"/>
              <w:right w:val="nil"/>
            </w:tcBorders>
          </w:tcPr>
          <w:p w:rsidR="007617AD" w:rsidRDefault="00EE75C8">
            <w:pPr>
              <w:tabs>
                <w:tab w:val="center" w:pos="428"/>
              </w:tabs>
              <w:spacing w:after="0" w:line="259" w:lineRule="auto"/>
              <w:ind w:left="0" w:firstLine="0"/>
              <w:jc w:val="left"/>
            </w:pPr>
            <w:r>
              <w:rPr>
                <w:rFonts w:ascii="Calibri" w:eastAsia="Calibri" w:hAnsi="Calibri" w:cs="Calibri"/>
                <w:sz w:val="19"/>
              </w:rPr>
              <w:t xml:space="preserve">      -</w:t>
            </w:r>
            <w:r>
              <w:rPr>
                <w:rFonts w:ascii="Calibri" w:eastAsia="Calibri" w:hAnsi="Calibri" w:cs="Calibri"/>
                <w:sz w:val="19"/>
              </w:rPr>
              <w:tab/>
              <w:t xml:space="preserve"> </w:t>
            </w:r>
          </w:p>
        </w:tc>
        <w:tc>
          <w:tcPr>
            <w:tcW w:w="492" w:type="dxa"/>
            <w:gridSpan w:val="2"/>
            <w:tcBorders>
              <w:top w:val="nil"/>
              <w:left w:val="nil"/>
              <w:bottom w:val="single" w:sz="10" w:space="0" w:color="000000"/>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0%</w:t>
            </w:r>
          </w:p>
        </w:tc>
      </w:tr>
      <w:tr w:rsidR="007617AD">
        <w:trPr>
          <w:gridAfter w:val="1"/>
          <w:wAfter w:w="7" w:type="dxa"/>
          <w:trHeight w:val="265"/>
        </w:trPr>
        <w:tc>
          <w:tcPr>
            <w:tcW w:w="2667"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2989" w:type="dxa"/>
            <w:gridSpan w:val="2"/>
            <w:tcBorders>
              <w:top w:val="single" w:sz="10" w:space="0" w:color="000000"/>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b/>
                <w:sz w:val="19"/>
              </w:rPr>
              <w:t>Subtotal costes variables</w:t>
            </w:r>
          </w:p>
        </w:tc>
        <w:tc>
          <w:tcPr>
            <w:tcW w:w="1198" w:type="dxa"/>
            <w:gridSpan w:val="2"/>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1.015.708,75 €</w:t>
            </w:r>
          </w:p>
        </w:tc>
        <w:tc>
          <w:tcPr>
            <w:tcW w:w="757"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0 ,40 </w:t>
            </w:r>
          </w:p>
        </w:tc>
        <w:tc>
          <w:tcPr>
            <w:tcW w:w="492" w:type="dxa"/>
            <w:gridSpan w:val="2"/>
            <w:tcBorders>
              <w:top w:val="single" w:sz="10" w:space="0" w:color="000000"/>
              <w:left w:val="nil"/>
              <w:bottom w:val="single" w:sz="10" w:space="0" w:color="000000"/>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57%</w:t>
            </w:r>
          </w:p>
        </w:tc>
      </w:tr>
      <w:tr w:rsidR="007617AD">
        <w:tblPrEx>
          <w:tblCellMar>
            <w:top w:w="60" w:type="dxa"/>
            <w:right w:w="92" w:type="dxa"/>
          </w:tblCellMar>
        </w:tblPrEx>
        <w:trPr>
          <w:gridBefore w:val="2"/>
          <w:wBefore w:w="2674" w:type="dxa"/>
          <w:trHeight w:val="264"/>
        </w:trPr>
        <w:tc>
          <w:tcPr>
            <w:tcW w:w="2989" w:type="dxa"/>
            <w:gridSpan w:val="2"/>
            <w:tcBorders>
              <w:top w:val="single" w:sz="10" w:space="0" w:color="000000"/>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b/>
                <w:sz w:val="19"/>
              </w:rPr>
              <w:t>COSTES TOTALES</w:t>
            </w:r>
          </w:p>
        </w:tc>
        <w:tc>
          <w:tcPr>
            <w:tcW w:w="1955" w:type="dxa"/>
            <w:gridSpan w:val="3"/>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1.772.122,92 €    0,69 </w:t>
            </w:r>
          </w:p>
        </w:tc>
        <w:tc>
          <w:tcPr>
            <w:tcW w:w="492" w:type="dxa"/>
            <w:gridSpan w:val="2"/>
            <w:tcBorders>
              <w:top w:val="single" w:sz="10" w:space="0" w:color="000000"/>
              <w:left w:val="nil"/>
              <w:bottom w:val="single" w:sz="10" w:space="0" w:color="000000"/>
              <w:right w:val="single" w:sz="10" w:space="0" w:color="000000"/>
            </w:tcBorders>
          </w:tcPr>
          <w:p w:rsidR="007617AD" w:rsidRDefault="00EE75C8">
            <w:pPr>
              <w:spacing w:after="0" w:line="259" w:lineRule="auto"/>
              <w:ind w:left="0" w:firstLine="0"/>
            </w:pPr>
            <w:r>
              <w:rPr>
                <w:rFonts w:ascii="Calibri" w:eastAsia="Calibri" w:hAnsi="Calibri" w:cs="Calibri"/>
                <w:sz w:val="19"/>
              </w:rPr>
              <w:t>100%</w:t>
            </w:r>
          </w:p>
        </w:tc>
      </w:tr>
    </w:tbl>
    <w:p w:rsidR="007617AD" w:rsidRDefault="00EE75C8">
      <w:pPr>
        <w:numPr>
          <w:ilvl w:val="0"/>
          <w:numId w:val="67"/>
        </w:numPr>
        <w:spacing w:after="41" w:line="259" w:lineRule="auto"/>
        <w:ind w:right="366" w:firstLine="570"/>
        <w:jc w:val="left"/>
      </w:pPr>
      <w:r>
        <w:rPr>
          <w:rFonts w:ascii="Calibri" w:eastAsia="Calibri" w:hAnsi="Calibri" w:cs="Calibri"/>
          <w:sz w:val="15"/>
        </w:rPr>
        <w:t>5% sobre gastos fijos y variables a excepción de las Inversiones</w:t>
      </w:r>
    </w:p>
    <w:p w:rsidR="007617AD" w:rsidRDefault="00EE75C8">
      <w:pPr>
        <w:numPr>
          <w:ilvl w:val="0"/>
          <w:numId w:val="67"/>
        </w:numPr>
        <w:spacing w:after="153" w:line="259" w:lineRule="auto"/>
        <w:ind w:right="366" w:firstLine="570"/>
        <w:jc w:val="left"/>
      </w:pPr>
      <w:r>
        <w:rPr>
          <w:rFonts w:ascii="Calibri" w:eastAsia="Calibri" w:hAnsi="Calibri" w:cs="Calibri"/>
          <w:sz w:val="15"/>
        </w:rPr>
        <w:t>10% sobre gastos fijos y variables a excepción de los gastos de gestión y control</w:t>
      </w:r>
    </w:p>
    <w:p w:rsidR="007617AD" w:rsidRDefault="00EE75C8">
      <w:pPr>
        <w:numPr>
          <w:ilvl w:val="0"/>
          <w:numId w:val="67"/>
        </w:numPr>
        <w:spacing w:after="0" w:line="494" w:lineRule="auto"/>
        <w:ind w:right="366" w:firstLine="570"/>
        <w:jc w:val="left"/>
      </w:pPr>
      <w:r>
        <w:rPr>
          <w:rFonts w:ascii="Calibri" w:eastAsia="Calibri" w:hAnsi="Calibri" w:cs="Calibri"/>
          <w:sz w:val="15"/>
        </w:rPr>
        <w:t>Realización de los Programas de Vigilancia y Control ambiental.</w:t>
      </w:r>
      <w:r>
        <w:rPr>
          <w:rFonts w:ascii="Times New Roman" w:eastAsia="Times New Roman" w:hAnsi="Times New Roman" w:cs="Times New Roman"/>
          <w:sz w:val="24"/>
        </w:rPr>
        <w:t xml:space="preserve"> </w:t>
      </w:r>
      <w:r>
        <w:t xml:space="preserve">6. </w:t>
      </w:r>
      <w:r>
        <w:rPr>
          <w:u w:val="single" w:color="000000"/>
        </w:rPr>
        <w:t>Servicio de depuración de aguas residuales industriales</w:t>
      </w:r>
      <w:r>
        <w:t xml:space="preserve">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p w:rsidR="007617AD" w:rsidRDefault="00EE75C8">
      <w:pPr>
        <w:pStyle w:val="Ttulo2"/>
        <w:ind w:left="3120"/>
      </w:pPr>
      <w:r>
        <w:t>Servicio DEPURACIÓN Aguas Residuales Industriales</w:t>
      </w:r>
    </w:p>
    <w:p w:rsidR="007617AD" w:rsidRDefault="00EE75C8">
      <w:pPr>
        <w:pStyle w:val="Ttulo3"/>
        <w:tabs>
          <w:tab w:val="center" w:pos="2645"/>
          <w:tab w:val="center" w:pos="5275"/>
          <w:tab w:val="center" w:pos="7898"/>
          <w:tab w:val="center" w:pos="8915"/>
          <w:tab w:val="center" w:pos="9598"/>
        </w:tabs>
        <w:ind w:left="0" w:firstLine="0"/>
      </w:pPr>
      <w:r>
        <w:rPr>
          <w:b w:val="0"/>
          <w:sz w:val="22"/>
        </w:rPr>
        <w:tab/>
      </w:r>
      <w:r>
        <w:t>NATURALEZA DEL COSTE</w:t>
      </w:r>
      <w:r>
        <w:tab/>
        <w:t>CONCEPTO DEL COSTE</w:t>
      </w:r>
      <w:r>
        <w:tab/>
        <w:t>€/año</w:t>
      </w:r>
      <w:r>
        <w:tab/>
        <w:t>€/m3</w:t>
      </w:r>
      <w:r>
        <w:tab/>
        <w:t>%</w:t>
      </w:r>
    </w:p>
    <w:tbl>
      <w:tblPr>
        <w:tblStyle w:val="TableGrid"/>
        <w:tblW w:w="8249" w:type="dxa"/>
        <w:tblInd w:w="1650" w:type="dxa"/>
        <w:tblCellMar>
          <w:top w:w="30" w:type="dxa"/>
          <w:left w:w="0" w:type="dxa"/>
          <w:bottom w:w="0" w:type="dxa"/>
          <w:right w:w="115" w:type="dxa"/>
        </w:tblCellMar>
        <w:tblLook w:val="04A0" w:firstRow="1" w:lastRow="0" w:firstColumn="1" w:lastColumn="0" w:noHBand="0" w:noVBand="1"/>
      </w:tblPr>
      <w:tblGrid>
        <w:gridCol w:w="2720"/>
        <w:gridCol w:w="3182"/>
        <w:gridCol w:w="1078"/>
        <w:gridCol w:w="769"/>
        <w:gridCol w:w="500"/>
      </w:tblGrid>
      <w:tr w:rsidR="007617AD">
        <w:trPr>
          <w:trHeight w:val="287"/>
        </w:trPr>
        <w:tc>
          <w:tcPr>
            <w:tcW w:w="2720" w:type="dxa"/>
            <w:tcBorders>
              <w:top w:val="single" w:sz="10" w:space="0" w:color="000000"/>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Propio CIATF</w:t>
            </w:r>
          </w:p>
        </w:tc>
        <w:tc>
          <w:tcPr>
            <w:tcW w:w="3182" w:type="dxa"/>
            <w:tcBorders>
              <w:top w:val="single" w:sz="10" w:space="0" w:color="000000"/>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Gestión y Control (1)</w:t>
            </w:r>
          </w:p>
        </w:tc>
        <w:tc>
          <w:tcPr>
            <w:tcW w:w="1078" w:type="dxa"/>
            <w:tcBorders>
              <w:top w:val="single" w:sz="10" w:space="0" w:color="000000"/>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32.801,29 €</w:t>
            </w:r>
          </w:p>
        </w:tc>
        <w:tc>
          <w:tcPr>
            <w:tcW w:w="769"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0,08 </w:t>
            </w:r>
          </w:p>
        </w:tc>
        <w:tc>
          <w:tcPr>
            <w:tcW w:w="500" w:type="dxa"/>
            <w:tcBorders>
              <w:top w:val="single" w:sz="10" w:space="0" w:color="000000"/>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4%</w:t>
            </w:r>
          </w:p>
        </w:tc>
      </w:tr>
      <w:tr w:rsidR="007617AD">
        <w:trPr>
          <w:trHeight w:val="256"/>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Contrato de servicios</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Operación y mantenimiento</w:t>
            </w:r>
          </w:p>
        </w:tc>
        <w:tc>
          <w:tcPr>
            <w:tcW w:w="1078"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274.950,33 €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0 ,66 </w:t>
            </w:r>
          </w:p>
        </w:tc>
        <w:tc>
          <w:tcPr>
            <w:tcW w:w="500" w:type="dxa"/>
            <w:tcBorders>
              <w:top w:val="nil"/>
              <w:left w:val="nil"/>
              <w:bottom w:val="nil"/>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36%</w:t>
            </w:r>
          </w:p>
        </w:tc>
      </w:tr>
      <w:tr w:rsidR="007617AD">
        <w:trPr>
          <w:trHeight w:val="256"/>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Contrato de suministro</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Electricidad (Costes Fijos)</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17.078,26 €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0,04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2%</w:t>
            </w:r>
          </w:p>
        </w:tc>
      </w:tr>
      <w:tr w:rsidR="007617AD">
        <w:trPr>
          <w:trHeight w:val="257"/>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Propio CIATF</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Inversiones (2)</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65.602,59 €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0,16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9%</w:t>
            </w:r>
          </w:p>
        </w:tc>
      </w:tr>
      <w:tr w:rsidR="007617AD">
        <w:trPr>
          <w:trHeight w:val="256"/>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Contrato de servicios</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Seguimiento medioambiental (3)</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52.108,25 €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0,13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7%</w:t>
            </w:r>
          </w:p>
        </w:tc>
      </w:tr>
      <w:tr w:rsidR="007617AD">
        <w:trPr>
          <w:trHeight w:val="238"/>
        </w:trPr>
        <w:tc>
          <w:tcPr>
            <w:tcW w:w="2720" w:type="dxa"/>
            <w:tcBorders>
              <w:top w:val="nil"/>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sz w:val="19"/>
              </w:rPr>
              <w:t>Contrato de suministro</w:t>
            </w:r>
          </w:p>
        </w:tc>
        <w:tc>
          <w:tcPr>
            <w:tcW w:w="3182" w:type="dxa"/>
            <w:tcBorders>
              <w:top w:val="nil"/>
              <w:left w:val="nil"/>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sz w:val="19"/>
              </w:rPr>
              <w:t>Comunicaciones</w:t>
            </w:r>
          </w:p>
        </w:tc>
        <w:tc>
          <w:tcPr>
            <w:tcW w:w="1078" w:type="dxa"/>
            <w:tcBorders>
              <w:top w:val="nil"/>
              <w:left w:val="nil"/>
              <w:bottom w:val="single" w:sz="10" w:space="0" w:color="000000"/>
              <w:right w:val="nil"/>
            </w:tcBorders>
          </w:tcPr>
          <w:p w:rsidR="007617AD" w:rsidRDefault="00EE75C8">
            <w:pPr>
              <w:spacing w:after="0" w:line="259" w:lineRule="auto"/>
              <w:ind w:left="321" w:firstLine="0"/>
              <w:jc w:val="left"/>
            </w:pPr>
            <w:r>
              <w:rPr>
                <w:rFonts w:ascii="Calibri" w:eastAsia="Calibri" w:hAnsi="Calibri" w:cs="Calibri"/>
                <w:sz w:val="19"/>
              </w:rPr>
              <w:t>801,84 €</w:t>
            </w:r>
          </w:p>
        </w:tc>
        <w:tc>
          <w:tcPr>
            <w:tcW w:w="769" w:type="dxa"/>
            <w:tcBorders>
              <w:top w:val="nil"/>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sz w:val="19"/>
              </w:rPr>
              <w:t xml:space="preserve">    0,00 </w:t>
            </w:r>
          </w:p>
        </w:tc>
        <w:tc>
          <w:tcPr>
            <w:tcW w:w="500" w:type="dxa"/>
            <w:tcBorders>
              <w:top w:val="nil"/>
              <w:left w:val="nil"/>
              <w:bottom w:val="single" w:sz="10" w:space="0" w:color="000000"/>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0%</w:t>
            </w:r>
          </w:p>
        </w:tc>
      </w:tr>
      <w:tr w:rsidR="007617AD">
        <w:trPr>
          <w:trHeight w:val="270"/>
        </w:trPr>
        <w:tc>
          <w:tcPr>
            <w:tcW w:w="2720"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3182" w:type="dxa"/>
            <w:tcBorders>
              <w:top w:val="single" w:sz="10" w:space="0" w:color="000000"/>
              <w:left w:val="single" w:sz="10" w:space="0" w:color="000000"/>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b/>
                <w:sz w:val="19"/>
              </w:rPr>
              <w:t>Subtotal costes fijos</w:t>
            </w:r>
          </w:p>
        </w:tc>
        <w:tc>
          <w:tcPr>
            <w:tcW w:w="1078"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443.342,56 €</w:t>
            </w:r>
          </w:p>
        </w:tc>
        <w:tc>
          <w:tcPr>
            <w:tcW w:w="769"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1,07 </w:t>
            </w:r>
          </w:p>
        </w:tc>
        <w:tc>
          <w:tcPr>
            <w:tcW w:w="500" w:type="dxa"/>
            <w:tcBorders>
              <w:top w:val="single" w:sz="10" w:space="0" w:color="000000"/>
              <w:left w:val="nil"/>
              <w:bottom w:val="single" w:sz="10" w:space="0" w:color="000000"/>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59%</w:t>
            </w:r>
          </w:p>
        </w:tc>
      </w:tr>
      <w:tr w:rsidR="007617AD">
        <w:trPr>
          <w:trHeight w:val="261"/>
        </w:trPr>
        <w:tc>
          <w:tcPr>
            <w:tcW w:w="5902" w:type="dxa"/>
            <w:gridSpan w:val="2"/>
            <w:tcBorders>
              <w:top w:val="single" w:sz="10" w:space="0" w:color="000000"/>
              <w:left w:val="single" w:sz="10" w:space="0" w:color="000000"/>
              <w:bottom w:val="nil"/>
              <w:right w:val="nil"/>
            </w:tcBorders>
          </w:tcPr>
          <w:p w:rsidR="007617AD" w:rsidRDefault="00EE75C8">
            <w:pPr>
              <w:tabs>
                <w:tab w:val="center" w:pos="3872"/>
              </w:tabs>
              <w:spacing w:after="0" w:line="259" w:lineRule="auto"/>
              <w:ind w:left="0" w:firstLine="0"/>
              <w:jc w:val="left"/>
            </w:pPr>
            <w:r>
              <w:rPr>
                <w:rFonts w:ascii="Calibri" w:eastAsia="Calibri" w:hAnsi="Calibri" w:cs="Calibri"/>
                <w:sz w:val="19"/>
              </w:rPr>
              <w:t>Contrato de servicios</w:t>
            </w:r>
            <w:r>
              <w:rPr>
                <w:rFonts w:ascii="Calibri" w:eastAsia="Calibri" w:hAnsi="Calibri" w:cs="Calibri"/>
                <w:sz w:val="19"/>
              </w:rPr>
              <w:tab/>
              <w:t>Operación y mantenimiento</w:t>
            </w:r>
          </w:p>
        </w:tc>
        <w:tc>
          <w:tcPr>
            <w:tcW w:w="1078" w:type="dxa"/>
            <w:tcBorders>
              <w:top w:val="single" w:sz="10" w:space="0" w:color="000000"/>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41.734,83 €</w:t>
            </w:r>
          </w:p>
        </w:tc>
        <w:tc>
          <w:tcPr>
            <w:tcW w:w="769"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0,10 </w:t>
            </w:r>
          </w:p>
        </w:tc>
        <w:tc>
          <w:tcPr>
            <w:tcW w:w="500" w:type="dxa"/>
            <w:tcBorders>
              <w:top w:val="single" w:sz="10" w:space="0" w:color="000000"/>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6%</w:t>
            </w:r>
          </w:p>
        </w:tc>
      </w:tr>
      <w:tr w:rsidR="007617AD">
        <w:trPr>
          <w:trHeight w:val="257"/>
        </w:trPr>
        <w:tc>
          <w:tcPr>
            <w:tcW w:w="5902" w:type="dxa"/>
            <w:gridSpan w:val="2"/>
            <w:tcBorders>
              <w:top w:val="nil"/>
              <w:left w:val="single" w:sz="10" w:space="0" w:color="000000"/>
              <w:bottom w:val="nil"/>
              <w:right w:val="nil"/>
            </w:tcBorders>
          </w:tcPr>
          <w:p w:rsidR="007617AD" w:rsidRDefault="00EE75C8">
            <w:pPr>
              <w:tabs>
                <w:tab w:val="center" w:pos="3952"/>
              </w:tabs>
              <w:spacing w:after="0" w:line="259" w:lineRule="auto"/>
              <w:ind w:left="0" w:firstLine="0"/>
              <w:jc w:val="left"/>
            </w:pPr>
            <w:r>
              <w:rPr>
                <w:rFonts w:ascii="Calibri" w:eastAsia="Calibri" w:hAnsi="Calibri" w:cs="Calibri"/>
                <w:sz w:val="19"/>
              </w:rPr>
              <w:t>Contrato de suministro</w:t>
            </w:r>
            <w:r>
              <w:rPr>
                <w:rFonts w:ascii="Calibri" w:eastAsia="Calibri" w:hAnsi="Calibri" w:cs="Calibri"/>
                <w:sz w:val="19"/>
              </w:rPr>
              <w:tab/>
              <w:t>Electricidad (Costes Variables)</w:t>
            </w:r>
          </w:p>
        </w:tc>
        <w:tc>
          <w:tcPr>
            <w:tcW w:w="1078"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225.136,31 €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0,54 </w:t>
            </w:r>
          </w:p>
        </w:tc>
        <w:tc>
          <w:tcPr>
            <w:tcW w:w="500" w:type="dxa"/>
            <w:tcBorders>
              <w:top w:val="nil"/>
              <w:left w:val="nil"/>
              <w:bottom w:val="nil"/>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30%</w:t>
            </w:r>
          </w:p>
        </w:tc>
      </w:tr>
      <w:tr w:rsidR="007617AD">
        <w:trPr>
          <w:trHeight w:val="256"/>
        </w:trPr>
        <w:tc>
          <w:tcPr>
            <w:tcW w:w="5902" w:type="dxa"/>
            <w:gridSpan w:val="2"/>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Tasas Cabildo Insular de Tenerife Tasas servicio P.I.R.S. Arico</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44.216,04 €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0,11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6%</w:t>
            </w:r>
          </w:p>
        </w:tc>
      </w:tr>
      <w:tr w:rsidR="007617AD">
        <w:trPr>
          <w:trHeight w:val="239"/>
        </w:trPr>
        <w:tc>
          <w:tcPr>
            <w:tcW w:w="5902" w:type="dxa"/>
            <w:gridSpan w:val="2"/>
            <w:tcBorders>
              <w:top w:val="nil"/>
              <w:left w:val="single" w:sz="10" w:space="0" w:color="000000"/>
              <w:bottom w:val="single" w:sz="10" w:space="0" w:color="000000"/>
              <w:right w:val="nil"/>
            </w:tcBorders>
          </w:tcPr>
          <w:p w:rsidR="007617AD" w:rsidRDefault="00EE75C8">
            <w:pPr>
              <w:tabs>
                <w:tab w:val="center" w:pos="3282"/>
              </w:tabs>
              <w:spacing w:after="0" w:line="259" w:lineRule="auto"/>
              <w:ind w:left="0" w:firstLine="0"/>
              <w:jc w:val="left"/>
            </w:pPr>
            <w:r>
              <w:rPr>
                <w:rFonts w:ascii="Calibri" w:eastAsia="Calibri" w:hAnsi="Calibri" w:cs="Calibri"/>
                <w:sz w:val="19"/>
              </w:rPr>
              <w:t>Tasas municipales</w:t>
            </w:r>
            <w:r>
              <w:rPr>
                <w:rFonts w:ascii="Calibri" w:eastAsia="Calibri" w:hAnsi="Calibri" w:cs="Calibri"/>
                <w:sz w:val="19"/>
              </w:rPr>
              <w:tab/>
              <w:t>Agua servicio</w:t>
            </w:r>
          </w:p>
        </w:tc>
        <w:tc>
          <w:tcPr>
            <w:tcW w:w="1078" w:type="dxa"/>
            <w:tcBorders>
              <w:top w:val="nil"/>
              <w:left w:val="nil"/>
              <w:bottom w:val="single" w:sz="10" w:space="0" w:color="000000"/>
              <w:right w:val="nil"/>
            </w:tcBorders>
          </w:tcPr>
          <w:p w:rsidR="007617AD" w:rsidRDefault="00EE75C8">
            <w:pPr>
              <w:spacing w:after="0" w:line="259" w:lineRule="auto"/>
              <w:ind w:left="500" w:firstLine="0"/>
              <w:jc w:val="left"/>
            </w:pPr>
            <w:r>
              <w:rPr>
                <w:rFonts w:ascii="Calibri" w:eastAsia="Calibri" w:hAnsi="Calibri" w:cs="Calibri"/>
                <w:sz w:val="19"/>
              </w:rPr>
              <w:t>0,00 €</w:t>
            </w:r>
          </w:p>
        </w:tc>
        <w:tc>
          <w:tcPr>
            <w:tcW w:w="769" w:type="dxa"/>
            <w:tcBorders>
              <w:top w:val="nil"/>
              <w:left w:val="nil"/>
              <w:bottom w:val="single" w:sz="10" w:space="0" w:color="000000"/>
              <w:right w:val="nil"/>
            </w:tcBorders>
          </w:tcPr>
          <w:p w:rsidR="007617AD" w:rsidRDefault="00EE75C8">
            <w:pPr>
              <w:tabs>
                <w:tab w:val="center" w:pos="436"/>
              </w:tabs>
              <w:spacing w:after="0" w:line="259" w:lineRule="auto"/>
              <w:ind w:left="0" w:firstLine="0"/>
              <w:jc w:val="left"/>
            </w:pPr>
            <w:r>
              <w:rPr>
                <w:rFonts w:ascii="Calibri" w:eastAsia="Calibri" w:hAnsi="Calibri" w:cs="Calibri"/>
                <w:sz w:val="19"/>
              </w:rPr>
              <w:t xml:space="preserve">      -</w:t>
            </w:r>
            <w:r>
              <w:rPr>
                <w:rFonts w:ascii="Calibri" w:eastAsia="Calibri" w:hAnsi="Calibri" w:cs="Calibri"/>
                <w:sz w:val="19"/>
              </w:rPr>
              <w:tab/>
              <w:t xml:space="preserve"> </w:t>
            </w:r>
          </w:p>
        </w:tc>
        <w:tc>
          <w:tcPr>
            <w:tcW w:w="500" w:type="dxa"/>
            <w:tcBorders>
              <w:top w:val="nil"/>
              <w:left w:val="nil"/>
              <w:bottom w:val="single" w:sz="10" w:space="0" w:color="000000"/>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0%</w:t>
            </w:r>
          </w:p>
        </w:tc>
      </w:tr>
      <w:tr w:rsidR="007617AD">
        <w:trPr>
          <w:trHeight w:val="269"/>
        </w:trPr>
        <w:tc>
          <w:tcPr>
            <w:tcW w:w="2720"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3182" w:type="dxa"/>
            <w:tcBorders>
              <w:top w:val="single" w:sz="10" w:space="0" w:color="000000"/>
              <w:left w:val="single" w:sz="10" w:space="0" w:color="000000"/>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b/>
                <w:sz w:val="19"/>
              </w:rPr>
              <w:t>Subtotal costes variables</w:t>
            </w:r>
          </w:p>
        </w:tc>
        <w:tc>
          <w:tcPr>
            <w:tcW w:w="1078"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311.087,18 €</w:t>
            </w:r>
          </w:p>
        </w:tc>
        <w:tc>
          <w:tcPr>
            <w:tcW w:w="769"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0,75 </w:t>
            </w:r>
          </w:p>
        </w:tc>
        <w:tc>
          <w:tcPr>
            <w:tcW w:w="500" w:type="dxa"/>
            <w:tcBorders>
              <w:top w:val="single" w:sz="10" w:space="0" w:color="000000"/>
              <w:left w:val="nil"/>
              <w:bottom w:val="single" w:sz="10" w:space="0" w:color="000000"/>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41%</w:t>
            </w:r>
          </w:p>
        </w:tc>
      </w:tr>
      <w:tr w:rsidR="007617AD">
        <w:tblPrEx>
          <w:tblCellMar>
            <w:top w:w="61" w:type="dxa"/>
            <w:right w:w="94" w:type="dxa"/>
          </w:tblCellMar>
        </w:tblPrEx>
        <w:trPr>
          <w:gridBefore w:val="1"/>
          <w:wBefore w:w="2720" w:type="dxa"/>
          <w:trHeight w:val="270"/>
        </w:trPr>
        <w:tc>
          <w:tcPr>
            <w:tcW w:w="3182" w:type="dxa"/>
            <w:tcBorders>
              <w:top w:val="single" w:sz="10" w:space="0" w:color="000000"/>
              <w:left w:val="single" w:sz="10" w:space="0" w:color="000000"/>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b/>
                <w:sz w:val="19"/>
              </w:rPr>
              <w:t>COSTES TOTALES</w:t>
            </w:r>
          </w:p>
        </w:tc>
        <w:tc>
          <w:tcPr>
            <w:tcW w:w="1847" w:type="dxa"/>
            <w:gridSpan w:val="2"/>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754.429,74 €    1,81 </w:t>
            </w:r>
          </w:p>
        </w:tc>
        <w:tc>
          <w:tcPr>
            <w:tcW w:w="500" w:type="dxa"/>
            <w:tcBorders>
              <w:top w:val="single" w:sz="10" w:space="0" w:color="000000"/>
              <w:left w:val="nil"/>
              <w:bottom w:val="single" w:sz="10" w:space="0" w:color="000000"/>
              <w:right w:val="single" w:sz="10" w:space="0" w:color="000000"/>
            </w:tcBorders>
          </w:tcPr>
          <w:p w:rsidR="007617AD" w:rsidRDefault="00EE75C8">
            <w:pPr>
              <w:spacing w:after="0" w:line="259" w:lineRule="auto"/>
              <w:ind w:left="0" w:firstLine="0"/>
            </w:pPr>
            <w:r>
              <w:rPr>
                <w:rFonts w:ascii="Calibri" w:eastAsia="Calibri" w:hAnsi="Calibri" w:cs="Calibri"/>
                <w:sz w:val="19"/>
              </w:rPr>
              <w:t>100%</w:t>
            </w:r>
          </w:p>
        </w:tc>
      </w:tr>
    </w:tbl>
    <w:p w:rsidR="007617AD" w:rsidRDefault="00EE75C8">
      <w:pPr>
        <w:numPr>
          <w:ilvl w:val="0"/>
          <w:numId w:val="68"/>
        </w:numPr>
        <w:spacing w:after="41" w:line="259" w:lineRule="auto"/>
        <w:ind w:right="366" w:hanging="217"/>
        <w:jc w:val="left"/>
      </w:pPr>
      <w:r>
        <w:rPr>
          <w:rFonts w:ascii="Calibri" w:eastAsia="Calibri" w:hAnsi="Calibri" w:cs="Calibri"/>
          <w:sz w:val="15"/>
        </w:rPr>
        <w:t>5% sobre gastos fijos y variables a excepción de las Inversiones</w:t>
      </w:r>
    </w:p>
    <w:p w:rsidR="007617AD" w:rsidRDefault="00EE75C8">
      <w:pPr>
        <w:numPr>
          <w:ilvl w:val="0"/>
          <w:numId w:val="68"/>
        </w:numPr>
        <w:spacing w:after="95" w:line="259" w:lineRule="auto"/>
        <w:ind w:right="366" w:hanging="217"/>
        <w:jc w:val="left"/>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301854" name="Group 30185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4394" name="Rectangle 2439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4395" name="Rectangle 24395"/>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plataforma esPublico Gestiona | Página 133 d</w:t>
                              </w:r>
                              <w:r>
                                <w:rPr>
                                  <w:sz w:val="12"/>
                                </w:rPr>
                                <w:t xml:space="preserve">e 192 </w:t>
                              </w:r>
                            </w:p>
                          </w:txbxContent>
                        </wps:txbx>
                        <wps:bodyPr horzOverflow="overflow" vert="horz" lIns="0" tIns="0" rIns="0" bIns="0" rtlCol="0">
                          <a:noAutofit/>
                        </wps:bodyPr>
                      </wps:wsp>
                    </wpg:wgp>
                  </a:graphicData>
                </a:graphic>
              </wp:anchor>
            </w:drawing>
          </mc:Choice>
          <mc:Fallback xmlns:a="http://schemas.openxmlformats.org/drawingml/2006/main">
            <w:pict>
              <v:group id="Group 301854" style="width:12.7031pt;height:280.02pt;position:absolute;mso-position-horizontal-relative:page;mso-position-horizontal:absolute;margin-left:682.278pt;mso-position-vertical-relative:page;margin-top:531.9pt;" coordsize="1613,35562">
                <v:rect id="Rectangle 2439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4395"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133 de 192 </w:t>
                        </w:r>
                      </w:p>
                    </w:txbxContent>
                  </v:textbox>
                </v:rect>
                <w10:wrap type="square"/>
              </v:group>
            </w:pict>
          </mc:Fallback>
        </mc:AlternateContent>
      </w:r>
      <w:r>
        <w:rPr>
          <w:rFonts w:ascii="Calibri" w:eastAsia="Calibri" w:hAnsi="Calibri" w:cs="Calibri"/>
          <w:sz w:val="15"/>
        </w:rPr>
        <w:t>10% sobre gastos fijos y variables a excepción de los gastos de gestión y control</w:t>
      </w:r>
    </w:p>
    <w:p w:rsidR="007617AD" w:rsidRDefault="00EE75C8">
      <w:pPr>
        <w:numPr>
          <w:ilvl w:val="0"/>
          <w:numId w:val="68"/>
        </w:numPr>
        <w:spacing w:after="168" w:line="259" w:lineRule="auto"/>
        <w:ind w:right="366" w:hanging="217"/>
        <w:jc w:val="left"/>
      </w:pPr>
      <w:r>
        <w:rPr>
          <w:rFonts w:ascii="Calibri" w:eastAsia="Calibri" w:hAnsi="Calibri" w:cs="Calibri"/>
          <w:sz w:val="15"/>
        </w:rPr>
        <w:t>Realización de los Programas de Vigilancia y Control ambiental.</w:t>
      </w:r>
      <w:r>
        <w:rPr>
          <w:rFonts w:ascii="Calibri" w:eastAsia="Calibri" w:hAnsi="Calibri" w:cs="Calibri"/>
          <w:sz w:val="15"/>
        </w:rPr>
        <w:tab/>
      </w:r>
      <w:r>
        <w:rPr>
          <w:rFonts w:ascii="Times New Roman" w:eastAsia="Times New Roman" w:hAnsi="Times New Roman" w:cs="Times New Roman"/>
          <w:sz w:val="24"/>
        </w:rPr>
        <w:t xml:space="preserve"> </w:t>
      </w:r>
    </w:p>
    <w:p w:rsidR="007617AD" w:rsidRDefault="00EE75C8">
      <w:pPr>
        <w:spacing w:after="0"/>
        <w:ind w:left="703" w:right="62"/>
      </w:pPr>
      <w:r>
        <w:t>Estos costes son estimativos y podrían verse alterados a la baja o al alza en función de varias variables como los costes de la energía eléctrica o los costes de operación y mantenimiento que resulten de los procesos de licitación de los diversos contratos</w:t>
      </w:r>
      <w:r>
        <w:t xml:space="preserve"> asociados o como pudiera ser los cambios normativos en materia de depuración y control de vertidos. </w:t>
      </w:r>
    </w:p>
    <w:p w:rsidR="007617AD" w:rsidRDefault="00EE75C8">
      <w:pPr>
        <w:spacing w:after="0" w:line="259" w:lineRule="auto"/>
        <w:ind w:left="699" w:firstLine="0"/>
        <w:jc w:val="center"/>
      </w:pPr>
      <w:r>
        <w:t xml:space="preserve"> </w:t>
      </w:r>
    </w:p>
    <w:p w:rsidR="007617AD" w:rsidRDefault="00EE75C8">
      <w:pPr>
        <w:spacing w:after="90"/>
        <w:ind w:left="703" w:right="58"/>
      </w:pPr>
      <w:r>
        <w:rPr>
          <w:b/>
        </w:rPr>
        <w:t xml:space="preserve">OCTAVO. - REPARTO DE COSTES FIJOS. </w:t>
      </w:r>
      <w:r>
        <w:rPr>
          <w:rFonts w:ascii="Times New Roman" w:eastAsia="Times New Roman" w:hAnsi="Times New Roman" w:cs="Times New Roman"/>
          <w:sz w:val="24"/>
        </w:rPr>
        <w:t xml:space="preserve"> </w:t>
      </w:r>
    </w:p>
    <w:p w:rsidR="007617AD" w:rsidRDefault="00EE75C8">
      <w:pPr>
        <w:ind w:left="703" w:right="62"/>
      </w:pPr>
      <w:r>
        <w:t xml:space="preserve">En virtud de lo establecido en el expositivo séptimo, el reparto de los costes fijos se realizará en función de la </w:t>
      </w:r>
      <w:r>
        <w:t xml:space="preserve">cuota de participación de cada Ayuntamiento en los costes fijos bajo la premisa de </w:t>
      </w:r>
      <w:r>
        <w:rPr>
          <w:u w:val="single" w:color="000000"/>
        </w:rPr>
        <w:t>proporcionalidad entre la cuota de tratamiento asignada por municipio y los costes fijos de cada</w:t>
      </w:r>
      <w:r>
        <w:t xml:space="preserve"> </w:t>
      </w:r>
      <w:r>
        <w:rPr>
          <w:u w:val="single" w:color="000000"/>
        </w:rPr>
        <w:t>una de las instalaciones.</w:t>
      </w:r>
      <w:r>
        <w:rPr>
          <w:rFonts w:ascii="Times New Roman" w:eastAsia="Times New Roman" w:hAnsi="Times New Roman" w:cs="Times New Roman"/>
          <w:sz w:val="24"/>
        </w:rPr>
        <w:t xml:space="preserve"> </w:t>
      </w:r>
    </w:p>
    <w:p w:rsidR="007617AD" w:rsidRDefault="00EE75C8">
      <w:pPr>
        <w:numPr>
          <w:ilvl w:val="0"/>
          <w:numId w:val="69"/>
        </w:numPr>
        <w:spacing w:after="111" w:line="249" w:lineRule="auto"/>
        <w:ind w:hanging="360"/>
        <w:jc w:val="left"/>
      </w:pPr>
      <w:r>
        <w:rPr>
          <w:u w:val="single" w:color="000000"/>
        </w:rPr>
        <w:t>Servicio de depuración de aguas residuales urbana</w:t>
      </w:r>
      <w:r>
        <w:rPr>
          <w:u w:val="single" w:color="000000"/>
        </w:rPr>
        <w:t>s</w:t>
      </w:r>
      <w:r>
        <w:t xml:space="preserve"> </w:t>
      </w:r>
    </w:p>
    <w:p w:rsidR="007617AD" w:rsidRDefault="00EE75C8">
      <w:pPr>
        <w:spacing w:after="27" w:line="259" w:lineRule="auto"/>
        <w:ind w:left="690" w:firstLine="0"/>
        <w:jc w:val="center"/>
      </w:pPr>
      <w:r>
        <w:rPr>
          <w:noProof/>
        </w:rPr>
        <w:drawing>
          <wp:inline distT="0" distB="0" distL="0" distR="0">
            <wp:extent cx="2281428" cy="1030224"/>
            <wp:effectExtent l="0" t="0" r="0" b="0"/>
            <wp:docPr id="24391" name="Picture 24391"/>
            <wp:cNvGraphicFramePr/>
            <a:graphic xmlns:a="http://schemas.openxmlformats.org/drawingml/2006/main">
              <a:graphicData uri="http://schemas.openxmlformats.org/drawingml/2006/picture">
                <pic:pic xmlns:pic="http://schemas.openxmlformats.org/drawingml/2006/picture">
                  <pic:nvPicPr>
                    <pic:cNvPr id="24391" name="Picture 24391"/>
                    <pic:cNvPicPr/>
                  </pic:nvPicPr>
                  <pic:blipFill>
                    <a:blip r:embed="rId14"/>
                    <a:stretch>
                      <a:fillRect/>
                    </a:stretch>
                  </pic:blipFill>
                  <pic:spPr>
                    <a:xfrm>
                      <a:off x="0" y="0"/>
                      <a:ext cx="2281428" cy="1030224"/>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numPr>
          <w:ilvl w:val="0"/>
          <w:numId w:val="69"/>
        </w:numPr>
        <w:spacing w:after="111" w:line="249" w:lineRule="auto"/>
        <w:ind w:hanging="360"/>
        <w:jc w:val="left"/>
      </w:pPr>
      <w:r>
        <w:rPr>
          <w:u w:val="single" w:color="000000"/>
        </w:rPr>
        <w:t>Servicio de depuración de aguas residuales industriales</w:t>
      </w:r>
      <w:r>
        <w:t xml:space="preserve"> </w:t>
      </w:r>
    </w:p>
    <w:p w:rsidR="007617AD" w:rsidRDefault="00EE75C8">
      <w:pPr>
        <w:spacing w:after="43" w:line="259" w:lineRule="auto"/>
        <w:ind w:left="693" w:firstLine="0"/>
        <w:jc w:val="center"/>
      </w:pPr>
      <w:r>
        <w:rPr>
          <w:noProof/>
        </w:rPr>
        <w:drawing>
          <wp:inline distT="0" distB="0" distL="0" distR="0">
            <wp:extent cx="2304288" cy="883920"/>
            <wp:effectExtent l="0" t="0" r="0" b="0"/>
            <wp:docPr id="24600" name="Picture 24600"/>
            <wp:cNvGraphicFramePr/>
            <a:graphic xmlns:a="http://schemas.openxmlformats.org/drawingml/2006/main">
              <a:graphicData uri="http://schemas.openxmlformats.org/drawingml/2006/picture">
                <pic:pic xmlns:pic="http://schemas.openxmlformats.org/drawingml/2006/picture">
                  <pic:nvPicPr>
                    <pic:cNvPr id="24600" name="Picture 24600"/>
                    <pic:cNvPicPr/>
                  </pic:nvPicPr>
                  <pic:blipFill>
                    <a:blip r:embed="rId15"/>
                    <a:stretch>
                      <a:fillRect/>
                    </a:stretch>
                  </pic:blipFill>
                  <pic:spPr>
                    <a:xfrm>
                      <a:off x="0" y="0"/>
                      <a:ext cx="2304288" cy="883920"/>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ind w:left="703" w:right="62"/>
      </w:pPr>
      <w:r>
        <w:t xml:space="preserve">A tal efecto, de conformidad con lo expuesto, las partes acuerdan suscribir el presente convenio sobre la base de las siguientes: </w:t>
      </w:r>
    </w:p>
    <w:p w:rsidR="007617AD" w:rsidRDefault="00EE75C8">
      <w:pPr>
        <w:spacing w:after="0" w:line="259" w:lineRule="auto"/>
        <w:ind w:left="708" w:firstLine="0"/>
        <w:jc w:val="left"/>
      </w:pPr>
      <w:r>
        <w:rPr>
          <w:b/>
        </w:rPr>
        <w:t xml:space="preserve"> </w:t>
      </w:r>
    </w:p>
    <w:p w:rsidR="007617AD" w:rsidRDefault="00EE75C8">
      <w:pPr>
        <w:spacing w:after="233" w:line="249" w:lineRule="auto"/>
        <w:ind w:left="5488" w:right="4113" w:hanging="677"/>
        <w:jc w:val="left"/>
      </w:pPr>
      <w:r>
        <w:rPr>
          <w:b/>
          <w:u w:val="single" w:color="000000"/>
        </w:rPr>
        <w:t>CLÁUSULAS</w:t>
      </w:r>
      <w:r>
        <w:rPr>
          <w:b/>
        </w:rPr>
        <w:t xml:space="preserve">  </w:t>
      </w:r>
    </w:p>
    <w:p w:rsidR="007617AD" w:rsidRDefault="00EE75C8">
      <w:pPr>
        <w:spacing w:after="231"/>
        <w:ind w:left="703" w:right="58"/>
      </w:pPr>
      <w:r>
        <w:rPr>
          <w:b/>
        </w:rPr>
        <w:t xml:space="preserve">PRIMERA. - OBJETO DEL CONVENIO. </w:t>
      </w:r>
    </w:p>
    <w:p w:rsidR="007617AD" w:rsidRDefault="00EE75C8">
      <w:pPr>
        <w:ind w:left="703" w:right="62"/>
      </w:pPr>
      <w:r>
        <w:t>Es objeto del presente Convenio establecer las bases de colaboración entre el Consejo Insular de Aguas de Tenerife (CIATF) y los Ayuntamientos de Candelaria, Arafo y Güímar, para la gestión conjunta por el CIATF de las infraestructuras de depuración y vert</w:t>
      </w:r>
      <w:r>
        <w:t xml:space="preserve">ido integradas en los Sistemas Territoriales de Saneamiento del Valle de Güímar y del Polígono Industrial del Valle de Güímar, que se identifican a continuación, con el fin de garantizar el servicio público de depuración y tratamiento de aguas residuales, </w:t>
      </w:r>
      <w:r>
        <w:t>de origen urbano e industrial, procedentes de los núcleos de población identificados en la presente cláusula, y cumplir con las obligaciones medioambientales y de calidad del agua residual, dimanantes de la Directiva 271/91, del RD Ley 11/95 que la traspon</w:t>
      </w:r>
      <w:r>
        <w:t xml:space="preserve">e a nuestro ordenamiento jurídico y del Real Decreto 509/1996 que lo desarrolla: </w:t>
      </w:r>
    </w:p>
    <w:p w:rsidR="007617AD" w:rsidRDefault="00EE75C8">
      <w:pPr>
        <w:numPr>
          <w:ilvl w:val="0"/>
          <w:numId w:val="70"/>
        </w:numPr>
        <w:spacing w:after="88"/>
        <w:ind w:right="62" w:hanging="360"/>
      </w:pPr>
      <w:r>
        <w:t xml:space="preserve">EDARU:  Estación Depuradora de Aguas Residuales Urbanas. </w:t>
      </w:r>
    </w:p>
    <w:p w:rsidR="007617AD" w:rsidRDefault="00EE75C8">
      <w:pPr>
        <w:numPr>
          <w:ilvl w:val="0"/>
          <w:numId w:val="70"/>
        </w:numPr>
        <w:spacing w:after="91"/>
        <w:ind w:right="62" w:hanging="360"/>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6357" name="Group 27635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4603" name="Rectangle 24603"/>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4604" name="Rectangle 24604"/>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w:t>
                              </w:r>
                              <w:r>
                                <w:rPr>
                                  <w:sz w:val="12"/>
                                </w:rPr>
                                <w:t xml:space="preserve">mado electrónicamente desde la plataforma esPublico Gestiona | Página 134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6357" style="width:12.7031pt;height:280.02pt;position:absolute;mso-position-horizontal-relative:page;mso-position-horizontal:absolute;margin-left:682.278pt;mso-position-vertical-relative:page;margin-top:531.9pt;" coordsize="1613,35562">
                <v:rect id="Rectangle 24603"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4604"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134 de 192 </w:t>
                        </w:r>
                      </w:p>
                    </w:txbxContent>
                  </v:textbox>
                </v:rect>
                <w10:wrap type="square"/>
              </v:group>
            </w:pict>
          </mc:Fallback>
        </mc:AlternateContent>
      </w:r>
      <w:r>
        <w:t xml:space="preserve">EDARI: Estación Depuradora de Aguas Residuales Industriales. </w:t>
      </w:r>
    </w:p>
    <w:p w:rsidR="007617AD" w:rsidRDefault="00EE75C8">
      <w:pPr>
        <w:numPr>
          <w:ilvl w:val="0"/>
          <w:numId w:val="70"/>
        </w:numPr>
        <w:ind w:right="62" w:hanging="360"/>
      </w:pPr>
      <w:r>
        <w:t xml:space="preserve">Emisario terrestre y emisario submarino del Valle de Güímar. </w:t>
      </w:r>
    </w:p>
    <w:p w:rsidR="007617AD" w:rsidRDefault="00EE75C8">
      <w:pPr>
        <w:numPr>
          <w:ilvl w:val="0"/>
          <w:numId w:val="70"/>
        </w:numPr>
        <w:ind w:right="62" w:hanging="360"/>
      </w:pPr>
      <w:r>
        <w:t>Estaciones de Bombeo, colectores y conducciones de</w:t>
      </w:r>
      <w:r>
        <w:t xml:space="preserve"> transporte de carácter supramunicipal que se determinen por la Comisión de Seguimiento durante la vigencia del convenio, cuya inclusión requerirá la modificación del convenio que deberá plasmarse en la correspondiente Adenda.</w:t>
      </w:r>
      <w:r>
        <w:rPr>
          <w:rFonts w:ascii="Times New Roman" w:eastAsia="Times New Roman" w:hAnsi="Times New Roman" w:cs="Times New Roman"/>
          <w:sz w:val="24"/>
        </w:rPr>
        <w:t xml:space="preserve"> </w:t>
      </w:r>
    </w:p>
    <w:p w:rsidR="007617AD" w:rsidRDefault="00EE75C8">
      <w:pPr>
        <w:ind w:left="703" w:right="62"/>
      </w:pPr>
      <w:r>
        <w:t>Sin perjuicio de lo anterior</w:t>
      </w:r>
      <w:r>
        <w:t>, previa conformidad de las partes, se podrá ampliar el objeto del presente convenio extendiéndolo a otras infraestructuras necesarias para la depuración y vertido de las aguas residuales generadas en el marco del presente Sistema Territorial, modificación</w:t>
      </w:r>
      <w:r>
        <w:t xml:space="preserve"> que deberá plasmarse en la correspondiente Adenda en la que se describirán las nuevas infraestructuras que se añadan. </w:t>
      </w:r>
    </w:p>
    <w:p w:rsidR="007617AD" w:rsidRDefault="00EE75C8">
      <w:pPr>
        <w:spacing w:after="204"/>
        <w:ind w:left="703" w:right="62"/>
      </w:pPr>
      <w:r>
        <w:t>A los efectos de lo señalado anteriormente, a continuación, se relacionan los núcleos de población incluidos en el ámbito del presente c</w:t>
      </w:r>
      <w:r>
        <w:t xml:space="preserve">onvenio (Anexo X del vigente PHDHT): </w:t>
      </w:r>
    </w:p>
    <w:p w:rsidR="007617AD" w:rsidRDefault="00EE75C8">
      <w:pPr>
        <w:numPr>
          <w:ilvl w:val="0"/>
          <w:numId w:val="72"/>
        </w:numPr>
        <w:spacing w:after="147"/>
        <w:ind w:right="62" w:hanging="360"/>
      </w:pPr>
      <w:r>
        <w:t xml:space="preserve">Arafo-Güímar </w:t>
      </w:r>
      <w:r>
        <w:tab/>
        <w:t xml:space="preserve">Norte-Polígono </w:t>
      </w:r>
      <w:r>
        <w:tab/>
        <w:t xml:space="preserve">Industrial </w:t>
      </w:r>
      <w:r>
        <w:tab/>
        <w:t xml:space="preserve">(Nº </w:t>
      </w:r>
      <w:r>
        <w:tab/>
        <w:t xml:space="preserve">identificativo </w:t>
      </w:r>
      <w:r>
        <w:tab/>
        <w:t xml:space="preserve">de </w:t>
      </w:r>
      <w:r>
        <w:tab/>
        <w:t xml:space="preserve">la </w:t>
      </w:r>
      <w:r>
        <w:tab/>
        <w:t>aglomeración ES5380040130834)</w:t>
      </w:r>
      <w:r>
        <w:rPr>
          <w:rFonts w:ascii="Times New Roman" w:eastAsia="Times New Roman" w:hAnsi="Times New Roman" w:cs="Times New Roman"/>
          <w:sz w:val="24"/>
        </w:rPr>
        <w:t xml:space="preserve"> </w:t>
      </w:r>
    </w:p>
    <w:p w:rsidR="007617AD" w:rsidRDefault="00EE75C8">
      <w:pPr>
        <w:numPr>
          <w:ilvl w:val="0"/>
          <w:numId w:val="72"/>
        </w:numPr>
        <w:ind w:right="62" w:hanging="360"/>
      </w:pPr>
      <w:r>
        <w:t>Güímar Sur-Puertito (Nº identificativo de la aglomeración ES5380200130835)</w:t>
      </w:r>
      <w:r>
        <w:rPr>
          <w:rFonts w:ascii="Times New Roman" w:eastAsia="Times New Roman" w:hAnsi="Times New Roman" w:cs="Times New Roman"/>
          <w:sz w:val="24"/>
        </w:rPr>
        <w:t xml:space="preserve"> </w:t>
      </w:r>
    </w:p>
    <w:p w:rsidR="007617AD" w:rsidRDefault="00EE75C8">
      <w:pPr>
        <w:numPr>
          <w:ilvl w:val="0"/>
          <w:numId w:val="72"/>
        </w:numPr>
        <w:ind w:right="62" w:hanging="360"/>
      </w:pPr>
      <w:r>
        <w:t xml:space="preserve">Candelaria - </w:t>
      </w:r>
      <w:r>
        <w:t>Caletillas (Nº identificativo de la aglomeración ES5380110130831)</w:t>
      </w:r>
      <w:r>
        <w:rPr>
          <w:rFonts w:ascii="Times New Roman" w:eastAsia="Times New Roman" w:hAnsi="Times New Roman" w:cs="Times New Roman"/>
          <w:sz w:val="24"/>
        </w:rPr>
        <w:t xml:space="preserve"> </w:t>
      </w:r>
    </w:p>
    <w:p w:rsidR="007617AD" w:rsidRDefault="00EE75C8">
      <w:pPr>
        <w:numPr>
          <w:ilvl w:val="0"/>
          <w:numId w:val="72"/>
        </w:numPr>
        <w:ind w:right="62" w:hanging="360"/>
      </w:pPr>
      <w:r>
        <w:t>Candelaria - Casco (Nº identificativo de la aglomeración ES5380110130832)</w:t>
      </w:r>
      <w:r>
        <w:rPr>
          <w:rFonts w:ascii="Times New Roman" w:eastAsia="Times New Roman" w:hAnsi="Times New Roman" w:cs="Times New Roman"/>
          <w:sz w:val="24"/>
        </w:rPr>
        <w:t xml:space="preserve"> </w:t>
      </w:r>
    </w:p>
    <w:p w:rsidR="007617AD" w:rsidRDefault="00EE75C8">
      <w:pPr>
        <w:numPr>
          <w:ilvl w:val="0"/>
          <w:numId w:val="72"/>
        </w:numPr>
        <w:ind w:right="62" w:hanging="360"/>
      </w:pPr>
      <w:r>
        <w:t>Candelaria - Punta Larga (Nº identificativo de la aglomeración ES5380110130833)</w:t>
      </w:r>
      <w:r>
        <w:rPr>
          <w:rFonts w:ascii="Times New Roman" w:eastAsia="Times New Roman" w:hAnsi="Times New Roman" w:cs="Times New Roman"/>
          <w:sz w:val="24"/>
        </w:rPr>
        <w:t xml:space="preserve"> </w:t>
      </w:r>
    </w:p>
    <w:p w:rsidR="007617AD" w:rsidRDefault="00EE75C8">
      <w:pPr>
        <w:numPr>
          <w:ilvl w:val="0"/>
          <w:numId w:val="72"/>
        </w:numPr>
        <w:spacing w:after="213"/>
        <w:ind w:right="62" w:hanging="360"/>
      </w:pPr>
      <w:r>
        <w:t>Barranco Hondo en el T.M de Cande</w:t>
      </w:r>
      <w:r>
        <w:t>laria con Nº identificativo de la aglomeración ES5380110130725)</w:t>
      </w:r>
      <w:r>
        <w:rPr>
          <w:rFonts w:ascii="Times New Roman" w:eastAsia="Times New Roman" w:hAnsi="Times New Roman" w:cs="Times New Roman"/>
          <w:sz w:val="24"/>
        </w:rPr>
        <w:t xml:space="preserve"> </w:t>
      </w:r>
    </w:p>
    <w:p w:rsidR="007617AD" w:rsidRDefault="00EE75C8">
      <w:pPr>
        <w:ind w:left="642" w:right="58"/>
      </w:pPr>
      <w:r>
        <w:rPr>
          <w:b/>
        </w:rPr>
        <w:t xml:space="preserve">SEGUNDA. -  OBLIGACIONES DEL CONSEJO INSULAR DE AGUAS DE TENERIFE. </w:t>
      </w:r>
    </w:p>
    <w:p w:rsidR="007617AD" w:rsidRDefault="00EE75C8">
      <w:pPr>
        <w:spacing w:after="137"/>
        <w:ind w:left="703" w:right="58"/>
      </w:pPr>
      <w:r>
        <w:rPr>
          <w:b/>
        </w:rPr>
        <w:t>El Consejo Insular de Aguas de Tenerife (CIATF) se compromete a gestionar, en colaboración con los Ayuntamientos de Candela</w:t>
      </w:r>
      <w:r>
        <w:rPr>
          <w:b/>
        </w:rPr>
        <w:t xml:space="preserve">ria, Arafo y Güímar, las infraestructuras identificadas en la cláusula primera integradas en los Sistemas Territoriales de depuración, regeneración y vertido del Valle de Güimar y Polígono Industrial de Güímar, y en los términos siguientes: </w:t>
      </w:r>
    </w:p>
    <w:p w:rsidR="007617AD" w:rsidRDefault="00EE75C8">
      <w:pPr>
        <w:numPr>
          <w:ilvl w:val="0"/>
          <w:numId w:val="71"/>
        </w:numPr>
        <w:spacing w:after="134"/>
        <w:ind w:right="62" w:hanging="360"/>
      </w:pPr>
      <w:r>
        <w:t>La forma de ge</w:t>
      </w:r>
      <w:r>
        <w:t>stión podrá ser, total o parcialmente, cualquiera de las previstas en la legislación vigente (por sus propios medios; celebrando contratos de servicios, suministros y obras; mediante órgano especial, convenio con otras administraciones, encomienda a medios</w:t>
      </w:r>
      <w:r>
        <w:t xml:space="preserve"> propios; etc.) </w:t>
      </w:r>
    </w:p>
    <w:p w:rsidR="007617AD" w:rsidRDefault="00EE75C8">
      <w:pPr>
        <w:numPr>
          <w:ilvl w:val="0"/>
          <w:numId w:val="71"/>
        </w:numPr>
        <w:spacing w:after="137"/>
        <w:ind w:right="62" w:hanging="360"/>
      </w:pPr>
      <w:r>
        <w:t xml:space="preserve">Todos los costes generados por el sistema, incluso gestión, control, mantenimiento, consumos, reposiciones e inversiones complementarias, serán sufragados por los perceptores.  </w:t>
      </w:r>
    </w:p>
    <w:p w:rsidR="007617AD" w:rsidRDefault="00EE75C8">
      <w:pPr>
        <w:numPr>
          <w:ilvl w:val="0"/>
          <w:numId w:val="71"/>
        </w:numPr>
        <w:spacing w:after="134"/>
        <w:ind w:right="62" w:hanging="360"/>
      </w:pPr>
      <w:r>
        <w:t>Los contratos de suministros, servicios, asistencias técnicas</w:t>
      </w:r>
      <w:r>
        <w:t xml:space="preserve"> y obras e inversiones complementarias que celebre el CIATF en relación con la gestión de este sistema y tengan repercusión en sus costes, se someterán previamente a la Comisión de Seguimiento, en los términos previstos en la estipulación sexta. </w:t>
      </w:r>
    </w:p>
    <w:p w:rsidR="007617AD" w:rsidRDefault="00EE75C8">
      <w:pPr>
        <w:numPr>
          <w:ilvl w:val="0"/>
          <w:numId w:val="71"/>
        </w:numPr>
        <w:spacing w:after="149"/>
        <w:ind w:right="62" w:hanging="360"/>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5753" name="Group 275753"/>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4733" name="Rectangle 24733"/>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4734" name="Rectangle 24734"/>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135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5753" style="width:12.7031pt;height:280.02pt;position:absolute;mso-position-horizontal-relative:page;mso-position-horizontal:absolute;margin-left:682.278pt;mso-position-vertical-relative:page;margin-top:531.9pt;" coordsize="1613,35562">
                <v:rect id="Rectangle 24733"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4734"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135 de 192 </w:t>
                        </w:r>
                      </w:p>
                    </w:txbxContent>
                  </v:textbox>
                </v:rect>
                <w10:wrap type="square"/>
              </v:group>
            </w:pict>
          </mc:Fallback>
        </mc:AlternateContent>
      </w:r>
      <w:r>
        <w:t>A través de sus servicios técnicos y los mecanismos de contro</w:t>
      </w:r>
      <w:r>
        <w:t xml:space="preserve">l que resulten más procedentes el CIATF procurará en todo momento garantizar que no se produzcan efectos medioambientales o sanitarios inadmisibles a tenor de la normativa vigente que sea de aplicación.  </w:t>
      </w:r>
    </w:p>
    <w:p w:rsidR="007617AD" w:rsidRDefault="00EE75C8">
      <w:pPr>
        <w:numPr>
          <w:ilvl w:val="0"/>
          <w:numId w:val="71"/>
        </w:numPr>
        <w:spacing w:after="5"/>
        <w:ind w:right="62" w:hanging="360"/>
      </w:pPr>
      <w:r>
        <w:t>El efluente regenerado procedente de la Estación Depuradora de Aguas Residuales Urbanas (EDARu) se entregará en su totalidad a la Entidad Pública Empresarial Local Balsas de Tenerife (BALTEN) para su destino al servicio público de suministro de agua para r</w:t>
      </w:r>
      <w:r>
        <w:t>iego gestionado por dicha entidad. Ello sin perjuicio de que, por parte de esta EPEL, conforme al acuerdo que se formalice con los Ayuntamientos, se entreguen</w:t>
      </w:r>
      <w:r>
        <w:rPr>
          <w:i/>
        </w:rPr>
        <w:t xml:space="preserve"> </w:t>
      </w:r>
      <w:r>
        <w:t>los caudales disponibles con destino a los usos y servicios urbanos de aguas regeneradas, cuyo re</w:t>
      </w:r>
      <w:r>
        <w:t>parto por municipio se realizará de acuerdo a los caudales aportados.</w:t>
      </w:r>
      <w:r>
        <w:rPr>
          <w:rFonts w:ascii="Times New Roman" w:eastAsia="Times New Roman" w:hAnsi="Times New Roman" w:cs="Times New Roman"/>
          <w:sz w:val="24"/>
        </w:rPr>
        <w:t xml:space="preserve"> </w:t>
      </w:r>
    </w:p>
    <w:p w:rsidR="007617AD" w:rsidRDefault="00EE75C8">
      <w:pPr>
        <w:spacing w:after="12" w:line="259" w:lineRule="auto"/>
        <w:ind w:left="1068" w:firstLine="0"/>
        <w:jc w:val="left"/>
      </w:pPr>
      <w:r>
        <w:rPr>
          <w:rFonts w:ascii="Times New Roman" w:eastAsia="Times New Roman" w:hAnsi="Times New Roman" w:cs="Times New Roman"/>
          <w:sz w:val="24"/>
        </w:rPr>
        <w:t xml:space="preserve"> </w:t>
      </w:r>
    </w:p>
    <w:p w:rsidR="007617AD" w:rsidRDefault="00EE75C8">
      <w:pPr>
        <w:numPr>
          <w:ilvl w:val="0"/>
          <w:numId w:val="71"/>
        </w:numPr>
        <w:spacing w:after="5"/>
        <w:ind w:right="62" w:hanging="360"/>
      </w:pPr>
      <w:r>
        <w:t xml:space="preserve">Salvo acuerdo expreso y unánime en contrario, la recepción de las aguas residuales brutas de </w:t>
      </w:r>
      <w:r>
        <w:rPr>
          <w:u w:val="single" w:color="000000"/>
        </w:rPr>
        <w:t>origen urbano</w:t>
      </w:r>
      <w:r>
        <w:t xml:space="preserve"> se efectuará en los puntos determinados en el plano del anexo I, así como en</w:t>
      </w:r>
      <w:r>
        <w:t xml:space="preserve"> los nuevos puntos o estaciones de bombeo por desarrollar, que sean determinados previa conformidad de las partes, y que deberán plasmarse en la correspondiente Adenda, en la que se detallarán las infraestructuras. </w:t>
      </w:r>
      <w:r>
        <w:rPr>
          <w:rFonts w:ascii="Times New Roman" w:eastAsia="Times New Roman" w:hAnsi="Times New Roman" w:cs="Times New Roman"/>
          <w:sz w:val="24"/>
        </w:rPr>
        <w:t xml:space="preserve"> </w:t>
      </w:r>
    </w:p>
    <w:p w:rsidR="007617AD" w:rsidRDefault="00EE75C8">
      <w:pPr>
        <w:spacing w:after="0" w:line="259" w:lineRule="auto"/>
        <w:ind w:left="1428" w:firstLine="0"/>
        <w:jc w:val="left"/>
      </w:pPr>
      <w:r>
        <w:rPr>
          <w:rFonts w:ascii="Times New Roman" w:eastAsia="Times New Roman" w:hAnsi="Times New Roman" w:cs="Times New Roman"/>
          <w:sz w:val="24"/>
        </w:rPr>
        <w:t xml:space="preserve"> </w:t>
      </w:r>
    </w:p>
    <w:p w:rsidR="007617AD" w:rsidRDefault="00EE75C8">
      <w:pPr>
        <w:numPr>
          <w:ilvl w:val="0"/>
          <w:numId w:val="71"/>
        </w:numPr>
        <w:spacing w:after="7"/>
        <w:ind w:right="62" w:hanging="360"/>
      </w:pPr>
      <w:r>
        <w:t>Salvo acuerdo expreso y unánime en co</w:t>
      </w:r>
      <w:r>
        <w:t xml:space="preserve">ntrario, la recepción de las aguas residuales brutas de </w:t>
      </w:r>
      <w:r>
        <w:rPr>
          <w:u w:val="single" w:color="000000"/>
        </w:rPr>
        <w:t>origen industrial</w:t>
      </w:r>
      <w:r>
        <w:t xml:space="preserve"> se efectuará en los puntos determinados en el plano del anexo II, así como en los nuevos puntos por desarrollar, que sean determinados previa conformidad de las partes, y que deberán</w:t>
      </w:r>
      <w:r>
        <w:t xml:space="preserve"> plasmarse en la correspondiente Adenda, en la que se detallarán las infraestructuras. A tal efecto el volumen de caudal que corresponda a cada Ayuntamiento, vendrá determinado por las lecturas de los caudalímetros a implantar. Transitoriamente, hasta la i</w:t>
      </w:r>
      <w:r>
        <w:t xml:space="preserve">nstalación de estos caudalímetros, los volúmenes serán estimados por el CIATF de acuerdo con los Ayuntamientos. </w:t>
      </w:r>
      <w:r>
        <w:rPr>
          <w:rFonts w:ascii="Times New Roman" w:eastAsia="Times New Roman" w:hAnsi="Times New Roman" w:cs="Times New Roman"/>
          <w:sz w:val="24"/>
        </w:rPr>
        <w:t xml:space="preserve"> </w:t>
      </w:r>
    </w:p>
    <w:p w:rsidR="007617AD" w:rsidRDefault="00EE75C8">
      <w:pPr>
        <w:spacing w:after="0" w:line="259" w:lineRule="auto"/>
        <w:ind w:left="1428" w:firstLine="0"/>
        <w:jc w:val="left"/>
      </w:pPr>
      <w:r>
        <w:rPr>
          <w:rFonts w:ascii="Times New Roman" w:eastAsia="Times New Roman" w:hAnsi="Times New Roman" w:cs="Times New Roman"/>
          <w:sz w:val="24"/>
        </w:rPr>
        <w:t xml:space="preserve"> </w:t>
      </w:r>
    </w:p>
    <w:p w:rsidR="007617AD" w:rsidRDefault="00EE75C8">
      <w:pPr>
        <w:numPr>
          <w:ilvl w:val="0"/>
          <w:numId w:val="71"/>
        </w:numPr>
        <w:spacing w:after="5"/>
        <w:ind w:right="62" w:hanging="360"/>
      </w:pPr>
      <w:r>
        <w:t>El servicio de control de vertidos al Sistema se incluirá entre sus costes mediante el correspondiente contrato específico que se formalizar</w:t>
      </w:r>
      <w:r>
        <w:t>á una vez se disponga de los datos de explotación de la Estación Depuradora de Aguas Residuales Industriales (EDARi) durante el período de un año. La elaboración de los criterios de control privilegiará la trazabilidad de los posibles incumplimientos a tra</w:t>
      </w:r>
      <w:r>
        <w:t xml:space="preserve">vés de las lecturas de los sensores especializados que se dispondrán en la línea de proceso y de los diagnósticos que se operarán en las redes municipales. </w:t>
      </w:r>
      <w:r>
        <w:rPr>
          <w:rFonts w:ascii="Times New Roman" w:eastAsia="Times New Roman" w:hAnsi="Times New Roman" w:cs="Times New Roman"/>
          <w:sz w:val="24"/>
        </w:rPr>
        <w:t xml:space="preserve"> </w:t>
      </w:r>
    </w:p>
    <w:p w:rsidR="007617AD" w:rsidRDefault="00EE75C8">
      <w:pPr>
        <w:spacing w:after="0" w:line="259" w:lineRule="auto"/>
        <w:ind w:left="1428" w:firstLine="0"/>
        <w:jc w:val="left"/>
      </w:pPr>
      <w:r>
        <w:rPr>
          <w:color w:val="00B050"/>
        </w:rPr>
        <w:t xml:space="preserve"> </w:t>
      </w:r>
      <w:r>
        <w:rPr>
          <w:rFonts w:ascii="Times New Roman" w:eastAsia="Times New Roman" w:hAnsi="Times New Roman" w:cs="Times New Roman"/>
          <w:sz w:val="24"/>
        </w:rPr>
        <w:t xml:space="preserve"> </w:t>
      </w:r>
    </w:p>
    <w:p w:rsidR="007617AD" w:rsidRDefault="00EE75C8">
      <w:pPr>
        <w:numPr>
          <w:ilvl w:val="0"/>
          <w:numId w:val="71"/>
        </w:numPr>
        <w:spacing w:after="0"/>
        <w:ind w:right="62" w:hanging="360"/>
      </w:pPr>
      <w:r>
        <w:t>Una vez que cada una de las Estaciones Depuradoras sea recibida para su normal funcionamiento y</w:t>
      </w:r>
      <w:r>
        <w:t xml:space="preserve"> entre en operación, de conformidad con las Fases temporales reguladas en la cláusula séptima, el Consejo Insular de Aguas, emitirá mensualmente a cada Ayuntamiento las correspondientes notas de cargo con los gastos que correspondan de cada una de las dos </w:t>
      </w:r>
      <w:r>
        <w:t xml:space="preserve">estaciones con el criterio siguiente: </w:t>
      </w:r>
    </w:p>
    <w:p w:rsidR="007617AD" w:rsidRDefault="00EE75C8">
      <w:pPr>
        <w:spacing w:after="29" w:line="259" w:lineRule="auto"/>
        <w:ind w:left="1560" w:firstLine="0"/>
        <w:jc w:val="left"/>
      </w:pPr>
      <w:r>
        <w:t xml:space="preserve"> </w:t>
      </w:r>
    </w:p>
    <w:p w:rsidR="007617AD" w:rsidRDefault="00EE75C8">
      <w:pPr>
        <w:numPr>
          <w:ilvl w:val="2"/>
          <w:numId w:val="75"/>
        </w:numPr>
        <w:spacing w:after="0"/>
        <w:ind w:right="62" w:hanging="139"/>
      </w:pPr>
      <w:r>
        <w:t xml:space="preserve">Los </w:t>
      </w:r>
      <w:r>
        <w:rPr>
          <w:b/>
        </w:rPr>
        <w:t>gastos fijos</w:t>
      </w:r>
      <w:r>
        <w:t xml:space="preserve"> se distribuirán teniendo en cuenta la cuota de tratamiento asignada para cada municipio. Con carácter indicativo el reparto previsto es el que se determina en el expositivo octavo.</w:t>
      </w:r>
      <w:r>
        <w:rPr>
          <w:rFonts w:ascii="Times New Roman" w:eastAsia="Times New Roman" w:hAnsi="Times New Roman" w:cs="Times New Roman"/>
          <w:sz w:val="24"/>
        </w:rPr>
        <w:t xml:space="preserve"> </w:t>
      </w:r>
    </w:p>
    <w:p w:rsidR="007617AD" w:rsidRDefault="00EE75C8">
      <w:pPr>
        <w:spacing w:after="29" w:line="259" w:lineRule="auto"/>
        <w:ind w:left="2268" w:firstLine="0"/>
        <w:jc w:val="left"/>
      </w:pPr>
      <w:r>
        <w:t xml:space="preserve"> </w:t>
      </w:r>
    </w:p>
    <w:p w:rsidR="007617AD" w:rsidRDefault="00EE75C8">
      <w:pPr>
        <w:numPr>
          <w:ilvl w:val="2"/>
          <w:numId w:val="75"/>
        </w:numPr>
        <w:spacing w:after="0"/>
        <w:ind w:right="62" w:hanging="139"/>
      </w:pP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5848" name="Group 27584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4869" name="Rectangle 2486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4870" name="Rectangle 24870"/>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136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5848" style="width:12.7031pt;height:280.02pt;position:absolute;mso-position-horizontal-relative:page;mso-position-horizontal:absolute;margin-left:682.278pt;mso-position-vertical-relative:page;margin-top:531.9pt;" coordsize="1613,35562">
                <v:rect id="Rectangle 2486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4870"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136 de 192 </w:t>
                        </w:r>
                      </w:p>
                    </w:txbxContent>
                  </v:textbox>
                </v:rect>
                <w10:wrap type="square"/>
              </v:group>
            </w:pict>
          </mc:Fallback>
        </mc:AlternateContent>
      </w:r>
      <w:r>
        <w:t xml:space="preserve">Los </w:t>
      </w:r>
      <w:r>
        <w:rPr>
          <w:b/>
        </w:rPr>
        <w:t>gastos variables</w:t>
      </w:r>
      <w:r>
        <w:t xml:space="preserve"> se aplicarán en base a los volúmenes rea</w:t>
      </w:r>
      <w:r>
        <w:t xml:space="preserve">lmente aportados por cada Ayuntamiento al sistema, según reflejen las lecturas de los equipos de medida (contadores) dispuestos para este fin. </w:t>
      </w:r>
      <w:r>
        <w:rPr>
          <w:rFonts w:ascii="Times New Roman" w:eastAsia="Times New Roman" w:hAnsi="Times New Roman" w:cs="Times New Roman"/>
          <w:sz w:val="24"/>
        </w:rPr>
        <w:t xml:space="preserve"> </w:t>
      </w:r>
    </w:p>
    <w:p w:rsidR="007617AD" w:rsidRDefault="00EE75C8">
      <w:pPr>
        <w:spacing w:after="100" w:line="259" w:lineRule="auto"/>
        <w:ind w:left="708" w:firstLine="0"/>
        <w:jc w:val="left"/>
      </w:pPr>
      <w:r>
        <w:rPr>
          <w:color w:val="00B050"/>
        </w:rPr>
        <w:t xml:space="preserve"> </w:t>
      </w:r>
    </w:p>
    <w:p w:rsidR="007617AD" w:rsidRDefault="00EE75C8">
      <w:pPr>
        <w:numPr>
          <w:ilvl w:val="0"/>
          <w:numId w:val="71"/>
        </w:numPr>
        <w:ind w:right="62" w:hanging="360"/>
      </w:pPr>
      <w:r>
        <w:t>Impulsar y desarrollar las inversiones de ámbito supramunicipal que se describen en el Anexo III de forma que</w:t>
      </w:r>
      <w:r>
        <w:t xml:space="preserve"> se garantice el cumplimiento de las obligaciones de recogida y/o tratamiento de las aguas residuales urbanas establecidas en la Directiva 91/271/CEE del Consejo, de 21 de mayo de 1991, sobre el tratamiento de las aguas residuales urbanas. </w:t>
      </w:r>
    </w:p>
    <w:p w:rsidR="007617AD" w:rsidRDefault="00EE75C8">
      <w:pPr>
        <w:spacing w:after="96" w:line="259" w:lineRule="auto"/>
        <w:ind w:left="708" w:firstLine="0"/>
        <w:jc w:val="left"/>
      </w:pPr>
      <w:r>
        <w:rPr>
          <w:color w:val="00B050"/>
        </w:rPr>
        <w:t xml:space="preserve"> </w:t>
      </w:r>
    </w:p>
    <w:p w:rsidR="007617AD" w:rsidRDefault="00EE75C8">
      <w:pPr>
        <w:ind w:left="703" w:right="58"/>
      </w:pPr>
      <w:r>
        <w:rPr>
          <w:b/>
        </w:rPr>
        <w:t>TERCERA. - OB</w:t>
      </w:r>
      <w:r>
        <w:rPr>
          <w:b/>
        </w:rPr>
        <w:t xml:space="preserve">LIGACIONES DE LOS AYUNTAMIENTOS.   </w:t>
      </w:r>
    </w:p>
    <w:p w:rsidR="007617AD" w:rsidRDefault="00EE75C8">
      <w:pPr>
        <w:ind w:left="703" w:right="62"/>
      </w:pPr>
      <w:r>
        <w:t xml:space="preserve">Los Ayuntamientos de Candelaria, Arafo y Güímar, se comprometen a colaborar, con el Consejo Insular de Aguas de Tenerife, en la gestión conjunta de las infraestructuras identificadas en la cláusula primera integradas en </w:t>
      </w:r>
      <w:r>
        <w:t>los Sistemas Territoriales de Saneamiento del Valle de Güímar y Polígono Industrial de Valle de Güímar, en los términos siguientes:</w:t>
      </w:r>
      <w:r>
        <w:rPr>
          <w:rFonts w:ascii="Times New Roman" w:eastAsia="Times New Roman" w:hAnsi="Times New Roman" w:cs="Times New Roman"/>
          <w:sz w:val="24"/>
        </w:rPr>
        <w:t xml:space="preserve"> </w:t>
      </w:r>
    </w:p>
    <w:p w:rsidR="007617AD" w:rsidRDefault="00EE75C8">
      <w:pPr>
        <w:numPr>
          <w:ilvl w:val="0"/>
          <w:numId w:val="74"/>
        </w:numPr>
        <w:ind w:right="62" w:hanging="360"/>
      </w:pPr>
      <w:r>
        <w:t xml:space="preserve">Participarán de forma activa y efectiva en la Comisión de Seguimiento que se regula en la cláusula quinta. </w:t>
      </w:r>
      <w:r>
        <w:rPr>
          <w:rFonts w:ascii="Times New Roman" w:eastAsia="Times New Roman" w:hAnsi="Times New Roman" w:cs="Times New Roman"/>
          <w:sz w:val="24"/>
        </w:rPr>
        <w:t xml:space="preserve"> </w:t>
      </w:r>
    </w:p>
    <w:p w:rsidR="007617AD" w:rsidRDefault="00EE75C8">
      <w:pPr>
        <w:numPr>
          <w:ilvl w:val="0"/>
          <w:numId w:val="74"/>
        </w:numPr>
        <w:ind w:right="62" w:hanging="360"/>
      </w:pPr>
      <w:r>
        <w:t>Entregarán sus aguas residuales brutas de origen urbano e industrial en los puntos inicialmente previstos al efecto en la cláusula anterior.</w:t>
      </w:r>
      <w:r>
        <w:rPr>
          <w:rFonts w:ascii="Times New Roman" w:eastAsia="Times New Roman" w:hAnsi="Times New Roman" w:cs="Times New Roman"/>
          <w:sz w:val="24"/>
        </w:rPr>
        <w:t xml:space="preserve"> </w:t>
      </w:r>
    </w:p>
    <w:p w:rsidR="007617AD" w:rsidRDefault="00EE75C8">
      <w:pPr>
        <w:numPr>
          <w:ilvl w:val="0"/>
          <w:numId w:val="74"/>
        </w:numPr>
        <w:ind w:right="62" w:hanging="360"/>
      </w:pPr>
      <w:r>
        <w:t xml:space="preserve">Velarán por que el </w:t>
      </w:r>
      <w:r>
        <w:rPr>
          <w:b/>
        </w:rPr>
        <w:t>contenido de dichas aguas brutas</w:t>
      </w:r>
      <w:r>
        <w:t xml:space="preserve"> tanto urbanas como industriales cumplan la normativa aplicable</w:t>
      </w:r>
      <w:r>
        <w:t xml:space="preserve"> en los Reglamentos de Alcantarillado, Depuración y Vertido vigentes.   </w:t>
      </w:r>
      <w:r>
        <w:rPr>
          <w:rFonts w:ascii="Times New Roman" w:eastAsia="Times New Roman" w:hAnsi="Times New Roman" w:cs="Times New Roman"/>
          <w:sz w:val="24"/>
        </w:rPr>
        <w:t xml:space="preserve"> </w:t>
      </w:r>
    </w:p>
    <w:p w:rsidR="007617AD" w:rsidRDefault="00EE75C8">
      <w:pPr>
        <w:numPr>
          <w:ilvl w:val="0"/>
          <w:numId w:val="74"/>
        </w:numPr>
        <w:ind w:right="62" w:hanging="360"/>
      </w:pPr>
      <w:r>
        <w:t xml:space="preserve">Adoptarán las medidas de </w:t>
      </w:r>
      <w:r>
        <w:rPr>
          <w:b/>
        </w:rPr>
        <w:t>policía de vertidos</w:t>
      </w:r>
      <w:r>
        <w:t xml:space="preserve"> </w:t>
      </w:r>
      <w:r>
        <w:t>pertinentes en el ámbito municipal respectivo prestando especial interés en evitar los vertidos al alcantarillado de productos tóxicos, grasas y aguas de salinidad excesiva.</w:t>
      </w:r>
      <w:r>
        <w:rPr>
          <w:rFonts w:ascii="Times New Roman" w:eastAsia="Times New Roman" w:hAnsi="Times New Roman" w:cs="Times New Roman"/>
          <w:sz w:val="24"/>
        </w:rPr>
        <w:t xml:space="preserve"> </w:t>
      </w:r>
    </w:p>
    <w:p w:rsidR="007617AD" w:rsidRDefault="00EE75C8">
      <w:pPr>
        <w:numPr>
          <w:ilvl w:val="0"/>
          <w:numId w:val="74"/>
        </w:numPr>
        <w:spacing w:after="146"/>
        <w:ind w:right="62" w:hanging="360"/>
      </w:pPr>
      <w:r>
        <w:t>Impulsar y desarrollar las inversiones de ámbito municipal que se describen en el</w:t>
      </w:r>
      <w:r>
        <w:t xml:space="preserve"> Anexo III de forma que se garantice el cumplimiento de las obligaciones de recogida de las aguas residuales urbanas establecidas en la Directiva 91/271/CEE del Consejo, de 21 de mayo de 1991, sobre el tratamiento de las aguas residuales urbanas. </w:t>
      </w:r>
    </w:p>
    <w:p w:rsidR="007617AD" w:rsidRDefault="00EE75C8">
      <w:pPr>
        <w:numPr>
          <w:ilvl w:val="0"/>
          <w:numId w:val="74"/>
        </w:numPr>
        <w:ind w:right="62" w:hanging="360"/>
      </w:pPr>
      <w:r>
        <w:t>Cumplirá</w:t>
      </w:r>
      <w:r>
        <w:t>n las obligaciones económicas que se definen en la cláusula cuarta una vez recibidas las notas de cargo que emitidas por el CIATF.</w:t>
      </w:r>
      <w:r>
        <w:rPr>
          <w:rFonts w:ascii="Times New Roman" w:eastAsia="Times New Roman" w:hAnsi="Times New Roman" w:cs="Times New Roman"/>
          <w:sz w:val="24"/>
        </w:rPr>
        <w:t xml:space="preserve"> </w:t>
      </w:r>
    </w:p>
    <w:p w:rsidR="007617AD" w:rsidRDefault="00EE75C8">
      <w:pPr>
        <w:numPr>
          <w:ilvl w:val="0"/>
          <w:numId w:val="74"/>
        </w:numPr>
        <w:ind w:right="62" w:hanging="360"/>
      </w:pPr>
      <w:r>
        <w:t>Asumirán los costes provocados por un vertido incontrolado proveniente del municipio en cuestión, previa tramitación del exp</w:t>
      </w:r>
      <w:r>
        <w:t>ediente correspondiente.</w:t>
      </w:r>
      <w:r>
        <w:rPr>
          <w:rFonts w:ascii="Times New Roman" w:eastAsia="Times New Roman" w:hAnsi="Times New Roman" w:cs="Times New Roman"/>
          <w:sz w:val="24"/>
        </w:rPr>
        <w:t xml:space="preserve"> </w:t>
      </w:r>
    </w:p>
    <w:p w:rsidR="007617AD" w:rsidRDefault="00EE75C8">
      <w:pPr>
        <w:spacing w:after="112" w:line="259" w:lineRule="auto"/>
        <w:ind w:left="708" w:firstLine="0"/>
        <w:jc w:val="left"/>
      </w:pPr>
      <w:r>
        <w:rPr>
          <w:b/>
        </w:rPr>
        <w:t xml:space="preserve"> </w:t>
      </w:r>
    </w:p>
    <w:p w:rsidR="007617AD" w:rsidRDefault="00EE75C8">
      <w:pPr>
        <w:spacing w:after="91"/>
        <w:ind w:left="703" w:right="58"/>
      </w:pPr>
      <w:r>
        <w:rPr>
          <w:b/>
        </w:rPr>
        <w:t>CUARTA. -OBLIGACIONES ECONÓMICAS.</w:t>
      </w:r>
      <w:r>
        <w:rPr>
          <w:rFonts w:ascii="Times New Roman" w:eastAsia="Times New Roman" w:hAnsi="Times New Roman" w:cs="Times New Roman"/>
          <w:sz w:val="24"/>
        </w:rPr>
        <w:t xml:space="preserve"> </w:t>
      </w:r>
    </w:p>
    <w:p w:rsidR="007617AD" w:rsidRDefault="00EE75C8">
      <w:pPr>
        <w:ind w:left="703" w:right="58"/>
      </w:pPr>
      <w:r>
        <w:rPr>
          <w:b/>
        </w:rPr>
        <w:t>Para el cumplimiento de las obligaciones económicas derivadas de este Convenio se establecen las condiciones siguientes:</w:t>
      </w:r>
      <w:r>
        <w:rPr>
          <w:rFonts w:ascii="Calibri" w:eastAsia="Calibri" w:hAnsi="Calibri" w:cs="Calibri"/>
          <w:sz w:val="24"/>
        </w:rPr>
        <w:t xml:space="preserve"> </w:t>
      </w:r>
    </w:p>
    <w:p w:rsidR="007617AD" w:rsidRDefault="00EE75C8">
      <w:pPr>
        <w:ind w:left="1428" w:right="62" w:hanging="360"/>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7543" name="Group 277543"/>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5004" name="Rectangle 2500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Verificación: https://c</w:t>
                              </w:r>
                              <w:r>
                                <w:rPr>
                                  <w:sz w:val="12"/>
                                </w:rPr>
                                <w:t xml:space="preserve">andelaria.sedelectronica.es/ </w:t>
                              </w:r>
                            </w:p>
                          </w:txbxContent>
                        </wps:txbx>
                        <wps:bodyPr horzOverflow="overflow" vert="horz" lIns="0" tIns="0" rIns="0" bIns="0" rtlCol="0">
                          <a:noAutofit/>
                        </wps:bodyPr>
                      </wps:wsp>
                      <wps:wsp>
                        <wps:cNvPr id="25005" name="Rectangle 25005"/>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137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7543" style="width:12.7031pt;height:280.02pt;position:absolute;mso-position-horizontal-relative:page;mso-position-horizontal:absolute;margin-left:682.278pt;mso-position-vertical-relative:page;margin-top:531.9pt;" coordsize="1613,35562">
                <v:rect id="Rectangle 2500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5005"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137 de 192 </w:t>
                        </w:r>
                      </w:p>
                    </w:txbxContent>
                  </v:textbox>
                </v:rect>
                <w10:wrap type="square"/>
              </v:group>
            </w:pict>
          </mc:Fallback>
        </mc:AlternateContent>
      </w:r>
      <w:r>
        <w:rPr>
          <w:rFonts w:ascii="Times New Roman" w:eastAsia="Times New Roman" w:hAnsi="Times New Roman" w:cs="Times New Roman"/>
          <w:sz w:val="24"/>
        </w:rPr>
        <w:t>m)</w:t>
      </w:r>
      <w:r>
        <w:rPr>
          <w:sz w:val="24"/>
        </w:rPr>
        <w:t xml:space="preserve"> </w:t>
      </w:r>
      <w:r>
        <w:t>El CIATF realizará las actuaciones necesarias para la operación y mantenimiento del Sistema de Saneamiento y Depuración, a tra</w:t>
      </w:r>
      <w:r>
        <w:t>vés de la licitación y adjudicación de los contratos correspondientes, previa generación y aprobación del crédito necesario con cargo al compromiso de ingreso de los Ayuntamientos derivado del presente convenio tras su formalización. A tal efecto el import</w:t>
      </w:r>
      <w:r>
        <w:t xml:space="preserve">e total estimado del convenio incluidos los costes fijos y variables asciende a </w:t>
      </w:r>
      <w:r>
        <w:rPr>
          <w:b/>
        </w:rPr>
        <w:t xml:space="preserve">3.953.601,06 euros </w:t>
      </w:r>
      <w:r>
        <w:t>del cual:</w:t>
      </w:r>
      <w:r>
        <w:rPr>
          <w:rFonts w:ascii="Times New Roman" w:eastAsia="Times New Roman" w:hAnsi="Times New Roman" w:cs="Times New Roman"/>
          <w:sz w:val="24"/>
        </w:rPr>
        <w:t xml:space="preserve"> </w:t>
      </w:r>
    </w:p>
    <w:p w:rsidR="007617AD" w:rsidRDefault="00EE75C8">
      <w:pPr>
        <w:numPr>
          <w:ilvl w:val="1"/>
          <w:numId w:val="71"/>
        </w:numPr>
        <w:ind w:right="62" w:hanging="360"/>
      </w:pPr>
      <w:r>
        <w:t xml:space="preserve">El importe total estimativo que será repercutido a los Ayuntamientos correspondiente a los </w:t>
      </w:r>
      <w:r>
        <w:rPr>
          <w:b/>
          <w:u w:val="single" w:color="000000"/>
        </w:rPr>
        <w:t>costes fijos</w:t>
      </w:r>
      <w:r>
        <w:rPr>
          <w:b/>
        </w:rPr>
        <w:t xml:space="preserve"> </w:t>
      </w:r>
      <w:r>
        <w:t xml:space="preserve">en los que se incurre necesariamente para la operación y mantenimiento del Sistema, descritos en los expositivos séptimo y octavo, asciende durante todo el período de vigencia del convenio a </w:t>
      </w:r>
      <w:r>
        <w:rPr>
          <w:b/>
        </w:rPr>
        <w:t xml:space="preserve">2.365.839,69 euros </w:t>
      </w:r>
      <w:r>
        <w:t>de acuerdo al desglose por Subsistema, anualid</w:t>
      </w:r>
      <w:r>
        <w:t>ades y Ayuntamiento que se recogen en Anexo IV del presente convenio atendiendo a la entrada en vigor escalonada que se regula en la cláusula séptima.</w:t>
      </w:r>
      <w:r>
        <w:rPr>
          <w:rFonts w:ascii="Times New Roman" w:eastAsia="Times New Roman" w:hAnsi="Times New Roman" w:cs="Times New Roman"/>
          <w:sz w:val="24"/>
        </w:rPr>
        <w:t xml:space="preserve"> </w:t>
      </w:r>
    </w:p>
    <w:p w:rsidR="007617AD" w:rsidRDefault="00EE75C8">
      <w:pPr>
        <w:numPr>
          <w:ilvl w:val="1"/>
          <w:numId w:val="71"/>
        </w:numPr>
        <w:spacing w:after="93"/>
        <w:ind w:right="62" w:hanging="360"/>
      </w:pPr>
      <w:r>
        <w:t xml:space="preserve">En relación a los </w:t>
      </w:r>
      <w:r>
        <w:rPr>
          <w:b/>
          <w:u w:val="single" w:color="000000"/>
        </w:rPr>
        <w:t>costes variables</w:t>
      </w:r>
      <w:r>
        <w:rPr>
          <w:b/>
        </w:rPr>
        <w:t xml:space="preserve"> </w:t>
      </w:r>
      <w:r>
        <w:t xml:space="preserve">el importe total estimativo a repercutir asciende a la cantidad de </w:t>
      </w:r>
      <w:r>
        <w:rPr>
          <w:b/>
        </w:rPr>
        <w:t>1.</w:t>
      </w:r>
      <w:r>
        <w:rPr>
          <w:b/>
        </w:rPr>
        <w:t>587.761,60 euros</w:t>
      </w:r>
      <w:r>
        <w:t>, de acuerdo al desglose por Subsistema, anualidades y Ayuntamiento que se recoge en Anexo IV del presente convenio atendiendo a la entrada en vigor escalonada que se regula en la cláusula séptima y considerando el volumen de caudal estimad</w:t>
      </w:r>
      <w:r>
        <w:t>o para cada Ayuntamiento incluido en el cronograma de inversiones que figura en Anexo III.</w:t>
      </w:r>
      <w:r>
        <w:rPr>
          <w:rFonts w:ascii="Times New Roman" w:eastAsia="Times New Roman" w:hAnsi="Times New Roman" w:cs="Times New Roman"/>
          <w:sz w:val="24"/>
        </w:rPr>
        <w:t xml:space="preserve"> </w:t>
      </w:r>
    </w:p>
    <w:p w:rsidR="007617AD" w:rsidRDefault="00EE75C8">
      <w:pPr>
        <w:numPr>
          <w:ilvl w:val="0"/>
          <w:numId w:val="76"/>
        </w:numPr>
        <w:spacing w:after="145"/>
        <w:ind w:right="62" w:hanging="360"/>
      </w:pPr>
      <w:r>
        <w:t>Mensualmente el CIATF extenderá las correspondientes notas de cargo a los Ayuntamientos, según el modelo que defina la Comisión de Seguimiento, que deberán estar de</w:t>
      </w:r>
      <w:r>
        <w:t xml:space="preserve">sglosadas de manera separada de acuerdo a los epígrafes de costes establecidos en el expositivo décimo en relación al coste de cada servicio de depuración del agua residual, tanto urbana como industrial.  </w:t>
      </w:r>
    </w:p>
    <w:p w:rsidR="007617AD" w:rsidRDefault="00EE75C8">
      <w:pPr>
        <w:numPr>
          <w:ilvl w:val="0"/>
          <w:numId w:val="76"/>
        </w:numPr>
        <w:ind w:right="62" w:hanging="360"/>
      </w:pPr>
      <w:r>
        <w:t>Recibidas las notas de cargo por cada Ayuntamiento</w:t>
      </w:r>
      <w:r>
        <w:t>, éste deberá hacer efectivo el pago de su importe al CIATF en el plazo máximo de dos (2) meses, contados a partir de la fecha de recepción.</w:t>
      </w:r>
      <w:r>
        <w:rPr>
          <w:rFonts w:ascii="Times New Roman" w:eastAsia="Times New Roman" w:hAnsi="Times New Roman" w:cs="Times New Roman"/>
          <w:sz w:val="24"/>
        </w:rPr>
        <w:t xml:space="preserve"> </w:t>
      </w:r>
    </w:p>
    <w:p w:rsidR="007617AD" w:rsidRDefault="00EE75C8">
      <w:pPr>
        <w:numPr>
          <w:ilvl w:val="0"/>
          <w:numId w:val="76"/>
        </w:numPr>
        <w:spacing w:after="134"/>
        <w:ind w:right="62" w:hanging="360"/>
      </w:pPr>
      <w:r>
        <w:t xml:space="preserve">Caso de que se supere dicho plazo y permaneciese </w:t>
      </w:r>
      <w:r>
        <w:rPr>
          <w:b/>
        </w:rPr>
        <w:t>la situación de impago de alguna nota de cargo</w:t>
      </w:r>
      <w:r>
        <w:t>, el CIATF queda fa</w:t>
      </w:r>
      <w:r>
        <w:t xml:space="preserve">cultado para recabar su cobro a través del Cabildo Insular de Tenerife, con cargo a los ingresos que proceda efectuar a dicho Ayuntamiento en concepto de </w:t>
      </w:r>
      <w:r>
        <w:rPr>
          <w:b/>
        </w:rPr>
        <w:t>carta municipal</w:t>
      </w:r>
      <w:r>
        <w:t xml:space="preserve"> o por la recaudación de tasas, gravámenes y precios públicos municipales a través del </w:t>
      </w:r>
      <w:r>
        <w:rPr>
          <w:b/>
        </w:rPr>
        <w:t>Consorcio de Tributos</w:t>
      </w:r>
      <w:r>
        <w:t>.</w:t>
      </w:r>
      <w:r>
        <w:rPr>
          <w:rFonts w:ascii="Times New Roman" w:eastAsia="Times New Roman" w:hAnsi="Times New Roman" w:cs="Times New Roman"/>
          <w:sz w:val="24"/>
        </w:rPr>
        <w:t xml:space="preserve"> </w:t>
      </w:r>
    </w:p>
    <w:p w:rsidR="007617AD" w:rsidRDefault="00EE75C8">
      <w:pPr>
        <w:numPr>
          <w:ilvl w:val="0"/>
          <w:numId w:val="76"/>
        </w:numPr>
        <w:ind w:right="62" w:hanging="360"/>
      </w:pPr>
      <w:r>
        <w:t xml:space="preserve">Los </w:t>
      </w:r>
      <w:r>
        <w:rPr>
          <w:b/>
        </w:rPr>
        <w:t>costes financieros</w:t>
      </w:r>
      <w:r>
        <w:t xml:space="preserve"> que acarreen las demoras en los pagos por parte de alguno de los Ayuntamientos firmantes podrán ser reclamados, previa instrucción del correspondiente procedimiento, a aquél que los causare.</w:t>
      </w:r>
      <w:r>
        <w:rPr>
          <w:rFonts w:ascii="Times New Roman" w:eastAsia="Times New Roman" w:hAnsi="Times New Roman" w:cs="Times New Roman"/>
          <w:sz w:val="24"/>
        </w:rPr>
        <w:t xml:space="preserve"> </w:t>
      </w:r>
    </w:p>
    <w:p w:rsidR="007617AD" w:rsidRDefault="00EE75C8">
      <w:pPr>
        <w:numPr>
          <w:ilvl w:val="0"/>
          <w:numId w:val="76"/>
        </w:numPr>
        <w:spacing w:after="93"/>
        <w:ind w:right="62" w:hanging="360"/>
      </w:pPr>
      <w:r>
        <w:t xml:space="preserve">Los Ayuntamientos deberán realizar las aportaciones necesarias al </w:t>
      </w:r>
      <w:r>
        <w:rPr>
          <w:b/>
        </w:rPr>
        <w:t>fondo de inversión</w:t>
      </w:r>
      <w:r>
        <w:t xml:space="preserve"> destinado a las reposiciones, ampliaciones y mejoras del sistema de saneamiento y depuración que se determinen por la Comisión de Seguimiento.</w:t>
      </w:r>
      <w:r>
        <w:rPr>
          <w:rFonts w:ascii="Times New Roman" w:eastAsia="Times New Roman" w:hAnsi="Times New Roman" w:cs="Times New Roman"/>
          <w:sz w:val="24"/>
        </w:rPr>
        <w:t xml:space="preserve"> </w:t>
      </w:r>
    </w:p>
    <w:p w:rsidR="007617AD" w:rsidRDefault="00EE75C8">
      <w:pPr>
        <w:spacing w:after="98" w:line="259" w:lineRule="auto"/>
        <w:ind w:left="1428" w:firstLine="0"/>
        <w:jc w:val="left"/>
      </w:pPr>
      <w:r>
        <w:t xml:space="preserve"> </w:t>
      </w:r>
    </w:p>
    <w:p w:rsidR="007617AD" w:rsidRDefault="00EE75C8">
      <w:pPr>
        <w:spacing w:after="11"/>
        <w:ind w:left="703" w:right="58"/>
      </w:pPr>
      <w:r>
        <w:rPr>
          <w:b/>
        </w:rPr>
        <w:t>QUINTA. - COMISIÓN DE SEG</w:t>
      </w:r>
      <w:r>
        <w:rPr>
          <w:b/>
        </w:rPr>
        <w:t>UIMIENTO DEL CONVENIO DE COLABORACIÓN.</w:t>
      </w:r>
      <w:r>
        <w:rPr>
          <w:rFonts w:ascii="Calibri" w:eastAsia="Calibri" w:hAnsi="Calibri" w:cs="Calibri"/>
        </w:rPr>
        <w:t xml:space="preserve"> </w:t>
      </w:r>
    </w:p>
    <w:p w:rsidR="007617AD" w:rsidRDefault="00EE75C8">
      <w:pPr>
        <w:spacing w:after="0" w:line="259" w:lineRule="auto"/>
        <w:ind w:left="708" w:firstLine="0"/>
        <w:jc w:val="left"/>
      </w:pPr>
      <w:r>
        <w:t xml:space="preserve"> </w:t>
      </w:r>
    </w:p>
    <w:p w:rsidR="007617AD" w:rsidRDefault="00EE75C8">
      <w:pPr>
        <w:spacing w:after="0"/>
        <w:ind w:left="703" w:right="62"/>
      </w:pPr>
      <w:r>
        <w:t xml:space="preserve">Para el seguimiento de este Convenio y una real y efectiva coordinación y participación de las partes en su ejecución, se crea una Comisión paritaria de seguimiento.  </w:t>
      </w:r>
    </w:p>
    <w:p w:rsidR="007617AD" w:rsidRDefault="00EE75C8">
      <w:pPr>
        <w:spacing w:after="5" w:line="259" w:lineRule="auto"/>
        <w:ind w:left="708" w:firstLine="0"/>
        <w:jc w:val="left"/>
      </w:pPr>
      <w:r>
        <w:t xml:space="preserve"> </w:t>
      </w:r>
    </w:p>
    <w:p w:rsidR="007617AD" w:rsidRDefault="00EE75C8">
      <w:pPr>
        <w:numPr>
          <w:ilvl w:val="0"/>
          <w:numId w:val="73"/>
        </w:numPr>
        <w:spacing w:after="0"/>
        <w:ind w:right="62" w:hanging="360"/>
      </w:pPr>
      <w:r>
        <w:rPr>
          <w:b/>
        </w:rPr>
        <w:t>Competencias</w:t>
      </w:r>
      <w:r>
        <w:t xml:space="preserve">: Interpretar las dudas que pudieran suscitarse con motivo de la aplicación del presente Convenio. </w:t>
      </w:r>
      <w:r>
        <w:rPr>
          <w:rFonts w:ascii="Times New Roman" w:eastAsia="Times New Roman" w:hAnsi="Times New Roman" w:cs="Times New Roman"/>
          <w:sz w:val="24"/>
        </w:rPr>
        <w:t xml:space="preserve"> </w:t>
      </w:r>
    </w:p>
    <w:p w:rsidR="007617AD" w:rsidRDefault="00EE75C8">
      <w:pPr>
        <w:spacing w:after="5" w:line="259" w:lineRule="auto"/>
        <w:ind w:left="708" w:firstLine="0"/>
        <w:jc w:val="left"/>
      </w:pPr>
      <w:r>
        <w:t xml:space="preserve"> </w:t>
      </w:r>
    </w:p>
    <w:p w:rsidR="007617AD" w:rsidRDefault="00EE75C8">
      <w:pPr>
        <w:numPr>
          <w:ilvl w:val="0"/>
          <w:numId w:val="73"/>
        </w:numPr>
        <w:spacing w:after="0"/>
        <w:ind w:right="62" w:hanging="360"/>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7460" name="Group 27746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5148" name="Rectangle 2514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5149" name="Rectangle 25149"/>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w:t>
                              </w:r>
                              <w:r>
                                <w:rPr>
                                  <w:sz w:val="12"/>
                                </w:rPr>
                                <w:t xml:space="preserve">orma esPublico Gestiona | Página 138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7460" style="width:12.7031pt;height:280.02pt;position:absolute;mso-position-horizontal-relative:page;mso-position-horizontal:absolute;margin-left:682.278pt;mso-position-vertical-relative:page;margin-top:531.9pt;" coordsize="1613,35562">
                <v:rect id="Rectangle 2514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5149"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138 de 192 </w:t>
                        </w:r>
                      </w:p>
                    </w:txbxContent>
                  </v:textbox>
                </v:rect>
                <w10:wrap type="square"/>
              </v:group>
            </w:pict>
          </mc:Fallback>
        </mc:AlternateContent>
      </w:r>
      <w:r>
        <w:rPr>
          <w:b/>
        </w:rPr>
        <w:t>Composición:</w:t>
      </w:r>
      <w:r>
        <w:t xml:space="preserve"> La Comisión paritaria estará constituida por ocho (8) vocales, correspondiendo designar dos (2) vocales a cada una de las Administraciones Públicas firmantes. La designación de estos vocales se efec</w:t>
      </w:r>
      <w:r>
        <w:t xml:space="preserve">tuará en el momento de la firma de este Convenio o, subsidiariamente, en un plazo máximo de un (1) mes desde la misma. </w:t>
      </w:r>
      <w:r>
        <w:rPr>
          <w:rFonts w:ascii="Times New Roman" w:eastAsia="Times New Roman" w:hAnsi="Times New Roman" w:cs="Times New Roman"/>
          <w:sz w:val="24"/>
        </w:rPr>
        <w:t xml:space="preserve"> </w:t>
      </w:r>
    </w:p>
    <w:p w:rsidR="007617AD" w:rsidRDefault="00EE75C8">
      <w:pPr>
        <w:spacing w:after="0"/>
        <w:ind w:left="1426" w:right="62"/>
      </w:pPr>
      <w:r>
        <w:t>La Presidencia de la Comisión corresponderá a uno de los vocales designados por el Consejo Insular de Aguas y la Vicepresidencia será a</w:t>
      </w:r>
      <w:r>
        <w:t xml:space="preserve">lternativa, por años, entre los representantes de los Ayuntamientos. Los miembros de la Comisión podrán venir asistidos de Técnicos asesores, que tendrán voz, pero no voto.  </w:t>
      </w:r>
    </w:p>
    <w:p w:rsidR="007617AD" w:rsidRDefault="00EE75C8">
      <w:pPr>
        <w:spacing w:after="2" w:line="259" w:lineRule="auto"/>
        <w:ind w:left="1416" w:firstLine="0"/>
        <w:jc w:val="left"/>
      </w:pPr>
      <w:r>
        <w:t xml:space="preserve"> </w:t>
      </w:r>
    </w:p>
    <w:p w:rsidR="007617AD" w:rsidRDefault="00EE75C8">
      <w:pPr>
        <w:numPr>
          <w:ilvl w:val="0"/>
          <w:numId w:val="73"/>
        </w:numPr>
        <w:spacing w:after="0"/>
        <w:ind w:right="62" w:hanging="360"/>
      </w:pPr>
      <w:r>
        <w:rPr>
          <w:b/>
        </w:rPr>
        <w:t>Lugar de celebración:</w:t>
      </w:r>
      <w:r>
        <w:t xml:space="preserve"> las Comisiones se celebran en el lugar que en cada caso d</w:t>
      </w:r>
      <w:r>
        <w:t>esigne la Presidencia.</w:t>
      </w:r>
      <w:r>
        <w:rPr>
          <w:rFonts w:ascii="Times New Roman" w:eastAsia="Times New Roman" w:hAnsi="Times New Roman" w:cs="Times New Roman"/>
          <w:sz w:val="24"/>
        </w:rPr>
        <w:t xml:space="preserve"> </w:t>
      </w:r>
    </w:p>
    <w:p w:rsidR="007617AD" w:rsidRDefault="00EE75C8">
      <w:pPr>
        <w:spacing w:after="5" w:line="259" w:lineRule="auto"/>
        <w:ind w:left="1428" w:firstLine="0"/>
        <w:jc w:val="left"/>
      </w:pPr>
      <w:r>
        <w:t xml:space="preserve"> </w:t>
      </w:r>
    </w:p>
    <w:p w:rsidR="007617AD" w:rsidRDefault="00EE75C8">
      <w:pPr>
        <w:numPr>
          <w:ilvl w:val="0"/>
          <w:numId w:val="73"/>
        </w:numPr>
        <w:spacing w:after="0"/>
        <w:ind w:right="62" w:hanging="360"/>
      </w:pPr>
      <w:r>
        <w:rPr>
          <w:b/>
        </w:rPr>
        <w:t>Secretaría y Actas:</w:t>
      </w:r>
      <w:r>
        <w:t xml:space="preserve"> la Secretaría de la Comisión será desempeñada por un Técnico de Administración General designado por el CIATF de entre los que desempeñan el trabajo en dicho Organismo. De cada sesión de la Comisión se levantar</w:t>
      </w:r>
      <w:r>
        <w:t>á acta por dicha Secretaría, que será aprobada, si procede, en la siguiente sesión que la comisión celebre.</w:t>
      </w:r>
      <w:r>
        <w:rPr>
          <w:rFonts w:ascii="Times New Roman" w:eastAsia="Times New Roman" w:hAnsi="Times New Roman" w:cs="Times New Roman"/>
          <w:sz w:val="24"/>
        </w:rPr>
        <w:t xml:space="preserve"> </w:t>
      </w:r>
    </w:p>
    <w:p w:rsidR="007617AD" w:rsidRDefault="00EE75C8">
      <w:pPr>
        <w:spacing w:after="5" w:line="259" w:lineRule="auto"/>
        <w:ind w:left="1416" w:firstLine="0"/>
        <w:jc w:val="left"/>
      </w:pPr>
      <w:r>
        <w:t xml:space="preserve"> </w:t>
      </w:r>
    </w:p>
    <w:p w:rsidR="007617AD" w:rsidRDefault="00EE75C8">
      <w:pPr>
        <w:numPr>
          <w:ilvl w:val="0"/>
          <w:numId w:val="73"/>
        </w:numPr>
        <w:spacing w:after="0"/>
        <w:ind w:right="62" w:hanging="360"/>
      </w:pPr>
      <w:r>
        <w:rPr>
          <w:b/>
        </w:rPr>
        <w:t>Régimen de adopción de acuerdos:</w:t>
      </w:r>
      <w:r>
        <w:t xml:space="preserve"> </w:t>
      </w:r>
      <w:r>
        <w:t>Los Acuerdos de la Comisión de Seguimiento habrán de ser tomados por unanimidad y, en caso de que sea necesario, serán elevados a los órganos de gobierno de las respectivas administraciones para su aprobación definitiva.</w:t>
      </w:r>
      <w:r>
        <w:rPr>
          <w:rFonts w:ascii="Times New Roman" w:eastAsia="Times New Roman" w:hAnsi="Times New Roman" w:cs="Times New Roman"/>
          <w:sz w:val="24"/>
        </w:rPr>
        <w:t xml:space="preserve"> </w:t>
      </w:r>
    </w:p>
    <w:p w:rsidR="007617AD" w:rsidRDefault="00EE75C8">
      <w:pPr>
        <w:spacing w:after="2" w:line="259" w:lineRule="auto"/>
        <w:ind w:left="1416" w:firstLine="0"/>
        <w:jc w:val="left"/>
      </w:pPr>
      <w:r>
        <w:t xml:space="preserve"> </w:t>
      </w:r>
    </w:p>
    <w:p w:rsidR="007617AD" w:rsidRDefault="00EE75C8">
      <w:pPr>
        <w:numPr>
          <w:ilvl w:val="0"/>
          <w:numId w:val="73"/>
        </w:numPr>
        <w:spacing w:after="0"/>
        <w:ind w:right="62" w:hanging="360"/>
      </w:pPr>
      <w:r>
        <w:rPr>
          <w:b/>
        </w:rPr>
        <w:t xml:space="preserve">Régimen jurídico: </w:t>
      </w:r>
      <w:r>
        <w:t>el funcionamie</w:t>
      </w:r>
      <w:r>
        <w:t>nto de la Comisión, en todo lo no previsto por esta norma, se regirá por las normas establecidas en la Ley 40/2015, de 1 de octubre, para el funcionamiento de los órganos colegiados.</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ind w:left="703" w:right="58"/>
      </w:pPr>
      <w:r>
        <w:rPr>
          <w:b/>
        </w:rPr>
        <w:t>SEXTA. -  MODIFICACIÓN Y RESOLUCIÓN DEL CONVENIO.</w:t>
      </w:r>
      <w:r>
        <w:rPr>
          <w:rFonts w:ascii="Times New Roman" w:eastAsia="Times New Roman" w:hAnsi="Times New Roman" w:cs="Times New Roman"/>
          <w:sz w:val="24"/>
        </w:rPr>
        <w:t xml:space="preserve"> </w:t>
      </w:r>
    </w:p>
    <w:p w:rsidR="007617AD" w:rsidRDefault="00EE75C8">
      <w:pPr>
        <w:ind w:left="703" w:right="62"/>
      </w:pPr>
      <w:r>
        <w:t>Cualquiera de las</w:t>
      </w:r>
      <w:r>
        <w:t xml:space="preserve"> partes podrá promover la revisión del Convenio para incorporar aspectos no previstos, modificarlo o ampliarlo en su alcance y contenido, debiendo comunicarlo con un plazo mínimo de antelación de dos meses.</w:t>
      </w:r>
      <w:r>
        <w:rPr>
          <w:b/>
        </w:rPr>
        <w:t xml:space="preserve"> </w:t>
      </w:r>
      <w:r>
        <w:rPr>
          <w:rFonts w:ascii="Times New Roman" w:eastAsia="Times New Roman" w:hAnsi="Times New Roman" w:cs="Times New Roman"/>
          <w:sz w:val="24"/>
        </w:rPr>
        <w:t xml:space="preserve"> </w:t>
      </w:r>
    </w:p>
    <w:p w:rsidR="007617AD" w:rsidRDefault="00EE75C8">
      <w:pPr>
        <w:ind w:left="703" w:right="62"/>
      </w:pPr>
      <w:r>
        <w:t>El presente Convenio se extinguirá por terminac</w:t>
      </w:r>
      <w:r>
        <w:t xml:space="preserve">ión de su plazo o si concurriesen las causas de resolución a que se refiere el art. 51.2 de la Ley 40/2015, de 1 de octubre. </w:t>
      </w:r>
      <w:r>
        <w:rPr>
          <w:rFonts w:ascii="Times New Roman" w:eastAsia="Times New Roman" w:hAnsi="Times New Roman" w:cs="Times New Roman"/>
          <w:sz w:val="24"/>
        </w:rPr>
        <w:t xml:space="preserve"> </w:t>
      </w:r>
    </w:p>
    <w:p w:rsidR="007617AD" w:rsidRDefault="00EE75C8">
      <w:pPr>
        <w:ind w:left="703" w:right="62"/>
      </w:pPr>
      <w:r>
        <w:t xml:space="preserve">En caso de resolución del </w:t>
      </w:r>
      <w:r>
        <w:t>Convenio, las partes quedan obligadas al cumplimiento de sus respectivos compromisos hasta la fecha en que ésta se produzca. Los efectos de la resolución se adecuarán a lo establecido por el artículo 52 de la Ley 40/2015, de 1 de octubre.</w:t>
      </w:r>
      <w:r>
        <w:rPr>
          <w:b/>
        </w:rPr>
        <w:t xml:space="preserve"> </w:t>
      </w:r>
      <w:r>
        <w:rPr>
          <w:rFonts w:ascii="Times New Roman" w:eastAsia="Times New Roman" w:hAnsi="Times New Roman" w:cs="Times New Roman"/>
          <w:sz w:val="24"/>
        </w:rPr>
        <w:t xml:space="preserve"> </w:t>
      </w:r>
    </w:p>
    <w:p w:rsidR="007617AD" w:rsidRDefault="00EE75C8">
      <w:pPr>
        <w:spacing w:after="0" w:line="259" w:lineRule="auto"/>
        <w:ind w:left="699" w:firstLine="0"/>
        <w:jc w:val="left"/>
      </w:pPr>
      <w:r>
        <w:rPr>
          <w:b/>
        </w:rPr>
        <w:t xml:space="preserve"> </w:t>
      </w:r>
    </w:p>
    <w:p w:rsidR="007617AD" w:rsidRDefault="00EE75C8">
      <w:pPr>
        <w:ind w:left="703" w:right="58"/>
      </w:pPr>
      <w:r>
        <w:rPr>
          <w:b/>
        </w:rPr>
        <w:t>SÉPTIMA. - VI</w:t>
      </w:r>
      <w:r>
        <w:rPr>
          <w:b/>
        </w:rPr>
        <w:t xml:space="preserve">GENCIA. </w:t>
      </w:r>
    </w:p>
    <w:p w:rsidR="007617AD" w:rsidRDefault="00EE75C8">
      <w:pPr>
        <w:ind w:left="703" w:right="62"/>
      </w:pPr>
      <w:r>
        <w:t xml:space="preserve">El presente Convenio tendrá una vigencia de </w:t>
      </w:r>
      <w:r>
        <w:rPr>
          <w:b/>
        </w:rPr>
        <w:t>cuatro (4) años,</w:t>
      </w:r>
      <w:r>
        <w:t xml:space="preserve"> a contar desde el día de su firma,</w:t>
      </w:r>
      <w:r>
        <w:rPr>
          <w:b/>
        </w:rPr>
        <w:t xml:space="preserve"> </w:t>
      </w:r>
      <w:r>
        <w:t xml:space="preserve">prorrogables a otros cuatro (4) años más. </w:t>
      </w:r>
      <w:r>
        <w:rPr>
          <w:rFonts w:ascii="Times New Roman" w:eastAsia="Times New Roman" w:hAnsi="Times New Roman" w:cs="Times New Roman"/>
          <w:sz w:val="24"/>
        </w:rPr>
        <w:t xml:space="preserve"> </w:t>
      </w:r>
    </w:p>
    <w:p w:rsidR="007617AD" w:rsidRDefault="00EE75C8">
      <w:pPr>
        <w:spacing w:after="134"/>
        <w:ind w:left="703" w:right="62"/>
      </w:pPr>
      <w:r>
        <w:t>No obstante, se establecen las siguientes Fases para la aplicación efectiva de los compromisos económicos r</w:t>
      </w:r>
      <w:r>
        <w:t xml:space="preserve">egulados en la cláusula cuarta: </w:t>
      </w:r>
    </w:p>
    <w:p w:rsidR="007617AD" w:rsidRDefault="00EE75C8">
      <w:pPr>
        <w:spacing w:after="137"/>
        <w:ind w:left="703" w:right="58"/>
      </w:pPr>
      <w:r>
        <w:rPr>
          <w:b/>
        </w:rPr>
        <w:t xml:space="preserve">FASE I: Desde la fecha de firma del presente convenio hasta la fecha de recepción de la EDARI (prevista para el mes de enero de 2023). </w:t>
      </w:r>
    </w:p>
    <w:p w:rsidR="007617AD" w:rsidRDefault="00EE75C8">
      <w:pPr>
        <w:spacing w:after="137"/>
        <w:ind w:left="703" w:right="62"/>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8498" name="Group 27849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5253" name="Rectangle 25253"/>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5254" name="Rectangle 25254"/>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139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8498" style="width:12.7031pt;height:280.02pt;position:absolute;mso-position-horizontal-relative:page;mso-position-horizontal:absolute;margin-left:682.278pt;mso-position-vertical-relative:page;margin-top:531.9pt;" coordsize="1613,35562">
                <v:rect id="Rectangle 25253"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5254"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139 de 192 </w:t>
                        </w:r>
                      </w:p>
                    </w:txbxContent>
                  </v:textbox>
                </v:rect>
                <w10:wrap type="square"/>
              </v:group>
            </w:pict>
          </mc:Fallback>
        </mc:AlternateContent>
      </w:r>
      <w:r>
        <w:t>El CIATF no emitirá notas de cargo a los Ayuntamientos asumie</w:t>
      </w:r>
      <w:r>
        <w:t xml:space="preserve">ndo con cargo a su presupuesto los costes derivados del tratamiento secundario y físico químico de los caudales de la EDARI. </w:t>
      </w:r>
    </w:p>
    <w:p w:rsidR="007617AD" w:rsidRDefault="00EE75C8">
      <w:pPr>
        <w:spacing w:after="134"/>
        <w:ind w:left="703" w:right="58"/>
      </w:pPr>
      <w:r>
        <w:rPr>
          <w:b/>
        </w:rPr>
        <w:t>FASE II: Desde la fecha de recepción de la EDARI hasta la fecha de puesta en funcionamiento de la EDARU (prevista para el mes de e</w:t>
      </w:r>
      <w:r>
        <w:rPr>
          <w:b/>
        </w:rPr>
        <w:t xml:space="preserve">nero de 2025). </w:t>
      </w:r>
    </w:p>
    <w:p w:rsidR="007617AD" w:rsidRDefault="00EE75C8">
      <w:pPr>
        <w:spacing w:after="137"/>
        <w:ind w:left="703" w:right="62"/>
      </w:pPr>
      <w:r>
        <w:t>El CIATF emitirá a partir de la recepción de la EDARI (prevista para el mes de enero de 2023) las notas de cargo correspondientes a la operación y mantenimiento de la EDARI de acuerdo a lo regulado en la cláusula cuarta incluyendo los coste</w:t>
      </w:r>
      <w:r>
        <w:t xml:space="preserve">s en que se haya incurrido desde la puesta en funcionamiento del servicio tras la recepción de las obras. </w:t>
      </w:r>
    </w:p>
    <w:p w:rsidR="007617AD" w:rsidRDefault="00EE75C8">
      <w:pPr>
        <w:spacing w:after="134"/>
        <w:ind w:left="703" w:right="58"/>
      </w:pPr>
      <w:r>
        <w:rPr>
          <w:b/>
        </w:rPr>
        <w:t xml:space="preserve">FASE III: Desde la fecha de puesta en funcionamiento de la EDARU (prevista para el mes de enero de 2025). </w:t>
      </w:r>
    </w:p>
    <w:p w:rsidR="007617AD" w:rsidRDefault="00EE75C8">
      <w:pPr>
        <w:spacing w:after="134"/>
        <w:ind w:left="703" w:right="62"/>
      </w:pPr>
      <w:r>
        <w:t>El CIATF emitirá a partir del mes de enero</w:t>
      </w:r>
      <w:r>
        <w:t xml:space="preserve"> de 2025 las notas de cargo correspondientes a la operación y mantenimiento de la EDARI y de la EDARU de acuerdo a lo regulado en la cláusula cuarta. </w:t>
      </w:r>
    </w:p>
    <w:p w:rsidR="007617AD" w:rsidRDefault="00EE75C8">
      <w:pPr>
        <w:ind w:left="703" w:right="62"/>
      </w:pPr>
      <w:r>
        <w:t>Las fechas señaladas tienen carácter indicativo pudiendo verse modificadas atendiendo al cronograma de ej</w:t>
      </w:r>
      <w:r>
        <w:t xml:space="preserve">ecución de las obras, lo cual requerirá la correspondiente modificación y reajuste de anualidades que deberá ser aprobada por las Administraciones firmantes y formalizada en la correspondiente Adenda. </w:t>
      </w:r>
    </w:p>
    <w:p w:rsidR="007617AD" w:rsidRDefault="00EE75C8">
      <w:pPr>
        <w:ind w:left="703" w:right="58"/>
      </w:pPr>
      <w:r>
        <w:rPr>
          <w:b/>
        </w:rPr>
        <w:t xml:space="preserve">OCTAVA. - RÉGIMEN JURÍDICO, SOLUCIÓN DE CONTROVERSIAS </w:t>
      </w:r>
      <w:r>
        <w:rPr>
          <w:b/>
        </w:rPr>
        <w:t>Y JURISDICCIÓN.</w:t>
      </w:r>
      <w:r>
        <w:rPr>
          <w:rFonts w:ascii="Times New Roman" w:eastAsia="Times New Roman" w:hAnsi="Times New Roman" w:cs="Times New Roman"/>
          <w:sz w:val="24"/>
        </w:rPr>
        <w:t xml:space="preserve"> </w:t>
      </w:r>
    </w:p>
    <w:p w:rsidR="007617AD" w:rsidRDefault="00EE75C8">
      <w:pPr>
        <w:spacing w:after="17"/>
        <w:ind w:left="703" w:right="62"/>
      </w:pPr>
      <w:r>
        <w:t xml:space="preserve">El presente convenio tiene naturaleza administrativa y está excluido del ámbito de aplicación de la Ley 9/2017, de Contratos del Sector Público conforme a lo establecido en el apartado 2 de su art. </w:t>
      </w:r>
    </w:p>
    <w:p w:rsidR="007617AD" w:rsidRDefault="00EE75C8">
      <w:pPr>
        <w:ind w:left="703" w:right="62"/>
      </w:pPr>
      <w:r>
        <w:t>6. Todo ello sin perjuicio de la aplicac</w:t>
      </w:r>
      <w:r>
        <w:t>ión de los principios de la citada norma para resolver las dudas y lagunas que pudieran presentarse, según dispone su artículo 4.</w:t>
      </w:r>
      <w:r>
        <w:rPr>
          <w:rFonts w:ascii="Times New Roman" w:eastAsia="Times New Roman" w:hAnsi="Times New Roman" w:cs="Times New Roman"/>
          <w:sz w:val="24"/>
        </w:rPr>
        <w:t xml:space="preserve"> </w:t>
      </w:r>
    </w:p>
    <w:p w:rsidR="007617AD" w:rsidRDefault="00EE75C8">
      <w:pPr>
        <w:spacing w:after="137"/>
        <w:ind w:left="703" w:right="62"/>
      </w:pPr>
      <w:r>
        <w:t>Las partes, interpretarán, desarrollarán y ejecutarán el contenido del presente convenio teniendo en cuenta los fines que con</w:t>
      </w:r>
      <w:r>
        <w:t xml:space="preserve"> el mismo se persiguen, comprometiéndose a resolver de buena fe y común acuerdo todas las cuestiones que puedan surgir en relación con su interpretación y ejecución. </w:t>
      </w:r>
    </w:p>
    <w:p w:rsidR="007617AD" w:rsidRDefault="00EE75C8">
      <w:pPr>
        <w:spacing w:after="134"/>
        <w:ind w:left="703" w:right="62"/>
      </w:pPr>
      <w:r>
        <w:t>En defecto de acuerdo cualquiera de las partes podrá recabar la tutela de los Tribunales.</w:t>
      </w:r>
      <w:r>
        <w:t xml:space="preserve"> A tales efectos para cualquier divergencia o litigio que pueda surgir o derivarse de este convenio, las partes se someten voluntariamente a la jurisdicción contencioso-administrativa de los Jueces y Tribunales de Santa Cruz de Tenerife, conforme a lo esta</w:t>
      </w:r>
      <w:r>
        <w:t xml:space="preserve">blecido en la normativa de aplicación. </w:t>
      </w:r>
    </w:p>
    <w:p w:rsidR="007617AD" w:rsidRDefault="00EE75C8">
      <w:pPr>
        <w:spacing w:after="95" w:line="248" w:lineRule="auto"/>
        <w:ind w:left="703" w:right="34"/>
        <w:jc w:val="left"/>
      </w:pPr>
      <w:r>
        <w:t xml:space="preserve">En </w:t>
      </w:r>
      <w:r>
        <w:t>todo lo no previsto en el presente convenio se estará a lo dispuesto en la Ley 40/2015, de 1 de octubre de Régimen Jurídico del Sector Público, y cualquier otra disposición normativa que por su naturaleza pudiera resultar de aplicación.</w:t>
      </w:r>
      <w:r>
        <w:rPr>
          <w:b/>
        </w:rPr>
        <w:t xml:space="preserve"> </w:t>
      </w:r>
      <w:r>
        <w:rPr>
          <w:rFonts w:ascii="Times New Roman" w:eastAsia="Times New Roman" w:hAnsi="Times New Roman" w:cs="Times New Roman"/>
          <w:sz w:val="24"/>
        </w:rPr>
        <w:t xml:space="preserve"> </w:t>
      </w:r>
    </w:p>
    <w:p w:rsidR="007617AD" w:rsidRDefault="00EE75C8">
      <w:pPr>
        <w:spacing w:after="119" w:line="259" w:lineRule="auto"/>
        <w:ind w:left="708" w:firstLine="0"/>
        <w:jc w:val="left"/>
      </w:pPr>
      <w:r>
        <w:t xml:space="preserve"> </w:t>
      </w:r>
    </w:p>
    <w:p w:rsidR="007617AD" w:rsidRDefault="00EE75C8">
      <w:pPr>
        <w:ind w:left="703" w:right="62"/>
      </w:pPr>
      <w:r>
        <w:t xml:space="preserve">Y para que así </w:t>
      </w:r>
      <w:r>
        <w:t xml:space="preserve">conste, en prueba de conformidad, las Partes firman el presente documento, por cuadruplicado ejemplar y a un solo efecto. </w:t>
      </w:r>
    </w:p>
    <w:p w:rsidR="007617AD" w:rsidRDefault="00EE75C8">
      <w:pPr>
        <w:spacing w:after="0" w:line="259" w:lineRule="auto"/>
        <w:ind w:left="708" w:firstLine="0"/>
        <w:jc w:val="left"/>
      </w:pPr>
      <w:r>
        <w:rPr>
          <w:b/>
        </w:rPr>
        <w:t xml:space="preserve"> </w:t>
      </w:r>
    </w:p>
    <w:p w:rsidR="007617AD" w:rsidRDefault="00EE75C8">
      <w:pPr>
        <w:spacing w:after="11"/>
        <w:ind w:left="826" w:right="1335"/>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8211" name="Group 278211"/>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5392" name="Rectangle 2539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5393" name="Rectangle 25393"/>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w:t>
                              </w:r>
                              <w:r>
                                <w:rPr>
                                  <w:sz w:val="12"/>
                                </w:rPr>
                                <w:t xml:space="preserve">amente desde la plataforma esPublico Gestiona | Página 140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8211" style="width:12.7031pt;height:280.02pt;position:absolute;mso-position-horizontal-relative:page;mso-position-horizontal:absolute;margin-left:682.278pt;mso-position-vertical-relative:page;margin-top:531.9pt;" coordsize="1613,35562">
                <v:rect id="Rectangle 2539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5393"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140 de 192 </w:t>
                        </w:r>
                      </w:p>
                    </w:txbxContent>
                  </v:textbox>
                </v:rect>
                <w10:wrap type="square"/>
              </v:group>
            </w:pict>
          </mc:Fallback>
        </mc:AlternateContent>
      </w:r>
      <w:r>
        <w:rPr>
          <w:b/>
        </w:rPr>
        <w:t xml:space="preserve">                    El Presidente  </w:t>
      </w:r>
      <w:r>
        <w:rPr>
          <w:b/>
        </w:rPr>
        <w:tab/>
        <w:t xml:space="preserve">La Alcaldesa-Presidenta  del Consejo Insular de Aguas de Tenerife </w:t>
      </w:r>
      <w:r>
        <w:rPr>
          <w:b/>
        </w:rPr>
        <w:tab/>
        <w:t xml:space="preserve">del Ayuntamiento de Candelaria </w:t>
      </w:r>
    </w:p>
    <w:tbl>
      <w:tblPr>
        <w:tblStyle w:val="TableGrid"/>
        <w:tblW w:w="8189" w:type="dxa"/>
        <w:tblInd w:w="816" w:type="dxa"/>
        <w:tblCellMar>
          <w:top w:w="0" w:type="dxa"/>
          <w:left w:w="0" w:type="dxa"/>
          <w:bottom w:w="0" w:type="dxa"/>
          <w:right w:w="0" w:type="dxa"/>
        </w:tblCellMar>
        <w:tblLook w:val="04A0" w:firstRow="1" w:lastRow="0" w:firstColumn="1" w:lastColumn="0" w:noHBand="0" w:noVBand="1"/>
      </w:tblPr>
      <w:tblGrid>
        <w:gridCol w:w="4537"/>
        <w:gridCol w:w="281"/>
        <w:gridCol w:w="3372"/>
      </w:tblGrid>
      <w:tr w:rsidR="007617AD">
        <w:trPr>
          <w:trHeight w:val="1009"/>
        </w:trPr>
        <w:tc>
          <w:tcPr>
            <w:tcW w:w="4537" w:type="dxa"/>
            <w:tcBorders>
              <w:top w:val="nil"/>
              <w:left w:val="nil"/>
              <w:bottom w:val="nil"/>
              <w:right w:val="nil"/>
            </w:tcBorders>
          </w:tcPr>
          <w:p w:rsidR="007617AD" w:rsidRDefault="00EE75C8">
            <w:pPr>
              <w:spacing w:after="0" w:line="259" w:lineRule="auto"/>
              <w:ind w:left="0" w:right="155" w:firstLine="0"/>
              <w:jc w:val="center"/>
            </w:pPr>
            <w:r>
              <w:rPr>
                <w:b/>
              </w:rPr>
              <w:t xml:space="preserve"> </w:t>
            </w:r>
          </w:p>
          <w:p w:rsidR="007617AD" w:rsidRDefault="00EE75C8">
            <w:pPr>
              <w:spacing w:after="0" w:line="259" w:lineRule="auto"/>
              <w:ind w:left="0" w:firstLine="0"/>
              <w:jc w:val="left"/>
            </w:pPr>
            <w:r>
              <w:rPr>
                <w:b/>
              </w:rPr>
              <w:t xml:space="preserve"> </w:t>
            </w:r>
          </w:p>
          <w:p w:rsidR="007617AD" w:rsidRDefault="00EE75C8">
            <w:pPr>
              <w:spacing w:after="0" w:line="259" w:lineRule="auto"/>
              <w:ind w:left="0" w:right="218" w:firstLine="0"/>
              <w:jc w:val="center"/>
            </w:pPr>
            <w:r>
              <w:t xml:space="preserve">D. Pedro M. Martín Domínguez </w:t>
            </w:r>
          </w:p>
          <w:p w:rsidR="007617AD" w:rsidRDefault="00EE75C8">
            <w:pPr>
              <w:spacing w:after="0" w:line="259" w:lineRule="auto"/>
              <w:ind w:left="0" w:firstLine="0"/>
              <w:jc w:val="left"/>
            </w:pPr>
            <w:r>
              <w:rPr>
                <w:b/>
              </w:rPr>
              <w:t xml:space="preserve"> </w:t>
            </w:r>
          </w:p>
        </w:tc>
        <w:tc>
          <w:tcPr>
            <w:tcW w:w="281" w:type="dxa"/>
            <w:tcBorders>
              <w:top w:val="nil"/>
              <w:left w:val="nil"/>
              <w:bottom w:val="nil"/>
              <w:right w:val="nil"/>
            </w:tcBorders>
          </w:tcPr>
          <w:p w:rsidR="007617AD" w:rsidRDefault="00EE75C8">
            <w:pPr>
              <w:spacing w:after="0" w:line="259" w:lineRule="auto"/>
              <w:ind w:left="0" w:firstLine="0"/>
              <w:jc w:val="left"/>
            </w:pPr>
            <w:r>
              <w:rPr>
                <w:b/>
              </w:rPr>
              <w:t xml:space="preserve"> </w:t>
            </w:r>
          </w:p>
        </w:tc>
        <w:tc>
          <w:tcPr>
            <w:tcW w:w="3372" w:type="dxa"/>
            <w:tcBorders>
              <w:top w:val="nil"/>
              <w:left w:val="nil"/>
              <w:bottom w:val="nil"/>
              <w:right w:val="nil"/>
            </w:tcBorders>
          </w:tcPr>
          <w:p w:rsidR="007617AD" w:rsidRDefault="00EE75C8">
            <w:pPr>
              <w:spacing w:after="235" w:line="259" w:lineRule="auto"/>
              <w:ind w:left="21" w:firstLine="0"/>
              <w:jc w:val="center"/>
            </w:pPr>
            <w:r>
              <w:rPr>
                <w:b/>
              </w:rPr>
              <w:t xml:space="preserve"> </w:t>
            </w:r>
          </w:p>
          <w:p w:rsidR="007617AD" w:rsidRDefault="00EE75C8">
            <w:pPr>
              <w:spacing w:after="0" w:line="259" w:lineRule="auto"/>
              <w:ind w:left="24" w:firstLine="0"/>
            </w:pPr>
            <w:r>
              <w:t xml:space="preserve">Dª Maria Concepción Brito Núñez </w:t>
            </w:r>
          </w:p>
        </w:tc>
      </w:tr>
      <w:tr w:rsidR="007617AD">
        <w:trPr>
          <w:trHeight w:val="1263"/>
        </w:trPr>
        <w:tc>
          <w:tcPr>
            <w:tcW w:w="4537" w:type="dxa"/>
            <w:tcBorders>
              <w:top w:val="nil"/>
              <w:left w:val="nil"/>
              <w:bottom w:val="nil"/>
              <w:right w:val="nil"/>
            </w:tcBorders>
          </w:tcPr>
          <w:p w:rsidR="007617AD" w:rsidRDefault="00EE75C8">
            <w:pPr>
              <w:spacing w:after="2" w:line="238" w:lineRule="auto"/>
              <w:ind w:left="770" w:right="816" w:firstLine="266"/>
            </w:pPr>
            <w:r>
              <w:rPr>
                <w:b/>
              </w:rPr>
              <w:t xml:space="preserve">El Alcalde-Presidente  del Ayuntamiento de Arafo </w:t>
            </w:r>
          </w:p>
          <w:p w:rsidR="007617AD" w:rsidRDefault="00EE75C8">
            <w:pPr>
              <w:spacing w:after="0" w:line="259" w:lineRule="auto"/>
              <w:ind w:left="0" w:firstLine="0"/>
              <w:jc w:val="left"/>
            </w:pPr>
            <w:r>
              <w:rPr>
                <w:b/>
              </w:rPr>
              <w:t xml:space="preserve"> </w:t>
            </w:r>
          </w:p>
          <w:p w:rsidR="007617AD" w:rsidRDefault="00EE75C8">
            <w:pPr>
              <w:spacing w:after="0" w:line="259" w:lineRule="auto"/>
              <w:ind w:left="0" w:firstLine="0"/>
              <w:jc w:val="left"/>
            </w:pPr>
            <w:r>
              <w:rPr>
                <w:b/>
              </w:rPr>
              <w:t xml:space="preserve"> </w:t>
            </w:r>
          </w:p>
          <w:p w:rsidR="007617AD" w:rsidRDefault="00EE75C8">
            <w:pPr>
              <w:spacing w:after="0" w:line="259" w:lineRule="auto"/>
              <w:ind w:left="0" w:right="216" w:firstLine="0"/>
              <w:jc w:val="center"/>
            </w:pPr>
            <w:r>
              <w:t xml:space="preserve">D. José Ramón Martín Pérez </w:t>
            </w:r>
          </w:p>
        </w:tc>
        <w:tc>
          <w:tcPr>
            <w:tcW w:w="281" w:type="dxa"/>
            <w:tcBorders>
              <w:top w:val="nil"/>
              <w:left w:val="nil"/>
              <w:bottom w:val="nil"/>
              <w:right w:val="nil"/>
            </w:tcBorders>
            <w:vAlign w:val="bottom"/>
          </w:tcPr>
          <w:p w:rsidR="007617AD" w:rsidRDefault="00EE75C8">
            <w:pPr>
              <w:spacing w:after="0" w:line="259" w:lineRule="auto"/>
              <w:ind w:left="0" w:firstLine="0"/>
              <w:jc w:val="left"/>
            </w:pPr>
            <w:r>
              <w:rPr>
                <w:b/>
              </w:rPr>
              <w:t xml:space="preserve"> </w:t>
            </w:r>
          </w:p>
        </w:tc>
        <w:tc>
          <w:tcPr>
            <w:tcW w:w="3372" w:type="dxa"/>
            <w:tcBorders>
              <w:top w:val="nil"/>
              <w:left w:val="nil"/>
              <w:bottom w:val="nil"/>
              <w:right w:val="nil"/>
            </w:tcBorders>
          </w:tcPr>
          <w:p w:rsidR="007617AD" w:rsidRDefault="00EE75C8">
            <w:pPr>
              <w:spacing w:after="2" w:line="238" w:lineRule="auto"/>
              <w:ind w:left="146" w:right="183" w:firstLine="399"/>
              <w:jc w:val="left"/>
            </w:pPr>
            <w:r>
              <w:rPr>
                <w:b/>
              </w:rPr>
              <w:t xml:space="preserve">El Alcalde-Presidente  del Ayuntamiento de Güímar </w:t>
            </w:r>
          </w:p>
          <w:p w:rsidR="007617AD" w:rsidRDefault="00EE75C8">
            <w:pPr>
              <w:spacing w:after="232" w:line="259" w:lineRule="auto"/>
              <w:ind w:left="428" w:firstLine="0"/>
              <w:jc w:val="left"/>
            </w:pPr>
            <w:r>
              <w:rPr>
                <w:b/>
              </w:rPr>
              <w:t xml:space="preserve"> </w:t>
            </w:r>
          </w:p>
          <w:p w:rsidR="007617AD" w:rsidRDefault="00EE75C8">
            <w:pPr>
              <w:spacing w:after="0" w:line="259" w:lineRule="auto"/>
              <w:ind w:left="0" w:right="40" w:firstLine="0"/>
              <w:jc w:val="center"/>
            </w:pPr>
            <w:r>
              <w:t xml:space="preserve">D. Gustavo Pérez Martín </w:t>
            </w:r>
          </w:p>
        </w:tc>
      </w:tr>
    </w:tbl>
    <w:p w:rsidR="007617AD" w:rsidRDefault="00EE75C8">
      <w:pPr>
        <w:spacing w:after="0" w:line="259" w:lineRule="auto"/>
        <w:ind w:left="426" w:firstLine="0"/>
        <w:jc w:val="center"/>
      </w:pPr>
      <w:r>
        <w:rPr>
          <w:b/>
        </w:rPr>
        <w:t xml:space="preserve"> </w:t>
      </w:r>
    </w:p>
    <w:p w:rsidR="007617AD" w:rsidRDefault="00EE75C8">
      <w:pPr>
        <w:spacing w:after="0" w:line="259" w:lineRule="auto"/>
        <w:ind w:left="695" w:firstLine="0"/>
        <w:jc w:val="center"/>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4"/>
        <w:ind w:left="1275" w:right="830" w:firstLine="631"/>
        <w:jc w:val="left"/>
      </w:pPr>
      <w:r>
        <w:rPr>
          <w:b/>
        </w:rPr>
        <w:t xml:space="preserve">La Secretaria Delegada Acctal. </w:t>
      </w:r>
      <w:r>
        <w:rPr>
          <w:b/>
        </w:rPr>
        <w:tab/>
        <w:t xml:space="preserve"> </w:t>
      </w:r>
      <w:r>
        <w:rPr>
          <w:b/>
        </w:rPr>
        <w:t xml:space="preserve">El Secretario General   del Consejo Insular de Aguas de Tenerife </w:t>
      </w:r>
      <w:r>
        <w:rPr>
          <w:b/>
        </w:rPr>
        <w:tab/>
        <w:t xml:space="preserve">del Ayuntamiento de Candelaria  </w:t>
      </w:r>
      <w:r>
        <w:rPr>
          <w:b/>
        </w:rPr>
        <w:tab/>
        <w:t xml:space="preserve"> </w:t>
      </w:r>
    </w:p>
    <w:p w:rsidR="007617AD" w:rsidRDefault="00EE75C8">
      <w:pPr>
        <w:tabs>
          <w:tab w:val="center" w:pos="3505"/>
          <w:tab w:val="center" w:pos="7830"/>
        </w:tabs>
        <w:spacing w:after="11"/>
        <w:ind w:left="0" w:firstLine="0"/>
        <w:jc w:val="left"/>
      </w:pPr>
      <w:r>
        <w:rPr>
          <w:rFonts w:ascii="Calibri" w:eastAsia="Calibri" w:hAnsi="Calibri" w:cs="Calibri"/>
        </w:rPr>
        <w:tab/>
      </w:r>
      <w:r>
        <w:t xml:space="preserve">Dª Mª de la O González León </w:t>
      </w:r>
      <w:r>
        <w:tab/>
        <w:t>D. Octavio M. Fernández Hernández</w:t>
      </w:r>
      <w:r>
        <w:rPr>
          <w:rFonts w:ascii="Times New Roman" w:eastAsia="Times New Roman" w:hAnsi="Times New Roman" w:cs="Times New Roman"/>
          <w:sz w:val="24"/>
        </w:rPr>
        <w:t xml:space="preserve"> </w:t>
      </w:r>
    </w:p>
    <w:p w:rsidR="007617AD" w:rsidRDefault="00EE75C8">
      <w:pPr>
        <w:spacing w:after="0" w:line="259" w:lineRule="auto"/>
        <w:ind w:left="3505" w:firstLine="0"/>
        <w:jc w:val="left"/>
      </w:pPr>
      <w:r>
        <w:rPr>
          <w:b/>
        </w:rPr>
        <w:t xml:space="preserve"> </w:t>
      </w:r>
      <w:r>
        <w:rPr>
          <w:b/>
        </w:rPr>
        <w:tab/>
        <w:t xml:space="preserve"> </w:t>
      </w:r>
    </w:p>
    <w:p w:rsidR="007617AD" w:rsidRDefault="00EE75C8">
      <w:pPr>
        <w:spacing w:after="0" w:line="259" w:lineRule="auto"/>
        <w:ind w:left="3505" w:firstLine="0"/>
        <w:jc w:val="left"/>
      </w:pPr>
      <w:r>
        <w:rPr>
          <w:b/>
        </w:rPr>
        <w:t xml:space="preserve"> </w:t>
      </w:r>
      <w:r>
        <w:rPr>
          <w:b/>
        </w:rPr>
        <w:tab/>
        <w:t xml:space="preserve"> </w:t>
      </w:r>
    </w:p>
    <w:p w:rsidR="007617AD" w:rsidRDefault="00EE75C8">
      <w:pPr>
        <w:spacing w:after="11"/>
        <w:ind w:left="2117" w:right="941" w:firstLine="257"/>
      </w:pPr>
      <w:r>
        <w:rPr>
          <w:b/>
        </w:rPr>
        <w:t xml:space="preserve">La Secretaria General  La Secretaria General  del Ayuntamiento de Arafo </w:t>
      </w:r>
      <w:r>
        <w:rPr>
          <w:b/>
        </w:rPr>
        <w:t xml:space="preserve">del Ayuntamiento de Güímar </w:t>
      </w:r>
    </w:p>
    <w:p w:rsidR="007617AD" w:rsidRDefault="00EE75C8">
      <w:pPr>
        <w:spacing w:after="0" w:line="259" w:lineRule="auto"/>
        <w:ind w:left="1275" w:firstLine="0"/>
        <w:jc w:val="left"/>
      </w:pPr>
      <w:r>
        <w:t xml:space="preserve"> </w:t>
      </w:r>
      <w:r>
        <w:tab/>
      </w:r>
      <w:r>
        <w:rPr>
          <w:b/>
        </w:rPr>
        <w:t xml:space="preserve">   </w:t>
      </w:r>
      <w:r>
        <w:rPr>
          <w:rFonts w:ascii="Times New Roman" w:eastAsia="Times New Roman" w:hAnsi="Times New Roman" w:cs="Times New Roman"/>
          <w:sz w:val="24"/>
        </w:rPr>
        <w:t xml:space="preserve"> </w:t>
      </w:r>
    </w:p>
    <w:p w:rsidR="007617AD" w:rsidRDefault="00EE75C8">
      <w:pPr>
        <w:tabs>
          <w:tab w:val="center" w:pos="3505"/>
          <w:tab w:val="center" w:pos="7792"/>
        </w:tabs>
        <w:spacing w:after="22"/>
        <w:ind w:left="0" w:firstLine="0"/>
        <w:jc w:val="left"/>
      </w:pPr>
      <w:r>
        <w:rPr>
          <w:rFonts w:ascii="Calibri" w:eastAsia="Calibri" w:hAnsi="Calibri" w:cs="Calibri"/>
        </w:rPr>
        <w:tab/>
      </w:r>
      <w:r>
        <w:t xml:space="preserve">Dª Ruth Cristina Arteaga González </w:t>
      </w:r>
      <w:r>
        <w:tab/>
        <w:t xml:space="preserve">Dª María Isabel Santos </w:t>
      </w:r>
    </w:p>
    <w:p w:rsidR="007617AD" w:rsidRDefault="00EE75C8">
      <w:pPr>
        <w:spacing w:after="6" w:line="252" w:lineRule="auto"/>
        <w:ind w:left="2313"/>
        <w:jc w:val="center"/>
      </w:pPr>
      <w:r>
        <w:t xml:space="preserve">García" </w:t>
      </w:r>
    </w:p>
    <w:p w:rsidR="007617AD" w:rsidRDefault="00EE75C8">
      <w:pPr>
        <w:spacing w:after="0" w:line="259" w:lineRule="auto"/>
        <w:ind w:left="699" w:firstLine="0"/>
        <w:jc w:val="center"/>
      </w:pPr>
      <w:r>
        <w:t xml:space="preserve"> </w:t>
      </w:r>
    </w:p>
    <w:p w:rsidR="007617AD" w:rsidRDefault="00EE75C8">
      <w:pPr>
        <w:spacing w:after="0" w:line="259" w:lineRule="auto"/>
        <w:ind w:left="708" w:firstLine="0"/>
        <w:jc w:val="left"/>
      </w:pPr>
      <w:r>
        <w:rPr>
          <w:b/>
        </w:rPr>
        <w:t xml:space="preserve"> </w:t>
      </w:r>
    </w:p>
    <w:p w:rsidR="007617AD" w:rsidRDefault="00EE75C8">
      <w:pPr>
        <w:ind w:left="703" w:right="58"/>
      </w:pPr>
      <w:r>
        <w:rPr>
          <w:b/>
        </w:rPr>
        <w:t xml:space="preserve">“ </w:t>
      </w:r>
    </w:p>
    <w:p w:rsidR="007617AD" w:rsidRDefault="00EE75C8">
      <w:pPr>
        <w:spacing w:after="0"/>
        <w:ind w:left="703" w:right="58"/>
      </w:pPr>
      <w:r>
        <w:rPr>
          <w:b/>
        </w:rPr>
        <w:t xml:space="preserve">DICTAMEN FAVORABLE DE LA COMISIÓN INFORMATIVA DE P.G. URBANÍSTICA Y AMBIENTAL, OBRAS y SERVICIOS PÚBLICOS DE 27 DE JUNIO DE 2022.  </w:t>
      </w:r>
    </w:p>
    <w:p w:rsidR="007617AD" w:rsidRDefault="00EE75C8">
      <w:pPr>
        <w:spacing w:after="488"/>
        <w:ind w:left="703" w:right="62"/>
      </w:pPr>
      <w:r>
        <w:t>Votos a favor</w:t>
      </w:r>
      <w:r>
        <w:t xml:space="preserve">: 4  </w:t>
      </w:r>
    </w:p>
    <w:p w:rsidR="007617AD" w:rsidRDefault="00EE75C8">
      <w:pPr>
        <w:spacing w:after="488"/>
        <w:ind w:left="703" w:right="62"/>
      </w:pPr>
      <w:r>
        <w:t xml:space="preserve">Los 4 concejales del Grupo Socialista: Don Reinaldo José Triviño Blanco, Don Jorge Baute Delgado, Doña Hilaria Cecilia Otazo González y Don José Francisco Pinto Ramos. </w:t>
      </w:r>
    </w:p>
    <w:p w:rsidR="007617AD" w:rsidRDefault="00EE75C8">
      <w:pPr>
        <w:spacing w:after="486"/>
        <w:ind w:left="703" w:right="62"/>
      </w:pPr>
      <w:r>
        <w:t xml:space="preserve">Votos en contra: 0. </w:t>
      </w:r>
    </w:p>
    <w:p w:rsidR="007617AD" w:rsidRDefault="00EE75C8">
      <w:pPr>
        <w:spacing w:after="486"/>
        <w:ind w:left="703" w:right="62"/>
      </w:pPr>
      <w:r>
        <w:t xml:space="preserve">Abstenciones: 2.  </w:t>
      </w:r>
    </w:p>
    <w:p w:rsidR="007617AD" w:rsidRDefault="00EE75C8">
      <w:pPr>
        <w:spacing w:after="486"/>
        <w:ind w:left="703" w:right="62"/>
      </w:pPr>
      <w:r>
        <w:t xml:space="preserve">Las dos concejales del Grupo Mixto: Doña Ángela Cruz Perera (CC-PNC)  y Doña Lourdes del Carmen Mondéjar Rondón (SSP). </w:t>
      </w:r>
    </w:p>
    <w:p w:rsidR="007617AD" w:rsidRDefault="00EE75C8">
      <w:pPr>
        <w:spacing w:after="11"/>
        <w:ind w:left="703" w:right="58"/>
      </w:pPr>
      <w:r>
        <w:rPr>
          <w:b/>
        </w:rPr>
        <w:t xml:space="preserve">JUNTA DE PORTAVOCES DE 27 DE JUNIO DE 2022.  </w:t>
      </w:r>
    </w:p>
    <w:p w:rsidR="007617AD" w:rsidRDefault="00EE75C8">
      <w:pPr>
        <w:spacing w:after="11"/>
        <w:ind w:left="703" w:right="62"/>
      </w:pPr>
      <w:r>
        <w:t xml:space="preserve">Quedó oída.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8102" name="Group 27810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5488" name="Rectangle 2548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Verificación: https://cand</w:t>
                              </w:r>
                              <w:r>
                                <w:rPr>
                                  <w:sz w:val="12"/>
                                </w:rPr>
                                <w:t xml:space="preserve">elaria.sedelectronica.es/ </w:t>
                              </w:r>
                            </w:p>
                          </w:txbxContent>
                        </wps:txbx>
                        <wps:bodyPr horzOverflow="overflow" vert="horz" lIns="0" tIns="0" rIns="0" bIns="0" rtlCol="0">
                          <a:noAutofit/>
                        </wps:bodyPr>
                      </wps:wsp>
                      <wps:wsp>
                        <wps:cNvPr id="25489" name="Rectangle 25489"/>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141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8102" style="width:12.7031pt;height:280.02pt;position:absolute;mso-position-horizontal-relative:page;mso-position-horizontal:absolute;margin-left:682.278pt;mso-position-vertical-relative:page;margin-top:531.9pt;" coordsize="1613,35562">
                <v:rect id="Rectangle 2548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5489"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141 de 192 </w:t>
                        </w:r>
                      </w:p>
                    </w:txbxContent>
                  </v:textbox>
                </v:rect>
                <w10:wrap type="square"/>
              </v:group>
            </w:pict>
          </mc:Fallback>
        </mc:AlternateContent>
      </w:r>
      <w:r>
        <w:rPr>
          <w:b/>
        </w:rPr>
        <w:t xml:space="preserve"> </w:t>
      </w:r>
    </w:p>
    <w:p w:rsidR="007617AD" w:rsidRDefault="00EE75C8">
      <w:pPr>
        <w:spacing w:after="11"/>
        <w:ind w:left="703" w:right="58"/>
      </w:pPr>
      <w:r>
        <w:rPr>
          <w:b/>
        </w:rPr>
        <w:t xml:space="preserve">VOTACIÓN EN EL PLENO DE 30 DE JUNIO DE 2022. </w:t>
      </w:r>
    </w:p>
    <w:p w:rsidR="007617AD" w:rsidRDefault="00EE75C8">
      <w:pPr>
        <w:spacing w:after="0" w:line="259" w:lineRule="auto"/>
        <w:ind w:left="708" w:firstLine="0"/>
        <w:jc w:val="left"/>
      </w:pPr>
      <w:r>
        <w:rPr>
          <w:b/>
        </w:rPr>
        <w:t xml:space="preserve"> </w:t>
      </w:r>
    </w:p>
    <w:p w:rsidR="007617AD" w:rsidRDefault="00EE75C8">
      <w:pPr>
        <w:spacing w:after="11"/>
        <w:ind w:left="703" w:right="62"/>
      </w:pPr>
      <w:r>
        <w:t xml:space="preserve">Votos a favor: 11. </w:t>
      </w:r>
    </w:p>
    <w:p w:rsidR="007617AD" w:rsidRDefault="00EE75C8">
      <w:pPr>
        <w:ind w:left="703" w:right="62"/>
      </w:pPr>
      <w:r>
        <w:t>8 concejales del Grupo Socialista: Doña María Concepción Brito Núñez, Doña Olivia Concepción Pérez Díaz, Don José Francisco Pinto Ramos, Doña Hilaria Cecilia Otazo González, Don Airam Pérez Chinea, Don Manuel Alberto González Pestano, Don Olegario Francisc</w:t>
      </w:r>
      <w:r>
        <w:t xml:space="preserve">o Alonso Bello y Don Reinaldo José Triviño Blanco. </w:t>
      </w:r>
    </w:p>
    <w:p w:rsidR="007617AD" w:rsidRDefault="00EE75C8">
      <w:pPr>
        <w:ind w:left="703" w:right="62"/>
      </w:pPr>
      <w:r>
        <w:t xml:space="preserve">1 del concejal del Grupo Popular, Don Jacobo López Fariña. </w:t>
      </w:r>
    </w:p>
    <w:p w:rsidR="007617AD" w:rsidRDefault="00EE75C8">
      <w:pPr>
        <w:ind w:left="703" w:right="62"/>
      </w:pPr>
      <w:r>
        <w:t xml:space="preserve">1 de la concejal del Grupo Mixto (CC-PNC): Doña Ángela Cruz Perera. </w:t>
      </w:r>
    </w:p>
    <w:p w:rsidR="007617AD" w:rsidRDefault="00EE75C8">
      <w:pPr>
        <w:numPr>
          <w:ilvl w:val="0"/>
          <w:numId w:val="77"/>
        </w:numPr>
        <w:ind w:left="877" w:right="62" w:hanging="184"/>
      </w:pPr>
      <w:r>
        <w:t>de la concejal del Grupo Mixto (VxC): Doña Alicia Mercedes Marrero Meneses.</w:t>
      </w:r>
      <w:r>
        <w:t xml:space="preserve"> </w:t>
      </w:r>
    </w:p>
    <w:p w:rsidR="007617AD" w:rsidRDefault="00EE75C8">
      <w:pPr>
        <w:ind w:left="703" w:right="62"/>
      </w:pPr>
      <w:r>
        <w:t xml:space="preserve">Abstenciones: 2. </w:t>
      </w:r>
    </w:p>
    <w:p w:rsidR="007617AD" w:rsidRDefault="00EE75C8">
      <w:pPr>
        <w:numPr>
          <w:ilvl w:val="0"/>
          <w:numId w:val="77"/>
        </w:numPr>
        <w:ind w:left="877" w:right="62" w:hanging="184"/>
      </w:pPr>
      <w:r>
        <w:t xml:space="preserve">de los concejales del Grupo Mixto (SSP), Doña Lourdes del Carmen Mondéjar Rondón y Don Antonio Delgado García.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39" w:lineRule="auto"/>
        <w:ind w:left="708" w:right="8043" w:firstLine="0"/>
        <w:jc w:val="left"/>
      </w:pPr>
      <w:r>
        <w:rPr>
          <w:b/>
        </w:rPr>
        <w:t xml:space="preserve">                           </w:t>
      </w:r>
    </w:p>
    <w:p w:rsidR="007617AD" w:rsidRDefault="00EE75C8">
      <w:pPr>
        <w:spacing w:after="0" w:line="259" w:lineRule="auto"/>
        <w:ind w:left="2127" w:firstLine="0"/>
        <w:jc w:val="left"/>
      </w:pPr>
      <w:r>
        <w:rPr>
          <w:b/>
        </w:rPr>
        <w:t xml:space="preserve">           </w:t>
      </w:r>
    </w:p>
    <w:p w:rsidR="007617AD" w:rsidRDefault="00EE75C8">
      <w:pPr>
        <w:spacing w:after="11"/>
        <w:ind w:left="2137" w:right="58"/>
      </w:pPr>
      <w:r>
        <w:rPr>
          <w:b/>
        </w:rPr>
        <w:t xml:space="preserve">ACUERDO DEL PLENO DE 30 DE JUNIO DE 2022. </w:t>
      </w:r>
    </w:p>
    <w:p w:rsidR="007617AD" w:rsidRDefault="00EE75C8">
      <w:pPr>
        <w:spacing w:after="0" w:line="259" w:lineRule="auto"/>
        <w:ind w:left="708" w:firstLine="0"/>
        <w:jc w:val="left"/>
      </w:pPr>
      <w:r>
        <w:rPr>
          <w:b/>
        </w:rPr>
        <w:t xml:space="preserve"> </w:t>
      </w:r>
    </w:p>
    <w:p w:rsidR="007617AD" w:rsidRDefault="00EE75C8">
      <w:pPr>
        <w:spacing w:after="0"/>
        <w:ind w:left="693" w:right="58" w:firstLine="1133"/>
      </w:pPr>
      <w:r>
        <w:rPr>
          <w:b/>
        </w:rPr>
        <w:t>Primero. - Aprobar el conven</w:t>
      </w:r>
      <w:r>
        <w:rPr>
          <w:b/>
        </w:rPr>
        <w:t>io de colaboración entre el Consejo Insular de Aguas de Tenerife y los Ayuntamientos de Candelaria, Arafo y Güimar para la gestión de las infraestructuras de depuración y vertido de aguas residuales, urbanas e industriales, de los sistemas territoriales de</w:t>
      </w:r>
      <w:r>
        <w:rPr>
          <w:b/>
        </w:rPr>
        <w:t xml:space="preserve">l Valle de Güimar y Polígono Industrial del Valle de Güimar cuyo texto se inserta a continuación, así como sus anexos que constan en el expediente. </w:t>
      </w:r>
    </w:p>
    <w:p w:rsidR="007617AD" w:rsidRDefault="00EE75C8">
      <w:pPr>
        <w:spacing w:after="0" w:line="259" w:lineRule="auto"/>
        <w:ind w:left="1841" w:firstLine="0"/>
        <w:jc w:val="left"/>
      </w:pPr>
      <w:r>
        <w:t xml:space="preserve"> </w:t>
      </w:r>
    </w:p>
    <w:p w:rsidR="007617AD" w:rsidRDefault="00EE75C8">
      <w:pPr>
        <w:spacing w:after="11"/>
        <w:ind w:left="1851" w:right="62"/>
      </w:pPr>
      <w:r>
        <w:t xml:space="preserve">-Anexo I. Plano de puntos de recepción de las aguas residuales brutas de origen urbano.  </w:t>
      </w:r>
    </w:p>
    <w:p w:rsidR="007617AD" w:rsidRDefault="00EE75C8">
      <w:pPr>
        <w:spacing w:after="0" w:line="259" w:lineRule="auto"/>
        <w:ind w:left="1841" w:firstLine="0"/>
        <w:jc w:val="left"/>
      </w:pPr>
      <w:r>
        <w:t xml:space="preserve"> </w:t>
      </w:r>
    </w:p>
    <w:p w:rsidR="007617AD" w:rsidRDefault="00EE75C8">
      <w:pPr>
        <w:numPr>
          <w:ilvl w:val="1"/>
          <w:numId w:val="77"/>
        </w:numPr>
        <w:spacing w:after="11"/>
        <w:ind w:right="62" w:hanging="168"/>
      </w:pPr>
      <w:r>
        <w:t xml:space="preserve">Anexo II. Plano de puntos de recepción de las aguas residuales brutas de origen </w:t>
      </w:r>
    </w:p>
    <w:p w:rsidR="007617AD" w:rsidRDefault="00EE75C8">
      <w:pPr>
        <w:spacing w:after="11"/>
        <w:ind w:left="703" w:right="62"/>
      </w:pPr>
      <w:r>
        <w:t xml:space="preserve">industrial.  </w:t>
      </w:r>
    </w:p>
    <w:p w:rsidR="007617AD" w:rsidRDefault="00EE75C8">
      <w:pPr>
        <w:spacing w:after="0" w:line="259" w:lineRule="auto"/>
        <w:ind w:left="1841" w:firstLine="0"/>
        <w:jc w:val="left"/>
      </w:pPr>
      <w:r>
        <w:t xml:space="preserve"> </w:t>
      </w:r>
    </w:p>
    <w:p w:rsidR="007617AD" w:rsidRDefault="00EE75C8">
      <w:pPr>
        <w:numPr>
          <w:ilvl w:val="1"/>
          <w:numId w:val="77"/>
        </w:numPr>
        <w:spacing w:after="11"/>
        <w:ind w:right="62" w:hanging="168"/>
      </w:pPr>
      <w:r>
        <w:t xml:space="preserve">Anexo III. Cronograma de Inversiones.  </w:t>
      </w:r>
    </w:p>
    <w:p w:rsidR="007617AD" w:rsidRDefault="00EE75C8">
      <w:pPr>
        <w:spacing w:after="0" w:line="259" w:lineRule="auto"/>
        <w:ind w:left="1841" w:firstLine="0"/>
        <w:jc w:val="left"/>
      </w:pPr>
      <w:r>
        <w:t xml:space="preserve"> </w:t>
      </w:r>
    </w:p>
    <w:p w:rsidR="007617AD" w:rsidRDefault="00EE75C8">
      <w:pPr>
        <w:numPr>
          <w:ilvl w:val="1"/>
          <w:numId w:val="77"/>
        </w:numPr>
        <w:spacing w:after="11"/>
        <w:ind w:right="62" w:hanging="168"/>
      </w:pPr>
      <w:r>
        <w:t xml:space="preserve">Anexo IV. Costes estimados del convenio. </w:t>
      </w:r>
    </w:p>
    <w:p w:rsidR="007617AD" w:rsidRDefault="00EE75C8">
      <w:pPr>
        <w:spacing w:after="0" w:line="259" w:lineRule="auto"/>
        <w:ind w:left="1841" w:firstLine="0"/>
        <w:jc w:val="left"/>
      </w:pPr>
      <w:r>
        <w:rPr>
          <w:b/>
        </w:rPr>
        <w:t xml:space="preserve"> </w:t>
      </w:r>
    </w:p>
    <w:p w:rsidR="007617AD" w:rsidRDefault="00EE75C8">
      <w:pPr>
        <w:spacing w:after="11"/>
        <w:ind w:left="1851" w:right="58"/>
      </w:pPr>
      <w:r>
        <w:rPr>
          <w:b/>
        </w:rPr>
        <w:t>Segundo. - Facultar a la Alcaldesa-Presidenta para la firma de dicho conv</w:t>
      </w:r>
      <w:r>
        <w:rPr>
          <w:b/>
        </w:rPr>
        <w:t xml:space="preserve">enio. </w:t>
      </w:r>
    </w:p>
    <w:p w:rsidR="007617AD" w:rsidRDefault="00EE75C8">
      <w:pPr>
        <w:spacing w:after="0" w:line="259" w:lineRule="auto"/>
        <w:ind w:left="1841" w:firstLine="0"/>
        <w:jc w:val="left"/>
      </w:pPr>
      <w:r>
        <w:rPr>
          <w:b/>
        </w:rPr>
        <w:t xml:space="preserve"> </w:t>
      </w:r>
    </w:p>
    <w:p w:rsidR="007617AD" w:rsidRDefault="00EE75C8">
      <w:pPr>
        <w:spacing w:after="0"/>
        <w:ind w:left="693" w:right="58" w:firstLine="1133"/>
      </w:pPr>
      <w:r>
        <w:rPr>
          <w:b/>
        </w:rPr>
        <w:t xml:space="preserve">Tercero. - Notificar la presente resolución a los Ayuntamientos de Arafo, Candelaria y Güimar. </w:t>
      </w:r>
    </w:p>
    <w:p w:rsidR="007617AD" w:rsidRDefault="00EE75C8">
      <w:pPr>
        <w:spacing w:after="98" w:line="259" w:lineRule="auto"/>
        <w:ind w:left="699" w:firstLine="0"/>
        <w:jc w:val="center"/>
      </w:pPr>
      <w:r>
        <w:rPr>
          <w:b/>
        </w:rPr>
        <w:t xml:space="preserve"> </w:t>
      </w:r>
    </w:p>
    <w:p w:rsidR="007617AD" w:rsidRDefault="00EE75C8">
      <w:pPr>
        <w:spacing w:after="100" w:line="259" w:lineRule="auto"/>
        <w:ind w:left="699" w:firstLine="0"/>
        <w:jc w:val="center"/>
      </w:pPr>
      <w:r>
        <w:rPr>
          <w:rFonts w:ascii="Calibri" w:eastAsia="Calibri" w:hAnsi="Calibri" w:cs="Calibri"/>
          <w:noProof/>
        </w:rPr>
        <mc:AlternateContent>
          <mc:Choice Requires="wpg">
            <w:drawing>
              <wp:anchor distT="0" distB="0" distL="114300" distR="114300" simplePos="0" relativeHeight="251805696"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277645" name="Group 277645"/>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5588" name="Rectangle 2558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5589" name="Rectangle 25589"/>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142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7645" style="width:12.7031pt;height:280.02pt;position:absolute;mso-position-horizontal-relative:page;mso-position-horizontal:absolute;margin-left:682.278pt;mso-position-vertical-relative:page;margin-top:531.9pt;" coordsize="1613,35562">
                <v:rect id="Rectangle 2558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5589"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142 de 192 </w:t>
                        </w:r>
                      </w:p>
                    </w:txbxContent>
                  </v:textbox>
                </v:rect>
                <w10:wrap type="topAndBottom"/>
              </v:group>
            </w:pict>
          </mc:Fallback>
        </mc:AlternateContent>
      </w: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100"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100"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100"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100"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100" w:line="259" w:lineRule="auto"/>
        <w:ind w:left="699" w:firstLine="0"/>
        <w:jc w:val="center"/>
      </w:pPr>
      <w:r>
        <w:rPr>
          <w:b/>
        </w:rPr>
        <w:t xml:space="preserve"> </w:t>
      </w:r>
    </w:p>
    <w:p w:rsidR="007617AD" w:rsidRDefault="00EE75C8">
      <w:pPr>
        <w:spacing w:after="98" w:line="259" w:lineRule="auto"/>
        <w:ind w:left="699" w:firstLine="0"/>
        <w:jc w:val="center"/>
      </w:pPr>
      <w:r>
        <w:rPr>
          <w:b/>
        </w:rPr>
        <w:t xml:space="preserve"> </w:t>
      </w:r>
    </w:p>
    <w:p w:rsidR="007617AD" w:rsidRDefault="00EE75C8">
      <w:pPr>
        <w:spacing w:after="98" w:line="259" w:lineRule="auto"/>
        <w:ind w:left="708" w:firstLine="0"/>
        <w:jc w:val="left"/>
      </w:pPr>
      <w:r>
        <w:rPr>
          <w:b/>
        </w:rPr>
        <w:t xml:space="preserve"> </w:t>
      </w:r>
    </w:p>
    <w:p w:rsidR="007617AD" w:rsidRDefault="00EE75C8">
      <w:pPr>
        <w:spacing w:after="101" w:line="259" w:lineRule="auto"/>
        <w:ind w:left="699" w:firstLine="0"/>
        <w:jc w:val="center"/>
      </w:pPr>
      <w:r>
        <w:rPr>
          <w:b/>
        </w:rPr>
        <w:t xml:space="preserve"> </w:t>
      </w:r>
    </w:p>
    <w:p w:rsidR="007617AD" w:rsidRDefault="00EE75C8">
      <w:pPr>
        <w:spacing w:after="0" w:line="259" w:lineRule="auto"/>
        <w:ind w:left="699" w:firstLine="0"/>
        <w:jc w:val="center"/>
      </w:pPr>
      <w:r>
        <w:rPr>
          <w:b/>
        </w:rPr>
        <w:t xml:space="preserve"> </w:t>
      </w:r>
    </w:p>
    <w:p w:rsidR="007617AD" w:rsidRDefault="00EE75C8">
      <w:pPr>
        <w:spacing w:after="0" w:line="259" w:lineRule="auto"/>
        <w:ind w:left="566" w:firstLine="0"/>
        <w:jc w:val="left"/>
      </w:pPr>
      <w:r>
        <w:rPr>
          <w:b/>
        </w:rPr>
        <w:t xml:space="preserve"> </w:t>
      </w:r>
    </w:p>
    <w:p w:rsidR="007617AD" w:rsidRDefault="00EE75C8">
      <w:pPr>
        <w:spacing w:after="0"/>
        <w:ind w:left="576" w:right="58"/>
      </w:pPr>
      <w:r>
        <w:rPr>
          <w:b/>
        </w:rPr>
        <w:t xml:space="preserve">CONVENIO DE COOPERACIÓN INTERADMINISTRATIVA ENTRE EL CONSEJO INSULAR DE AGUAS DE TENERIFE Y LOS AYUNTAMIENTOS DE CANDELARIA, ARAFO Y GÜÍMAR PARA LA GESTIÓN DE LAS INFRAESTRUCTURAS DE DEPURACIÓN Y VERTIDO DE AGUAS RESIDUALES, URBANAS E INDUSTRIALES, DE LOS </w:t>
      </w:r>
      <w:r>
        <w:rPr>
          <w:b/>
        </w:rPr>
        <w:t xml:space="preserve">SISTEMAS TERRITORIALES DEL VALLE DE GÜIMAR Y POLÍGONO INDUSTRIAL DEL VALLE DE GÜÍMAR. </w:t>
      </w:r>
    </w:p>
    <w:p w:rsidR="007617AD" w:rsidRDefault="00EE75C8">
      <w:pPr>
        <w:spacing w:after="0" w:line="259" w:lineRule="auto"/>
        <w:ind w:left="708" w:firstLine="0"/>
        <w:jc w:val="left"/>
      </w:pPr>
      <w:r>
        <w:t xml:space="preserve"> </w:t>
      </w:r>
    </w:p>
    <w:p w:rsidR="007617AD" w:rsidRDefault="00EE75C8">
      <w:pPr>
        <w:spacing w:after="0" w:line="259" w:lineRule="auto"/>
        <w:ind w:left="0" w:right="6" w:firstLine="0"/>
        <w:jc w:val="right"/>
      </w:pPr>
      <w:r>
        <w:t xml:space="preserve"> </w:t>
      </w:r>
    </w:p>
    <w:p w:rsidR="007617AD" w:rsidRDefault="00EE75C8">
      <w:pPr>
        <w:spacing w:after="690" w:line="265" w:lineRule="auto"/>
        <w:ind w:left="10" w:right="62"/>
        <w:jc w:val="right"/>
      </w:pPr>
      <w:r>
        <w:t xml:space="preserve">En Santa Cruz de Tenerife, a fecha de la última firma electrónica </w:t>
      </w:r>
    </w:p>
    <w:p w:rsidR="007617AD" w:rsidRDefault="00EE75C8">
      <w:pPr>
        <w:pStyle w:val="Ttulo3"/>
        <w:shd w:val="clear" w:color="auto" w:fill="F3F3F3"/>
        <w:spacing w:after="491" w:line="358" w:lineRule="auto"/>
        <w:ind w:left="649"/>
        <w:jc w:val="center"/>
      </w:pPr>
      <w:r>
        <w:rPr>
          <w:rFonts w:ascii="Arial" w:eastAsia="Arial" w:hAnsi="Arial" w:cs="Arial"/>
          <w:color w:val="333333"/>
          <w:sz w:val="22"/>
        </w:rPr>
        <w:t xml:space="preserve">SE REÚNEN </w:t>
      </w:r>
    </w:p>
    <w:p w:rsidR="007617AD" w:rsidRDefault="00EE75C8">
      <w:pPr>
        <w:spacing w:after="0"/>
        <w:ind w:left="703" w:right="62"/>
      </w:pPr>
      <w:r>
        <w:t>De una parte, el Excmo. Sr. Don Pedro M. Martín Domínguez, Presidente del Consejo Insul</w:t>
      </w:r>
      <w:r>
        <w:t xml:space="preserve">ar de Aguas de Tenerife (en lo sucesivo CIATF), en nombre y representación del mismo, facultado para este acto mediante acuerdo de la Junta de Gobierno del Consejo Insular de Aguas celebrada en sesión </w:t>
      </w:r>
      <w:r>
        <w:rPr>
          <w:shd w:val="clear" w:color="auto" w:fill="C0C0C0"/>
        </w:rPr>
        <w:t>_______</w:t>
      </w:r>
      <w:r>
        <w:t xml:space="preserve">, en virtud de lo dispuesto en el artículo 21.2 </w:t>
      </w:r>
      <w:r>
        <w:t xml:space="preserve">del Estatuto del Consejo Insular de Aguas de Tenerife, aprobado por Decreto 115/1992, de 9 de junio. </w:t>
      </w:r>
      <w:r>
        <w:rPr>
          <w:rFonts w:ascii="Times New Roman" w:eastAsia="Times New Roman" w:hAnsi="Times New Roman" w:cs="Times New Roman"/>
          <w:sz w:val="24"/>
        </w:rPr>
        <w:t xml:space="preserve"> </w:t>
      </w:r>
    </w:p>
    <w:p w:rsidR="007617AD" w:rsidRDefault="00EE75C8">
      <w:pPr>
        <w:spacing w:after="340" w:line="259" w:lineRule="auto"/>
        <w:ind w:left="708" w:firstLine="0"/>
        <w:jc w:val="left"/>
      </w:pPr>
      <w:r>
        <w:t xml:space="preserve"> </w:t>
      </w:r>
    </w:p>
    <w:p w:rsidR="007617AD" w:rsidRDefault="00EE75C8">
      <w:pPr>
        <w:spacing w:after="336"/>
        <w:ind w:left="703" w:right="62"/>
      </w:pPr>
      <w:r>
        <w:rPr>
          <w:rFonts w:ascii="Calibri" w:eastAsia="Calibri" w:hAnsi="Calibri" w:cs="Calibri"/>
          <w:noProof/>
        </w:rPr>
        <mc:AlternateContent>
          <mc:Choice Requires="wpg">
            <w:drawing>
              <wp:anchor distT="0" distB="0" distL="114300" distR="114300" simplePos="0" relativeHeight="25180672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6019" name="Group 27601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5682" name="Rectangle 2568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5683" name="Rectangle 25683"/>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143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6019" style="width:12.7031pt;height:280.02pt;position:absolute;mso-position-horizontal-relative:page;mso-position-horizontal:absolute;margin-left:682.278pt;mso-position-vertical-relative:page;margin-top:531.9pt;" coordsize="1613,35562">
                <v:rect id="Rectangle 2568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5683"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143 de 192 </w:t>
                        </w:r>
                      </w:p>
                    </w:txbxContent>
                  </v:textbox>
                </v:rect>
                <w10:wrap type="square"/>
              </v:group>
            </w:pict>
          </mc:Fallback>
        </mc:AlternateContent>
      </w:r>
      <w:r>
        <w:t>De otra parte, la Sra. Dª Maria Concepción Brito Núñez, Alcaldesa-Presidenta del Ayuntamiento de Candelaria, en su nombre y representación, y en uso de las facul</w:t>
      </w:r>
      <w:r>
        <w:t xml:space="preserve">tades que le confiere el artículo 21.1.b) de la Ley 7/1985, de 2 de abril, reguladora de las bases del Régimen Local, estando facultado para este acto en virtud del acuerdo plenario de dicha Corporación adoptado en sesión celebrada </w:t>
      </w:r>
      <w:r>
        <w:rPr>
          <w:shd w:val="clear" w:color="auto" w:fill="C0C0C0"/>
        </w:rPr>
        <w:t>_______</w:t>
      </w:r>
      <w:r>
        <w:t>.</w:t>
      </w:r>
      <w:r>
        <w:rPr>
          <w:rFonts w:ascii="Times New Roman" w:eastAsia="Times New Roman" w:hAnsi="Times New Roman" w:cs="Times New Roman"/>
          <w:sz w:val="24"/>
        </w:rPr>
        <w:t xml:space="preserve"> </w:t>
      </w:r>
    </w:p>
    <w:p w:rsidR="007617AD" w:rsidRDefault="00EE75C8">
      <w:pPr>
        <w:spacing w:after="0"/>
        <w:ind w:left="703" w:right="62"/>
      </w:pPr>
      <w:r>
        <w:t>De otra parte,</w:t>
      </w:r>
      <w:r>
        <w:t xml:space="preserve"> el Sr. D. Juan Ramón Martín Pérez, Alcalde-Presidente del Ayuntamiento de Arafo en su nombre y representación, y en uso de las facultades que le confiere el artículo 21.1.b) de la Ley 7/1985, de 2 de abril, reguladora de las bases del Régimen Local, estan</w:t>
      </w:r>
      <w:r>
        <w:t xml:space="preserve">do facultado para este acto en virtud del acuerdo plenario de dicha Corporación adoptado en sesión celebrada </w:t>
      </w:r>
      <w:r>
        <w:rPr>
          <w:shd w:val="clear" w:color="auto" w:fill="C0C0C0"/>
        </w:rPr>
        <w:t>_______</w:t>
      </w:r>
      <w:r>
        <w:t>.</w:t>
      </w:r>
      <w:r>
        <w:rPr>
          <w:rFonts w:ascii="Times New Roman" w:eastAsia="Times New Roman" w:hAnsi="Times New Roman" w:cs="Times New Roman"/>
          <w:sz w:val="24"/>
        </w:rPr>
        <w:t xml:space="preserve"> </w:t>
      </w:r>
    </w:p>
    <w:p w:rsidR="007617AD" w:rsidRDefault="00EE75C8">
      <w:pPr>
        <w:spacing w:after="340" w:line="259" w:lineRule="auto"/>
        <w:ind w:left="708" w:firstLine="0"/>
        <w:jc w:val="left"/>
      </w:pPr>
      <w:r>
        <w:t xml:space="preserve"> </w:t>
      </w:r>
    </w:p>
    <w:p w:rsidR="007617AD" w:rsidRDefault="00EE75C8">
      <w:pPr>
        <w:spacing w:after="331"/>
        <w:ind w:left="703" w:right="62"/>
      </w:pPr>
      <w:r>
        <w:t>Y de otra parte, el Sr. D. Gustavo Pérez Martín, Alcalde-Presidente del Ayuntamiento de Güímar, en su nombre y representación, y en uso</w:t>
      </w:r>
      <w:r>
        <w:t xml:space="preserve"> de las facultades que le confiere el artículo 21.1.b) de la Ley 7/1985, de 2 de abril, reguladora de las bases del Régimen Local, estando facultado para este acto en virtud del acuerdo plenario de dicha Corporación adoptado en sesión celebrada </w:t>
      </w:r>
      <w:r>
        <w:rPr>
          <w:shd w:val="clear" w:color="auto" w:fill="C0C0C0"/>
        </w:rPr>
        <w:t>_______</w:t>
      </w:r>
      <w:r>
        <w:t>.</w:t>
      </w:r>
      <w:r>
        <w:rPr>
          <w:rFonts w:ascii="Times New Roman" w:eastAsia="Times New Roman" w:hAnsi="Times New Roman" w:cs="Times New Roman"/>
          <w:sz w:val="24"/>
        </w:rPr>
        <w:t xml:space="preserve"> </w:t>
      </w:r>
    </w:p>
    <w:p w:rsidR="007617AD" w:rsidRDefault="00EE75C8">
      <w:pPr>
        <w:pStyle w:val="Ttulo3"/>
        <w:shd w:val="clear" w:color="auto" w:fill="F3F3F3"/>
        <w:spacing w:after="491" w:line="358" w:lineRule="auto"/>
        <w:ind w:left="649"/>
        <w:jc w:val="center"/>
      </w:pPr>
      <w:r>
        <w:rPr>
          <w:rFonts w:ascii="Arial" w:eastAsia="Arial" w:hAnsi="Arial" w:cs="Arial"/>
          <w:color w:val="333333"/>
          <w:sz w:val="22"/>
        </w:rPr>
        <w:t>I</w:t>
      </w:r>
      <w:r>
        <w:rPr>
          <w:rFonts w:ascii="Arial" w:eastAsia="Arial" w:hAnsi="Arial" w:cs="Arial"/>
          <w:color w:val="333333"/>
          <w:sz w:val="22"/>
        </w:rPr>
        <w:t xml:space="preserve">NTERVIENEN </w:t>
      </w:r>
    </w:p>
    <w:p w:rsidR="007617AD" w:rsidRDefault="00EE75C8">
      <w:pPr>
        <w:ind w:left="703" w:right="62"/>
      </w:pPr>
      <w:r>
        <w:t>Las partes citadas, en la condición con que comparecen, se reconocen mutua y recíprocamente, con competencia y capacidad legal suficiente para suscribir el presente Convenio de Colaboración y a tal efecto</w:t>
      </w:r>
      <w:r>
        <w:rPr>
          <w:rFonts w:ascii="Times New Roman" w:eastAsia="Times New Roman" w:hAnsi="Times New Roman" w:cs="Times New Roman"/>
          <w:sz w:val="24"/>
        </w:rPr>
        <w:t xml:space="preserve"> </w:t>
      </w:r>
    </w:p>
    <w:p w:rsidR="007617AD" w:rsidRDefault="00EE75C8">
      <w:pPr>
        <w:pStyle w:val="Ttulo3"/>
        <w:shd w:val="clear" w:color="auto" w:fill="F3F3F3"/>
        <w:spacing w:after="491" w:line="358" w:lineRule="auto"/>
        <w:ind w:left="649"/>
        <w:jc w:val="center"/>
      </w:pPr>
      <w:r>
        <w:rPr>
          <w:rFonts w:ascii="Arial" w:eastAsia="Arial" w:hAnsi="Arial" w:cs="Arial"/>
          <w:color w:val="333333"/>
          <w:sz w:val="22"/>
        </w:rPr>
        <w:t xml:space="preserve">EXPONEN </w:t>
      </w:r>
    </w:p>
    <w:p w:rsidR="007617AD" w:rsidRDefault="00EE75C8">
      <w:pPr>
        <w:ind w:left="703" w:right="58"/>
      </w:pPr>
      <w:r>
        <w:rPr>
          <w:b/>
        </w:rPr>
        <w:t xml:space="preserve">PRIMERO. - </w:t>
      </w:r>
      <w:r>
        <w:rPr>
          <w:b/>
        </w:rPr>
        <w:t xml:space="preserve">TRATAMIENTO DE LAS AGUAS RESIDUALES URBANAS E INDUSTRIALES. </w:t>
      </w:r>
      <w:r>
        <w:rPr>
          <w:rFonts w:ascii="Times New Roman" w:eastAsia="Times New Roman" w:hAnsi="Times New Roman" w:cs="Times New Roman"/>
          <w:sz w:val="24"/>
        </w:rPr>
        <w:t xml:space="preserve"> </w:t>
      </w:r>
    </w:p>
    <w:p w:rsidR="007617AD" w:rsidRDefault="00EE75C8">
      <w:pPr>
        <w:spacing w:after="103" w:line="259" w:lineRule="auto"/>
        <w:ind w:left="0" w:firstLine="0"/>
        <w:jc w:val="left"/>
      </w:pPr>
      <w:r>
        <w:rPr>
          <w:b/>
        </w:rPr>
        <w:t xml:space="preserve"> </w:t>
      </w:r>
    </w:p>
    <w:p w:rsidR="007617AD" w:rsidRDefault="00EE75C8">
      <w:pPr>
        <w:spacing w:after="134"/>
        <w:ind w:left="703" w:right="62"/>
      </w:pPr>
      <w:r>
        <w:t xml:space="preserve">La Directiva 91/271/CEE, de 21 de mayo de 1991, sobre el tratamiento de las aguas residuales urbanas (en lo sucesivo Directiva 91/271) - </w:t>
      </w:r>
      <w:r>
        <w:t>la  cual tiene por objeto la recogida, el tratamiento y el vertido de las aguas residuales urbanas y el tratamiento y vertido de las aguas residuales procedentes de determinados sectores industriales, fue traspuesta a nuestro ordenamiento jurídico en virtu</w:t>
      </w:r>
      <w:r>
        <w:t>d del Real Decreto Ley 11/1995, de 28 de diciembre, por el que se aprueban las normas aplicables al tratamiento de las aguas residuales urbanas, y el Real Decreto 509/1996, de 15 de marzo, que lo desarrolla.</w:t>
      </w:r>
      <w:r>
        <w:rPr>
          <w:rFonts w:ascii="Times New Roman" w:eastAsia="Times New Roman" w:hAnsi="Times New Roman" w:cs="Times New Roman"/>
          <w:sz w:val="24"/>
        </w:rPr>
        <w:t xml:space="preserve">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6774" name="Group 27677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5774" name="Rectangle 2577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w:t>
                              </w:r>
                              <w:r>
                                <w:rPr>
                                  <w:sz w:val="12"/>
                                </w:rPr>
                                <w:t xml:space="preserve"> Verificación: https://candelaria.sedelectronica.es/ </w:t>
                              </w:r>
                            </w:p>
                          </w:txbxContent>
                        </wps:txbx>
                        <wps:bodyPr horzOverflow="overflow" vert="horz" lIns="0" tIns="0" rIns="0" bIns="0" rtlCol="0">
                          <a:noAutofit/>
                        </wps:bodyPr>
                      </wps:wsp>
                      <wps:wsp>
                        <wps:cNvPr id="25775" name="Rectangle 25775"/>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144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6774" style="width:12.7031pt;height:280.02pt;position:absolute;mso-position-horizontal-relative:page;mso-position-horizontal:absolute;margin-left:682.278pt;mso-position-vertical-relative:page;margin-top:531.9pt;" coordsize="1613,35562">
                <v:rect id="Rectangle 2577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5775"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144 de 192 </w:t>
                        </w:r>
                      </w:p>
                    </w:txbxContent>
                  </v:textbox>
                </v:rect>
                <w10:wrap type="square"/>
              </v:group>
            </w:pict>
          </mc:Fallback>
        </mc:AlternateContent>
      </w:r>
      <w:r>
        <w:t>El RD 509/1996 estableció la obligación de realizar un tratamiento previo al vertido de las aguas residua</w:t>
      </w:r>
      <w:r>
        <w:t>les industriales que, entre otros requisitos, sea suficiente para “garantizar que los vertidos de las instalaciones de tratamiento no tengan efectos nocivos sobre el medio ambiente y no impidan que las aguas receptoras cumplan los objetivos de calidad de l</w:t>
      </w:r>
      <w:r>
        <w:t xml:space="preserve">a normativa vigente” (art. 8). </w:t>
      </w:r>
      <w:r>
        <w:rPr>
          <w:rFonts w:ascii="Times New Roman" w:eastAsia="Times New Roman" w:hAnsi="Times New Roman" w:cs="Times New Roman"/>
          <w:sz w:val="24"/>
        </w:rPr>
        <w:t xml:space="preserve"> </w:t>
      </w:r>
    </w:p>
    <w:p w:rsidR="007617AD" w:rsidRDefault="00EE75C8">
      <w:pPr>
        <w:spacing w:after="155"/>
        <w:ind w:left="703" w:right="62"/>
      </w:pPr>
      <w:r>
        <w:t>Además, se reguló el tipo de tratamiento requerido para las aguas residuales (tratamiento primario vs. tratamiento secundario) en función del número de habitantes equivalentes (h-e) que llegan a la instalación. En los casos</w:t>
      </w:r>
      <w:r>
        <w:t xml:space="preserve"> de vertido al mar en zonas normales, y hasta un máximo de 10.000 h – e es admisible un tratamiento primario (estación de tratamiento adecuado, ETAR) y, una vez superado dicho umbral, se requiere el sometimiento del agua residual a un tratamiento secundari</w:t>
      </w:r>
      <w:r>
        <w:t xml:space="preserve">o (estación depuradora, EDAR).  </w:t>
      </w:r>
    </w:p>
    <w:p w:rsidR="007617AD" w:rsidRDefault="00EE75C8">
      <w:pPr>
        <w:spacing w:after="95" w:line="259" w:lineRule="auto"/>
        <w:ind w:left="708" w:firstLine="0"/>
        <w:jc w:val="left"/>
      </w:pPr>
      <w:r>
        <w:t xml:space="preserve"> </w:t>
      </w:r>
    </w:p>
    <w:p w:rsidR="007617AD" w:rsidRDefault="00EE75C8">
      <w:pPr>
        <w:ind w:left="703" w:right="58"/>
      </w:pPr>
      <w:r>
        <w:rPr>
          <w:b/>
        </w:rPr>
        <w:t>SEGUNDO. - DESCRIPCIÓN DEL SISTEMA TERRITORIAL DE INFRAESTRUCTURAS DE SANEAMIENTO DE LAS AGUAS RESIDUALES DE ORIGEN URBANO E INDUSTRIAL DEL VALLE DE GÜÍMAR Y DEL POLÍGONO INDUSTRIAL VALLE DE GÜÍMAR.</w:t>
      </w:r>
      <w:r>
        <w:rPr>
          <w:rFonts w:ascii="Times New Roman" w:eastAsia="Times New Roman" w:hAnsi="Times New Roman" w:cs="Times New Roman"/>
          <w:sz w:val="24"/>
        </w:rPr>
        <w:t xml:space="preserve"> </w:t>
      </w:r>
    </w:p>
    <w:p w:rsidR="007617AD" w:rsidRDefault="00EE75C8">
      <w:pPr>
        <w:spacing w:after="100" w:line="259" w:lineRule="auto"/>
        <w:ind w:left="708" w:firstLine="0"/>
        <w:jc w:val="left"/>
      </w:pPr>
      <w:r>
        <w:t xml:space="preserve"> </w:t>
      </w:r>
    </w:p>
    <w:p w:rsidR="007617AD" w:rsidRDefault="00EE75C8">
      <w:pPr>
        <w:ind w:left="703" w:right="62"/>
      </w:pPr>
      <w:r>
        <w:t>El Sistema Territor</w:t>
      </w:r>
      <w:r>
        <w:t xml:space="preserve">ial de infraestructuras de saneamiento del Valle de Güímar y del Polígono Industrial de Güímar, están definidos por el Plan Hidrológico de Tenerife, cuya descripción gráfica es la siguiente: </w:t>
      </w:r>
    </w:p>
    <w:p w:rsidR="007617AD" w:rsidRDefault="00EE75C8">
      <w:pPr>
        <w:spacing w:after="38" w:line="259" w:lineRule="auto"/>
        <w:ind w:left="0" w:right="1054" w:firstLine="0"/>
        <w:jc w:val="right"/>
      </w:pPr>
      <w:r>
        <w:rPr>
          <w:noProof/>
        </w:rPr>
        <w:drawing>
          <wp:inline distT="0" distB="0" distL="0" distR="0">
            <wp:extent cx="5401057" cy="3534156"/>
            <wp:effectExtent l="0" t="0" r="0" b="0"/>
            <wp:docPr id="25854" name="Picture 25854"/>
            <wp:cNvGraphicFramePr/>
            <a:graphic xmlns:a="http://schemas.openxmlformats.org/drawingml/2006/main">
              <a:graphicData uri="http://schemas.openxmlformats.org/drawingml/2006/picture">
                <pic:pic xmlns:pic="http://schemas.openxmlformats.org/drawingml/2006/picture">
                  <pic:nvPicPr>
                    <pic:cNvPr id="25854" name="Picture 25854"/>
                    <pic:cNvPicPr/>
                  </pic:nvPicPr>
                  <pic:blipFill>
                    <a:blip r:embed="rId16"/>
                    <a:stretch>
                      <a:fillRect/>
                    </a:stretch>
                  </pic:blipFill>
                  <pic:spPr>
                    <a:xfrm>
                      <a:off x="0" y="0"/>
                      <a:ext cx="5401057" cy="3534156"/>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spacing w:after="84" w:line="259" w:lineRule="auto"/>
        <w:ind w:left="708" w:firstLine="0"/>
        <w:jc w:val="left"/>
      </w:pPr>
      <w:r>
        <w:rPr>
          <w:rFonts w:ascii="Times New Roman" w:eastAsia="Times New Roman" w:hAnsi="Times New Roman" w:cs="Times New Roman"/>
          <w:sz w:val="24"/>
        </w:rPr>
        <w:t xml:space="preserve"> </w:t>
      </w:r>
    </w:p>
    <w:p w:rsidR="007617AD" w:rsidRDefault="00EE75C8">
      <w:pPr>
        <w:ind w:left="703" w:right="62"/>
      </w:pPr>
      <w:r>
        <w:t xml:space="preserve">Este conjunto de infraestructuras, de acuerdo al PHT, está constituido por una serie de elementos que permiten recoger las aguas residuales generada en los ámbitos urbano e industrial y derivarlas hacia la EDARU del Valle de Güímar y la EDARI del Polígono </w:t>
      </w:r>
      <w:r>
        <w:t xml:space="preserve">Industrial Valle de Güímar – ambos elementos estructurantes – donde las mismas serán tratadas conforme a los requisitos que dimanan de la normativa vigente en materia de depuración y vertido. </w:t>
      </w:r>
    </w:p>
    <w:p w:rsidR="007617AD" w:rsidRDefault="00EE75C8">
      <w:pPr>
        <w:ind w:left="703" w:right="62"/>
      </w:pPr>
      <w:r>
        <w:t xml:space="preserve">Los elementos fundamentales son: </w:t>
      </w:r>
    </w:p>
    <w:p w:rsidR="007617AD" w:rsidRDefault="00EE75C8">
      <w:pPr>
        <w:numPr>
          <w:ilvl w:val="0"/>
          <w:numId w:val="78"/>
        </w:numPr>
        <w:spacing w:after="89"/>
        <w:ind w:right="62" w:hanging="360"/>
      </w:pPr>
      <w:r>
        <w:t>EDARU:  Estación Depuradora d</w:t>
      </w:r>
      <w:r>
        <w:t xml:space="preserve">e Aguas Residuales Urbanas. </w:t>
      </w:r>
    </w:p>
    <w:p w:rsidR="007617AD" w:rsidRDefault="00EE75C8">
      <w:pPr>
        <w:numPr>
          <w:ilvl w:val="0"/>
          <w:numId w:val="78"/>
        </w:numPr>
        <w:spacing w:after="91"/>
        <w:ind w:right="62" w:hanging="360"/>
      </w:pPr>
      <w:r>
        <w:t xml:space="preserve">EDARI: Estación Depuradora de Aguas Residuales Industriales. </w:t>
      </w:r>
    </w:p>
    <w:p w:rsidR="007617AD" w:rsidRDefault="00EE75C8">
      <w:pPr>
        <w:numPr>
          <w:ilvl w:val="0"/>
          <w:numId w:val="78"/>
        </w:numPr>
        <w:spacing w:after="89"/>
        <w:ind w:right="62" w:hanging="360"/>
      </w:pPr>
      <w:r>
        <w:rPr>
          <w:rFonts w:ascii="Calibri" w:eastAsia="Calibri" w:hAnsi="Calibri" w:cs="Calibri"/>
          <w:noProof/>
        </w:rPr>
        <mc:AlternateContent>
          <mc:Choice Requires="wpg">
            <w:drawing>
              <wp:anchor distT="0" distB="0" distL="114300" distR="114300" simplePos="0" relativeHeight="25180876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6776" name="Group 27677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5857" name="Rectangle 2585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5858" name="Rectangle 25858"/>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plataforma esPubli</w:t>
                              </w:r>
                              <w:r>
                                <w:rPr>
                                  <w:sz w:val="12"/>
                                </w:rPr>
                                <w:t xml:space="preserve">co Gestiona | Página 145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6776" style="width:12.7031pt;height:280.02pt;position:absolute;mso-position-horizontal-relative:page;mso-position-horizontal:absolute;margin-left:682.278pt;mso-position-vertical-relative:page;margin-top:531.9pt;" coordsize="1613,35562">
                <v:rect id="Rectangle 2585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5858"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145 de 192 </w:t>
                        </w:r>
                      </w:p>
                    </w:txbxContent>
                  </v:textbox>
                </v:rect>
                <w10:wrap type="square"/>
              </v:group>
            </w:pict>
          </mc:Fallback>
        </mc:AlternateContent>
      </w:r>
      <w:r>
        <w:t xml:space="preserve">Estaciones de Bombeo de Aguas Residuales, urbanas e industriales. </w:t>
      </w:r>
    </w:p>
    <w:p w:rsidR="007617AD" w:rsidRDefault="00EE75C8">
      <w:pPr>
        <w:numPr>
          <w:ilvl w:val="0"/>
          <w:numId w:val="78"/>
        </w:numPr>
        <w:spacing w:after="91"/>
        <w:ind w:right="62" w:hanging="360"/>
      </w:pPr>
      <w:r>
        <w:t xml:space="preserve">Colectores y conducciones de transporte. </w:t>
      </w:r>
    </w:p>
    <w:p w:rsidR="007617AD" w:rsidRDefault="00EE75C8">
      <w:pPr>
        <w:numPr>
          <w:ilvl w:val="0"/>
          <w:numId w:val="78"/>
        </w:numPr>
        <w:spacing w:after="73"/>
        <w:ind w:right="62" w:hanging="360"/>
      </w:pPr>
      <w:r>
        <w:t xml:space="preserve">Emisario terrestre y emisario submarino del Valle de Güímar. </w:t>
      </w:r>
    </w:p>
    <w:p w:rsidR="007617AD" w:rsidRDefault="00EE75C8">
      <w:pPr>
        <w:spacing w:after="98" w:line="259" w:lineRule="auto"/>
        <w:ind w:left="1068" w:firstLine="0"/>
        <w:jc w:val="left"/>
      </w:pPr>
      <w:r>
        <w:rPr>
          <w:b/>
        </w:rPr>
        <w:t xml:space="preserve"> </w:t>
      </w:r>
    </w:p>
    <w:p w:rsidR="007617AD" w:rsidRDefault="00EE75C8">
      <w:pPr>
        <w:ind w:left="703" w:right="58"/>
      </w:pPr>
      <w:r>
        <w:rPr>
          <w:b/>
        </w:rPr>
        <w:t xml:space="preserve">TERCERO. - </w:t>
      </w:r>
      <w:r>
        <w:rPr>
          <w:b/>
        </w:rPr>
        <w:t>MARCO PREVIO DE COLABORACIÓN ENTRE LAS ADMINISTRACIONES FIRMANTES DEL CONVENIO.</w:t>
      </w:r>
      <w:r>
        <w:rPr>
          <w:rFonts w:ascii="Times New Roman" w:eastAsia="Times New Roman" w:hAnsi="Times New Roman" w:cs="Times New Roman"/>
          <w:sz w:val="24"/>
        </w:rPr>
        <w:t xml:space="preserve"> </w:t>
      </w:r>
    </w:p>
    <w:p w:rsidR="007617AD" w:rsidRDefault="00EE75C8">
      <w:pPr>
        <w:spacing w:after="98" w:line="259" w:lineRule="auto"/>
        <w:ind w:left="708" w:firstLine="0"/>
        <w:jc w:val="left"/>
      </w:pPr>
      <w:r>
        <w:t xml:space="preserve"> </w:t>
      </w:r>
    </w:p>
    <w:p w:rsidR="007617AD" w:rsidRDefault="00EE75C8">
      <w:pPr>
        <w:spacing w:after="93"/>
        <w:ind w:left="703" w:right="62"/>
      </w:pPr>
      <w:r>
        <w:t>Previamente al presente convenio, se han aprobado y formalizado los siguientes instrumentos jurídicos entre las partes intervinientes fruto del acuerdo entre las mismas, así</w:t>
      </w:r>
      <w:r>
        <w:t xml:space="preserve"> como también se han aprobado diferentes resoluciones tanto del Estado como del Gobierno de Canarias fruto de dicha colaboración administrativa y todo ello en virtud de las competencias concurrentes de todas las Administraciones intervinientes: </w:t>
      </w:r>
    </w:p>
    <w:p w:rsidR="007617AD" w:rsidRDefault="00EE75C8">
      <w:pPr>
        <w:ind w:left="703" w:right="62"/>
      </w:pPr>
      <w:r>
        <w:t>-</w:t>
      </w:r>
      <w:r>
        <w:t>Convenio entre el Cabildo Insular de Tenerife, el Consejo Insular de Aguas de Tenerife y los Ayuntamientos de Arafo, Candelaria y Güimar formalizado el 31 de julio de 2017, para la tramitación de la autorización administrativa de vertido al mar y la conces</w:t>
      </w:r>
      <w:r>
        <w:t>ión de la ocupación de los  bienes del dominio público marítimo terrestre con destino a un emisario submarino en el Polígono Industrial del Valle de Güimar por el que se encomienda al CIATF a elaborar la documentación técnica requerida para dicha autorizac</w:t>
      </w:r>
      <w:r>
        <w:t>ión.</w:t>
      </w:r>
      <w:r>
        <w:rPr>
          <w:b/>
        </w:rPr>
        <w:t xml:space="preserve"> </w:t>
      </w:r>
      <w:r>
        <w:t xml:space="preserve"> </w:t>
      </w:r>
    </w:p>
    <w:p w:rsidR="007617AD" w:rsidRDefault="00EE75C8">
      <w:pPr>
        <w:ind w:left="703" w:right="62"/>
      </w:pPr>
      <w:r>
        <w:t>-Acuerdos de los Plenos de los Ayuntamientos de Arafo, Candelaria y Güimar durante los meses de julio, agosto y septiembre de 2018 por los que se aprobó el Plan de Etapas en el marco del expediente 2017/11106 relativo al emisario del Polígono Indust</w:t>
      </w:r>
      <w:r>
        <w:t xml:space="preserve">rial del Valle de Güimar.  </w:t>
      </w:r>
    </w:p>
    <w:p w:rsidR="007617AD" w:rsidRDefault="00EE75C8">
      <w:pPr>
        <w:ind w:left="703" w:right="62"/>
      </w:pPr>
      <w:r>
        <w:t xml:space="preserve">-Acuerdos de los Plenos de los Ayuntamientos de Arafo, Candelaria y Güímar durante los meses de xxx de 2020 en virtud de los cuales se aprobó la primera modificación del Plan de Etapas en el marco del expediente xxx relativo al </w:t>
      </w:r>
      <w:r>
        <w:t xml:space="preserve">emisario del Polígono Industrial del Valle de Güímar. </w:t>
      </w:r>
    </w:p>
    <w:p w:rsidR="007617AD" w:rsidRDefault="00EE75C8">
      <w:pPr>
        <w:ind w:left="703" w:right="62"/>
      </w:pPr>
      <w:r>
        <w:t xml:space="preserve">-Acuerdos de los Plenos de los Ayuntamientos de Arafo, Candelaria y Güímar durante los meses de xxx de 2021 en virtud de los cuales se aprobó la segunda modificación del Plan de Etapas en el marco del </w:t>
      </w:r>
      <w:r>
        <w:t xml:space="preserve">expediente xxx relativo al emisario del Polígono Industrial del Valle de Güímar. </w:t>
      </w:r>
    </w:p>
    <w:p w:rsidR="007617AD" w:rsidRDefault="00EE75C8">
      <w:pPr>
        <w:ind w:left="703" w:right="62"/>
      </w:pPr>
      <w:r>
        <w:rPr>
          <w:color w:val="00B0F0"/>
        </w:rPr>
        <w:t xml:space="preserve"> -</w:t>
      </w:r>
      <w:r>
        <w:t>Acuerdos de los Plenos de los Ayuntamientos de Arafo, Candelaria y Güímar durante los meses de xxx de 2022 en virtud de los cuales se aprobó la tercera modificación del Pla</w:t>
      </w:r>
      <w:r>
        <w:t xml:space="preserve">n de Etapas en el marco del expediente xxx relativo al emisario del Polígono Industrial del Valle de Güímar.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80979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6652" name="Group 27665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5967" name="Rectangle 2596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5968" name="Rectangle 25968"/>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w:t>
                              </w:r>
                              <w:r>
                                <w:rPr>
                                  <w:sz w:val="12"/>
                                </w:rPr>
                                <w:t xml:space="preserve"> plataforma esPublico Gestiona | Página 146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6652" style="width:12.7031pt;height:280.02pt;position:absolute;mso-position-horizontal-relative:page;mso-position-horizontal:absolute;margin-left:682.278pt;mso-position-vertical-relative:page;margin-top:531.9pt;" coordsize="1613,35562">
                <v:rect id="Rectangle 2596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5968"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146 de 192 </w:t>
                        </w:r>
                      </w:p>
                    </w:txbxContent>
                  </v:textbox>
                </v:rect>
                <w10:wrap type="square"/>
              </v:group>
            </w:pict>
          </mc:Fallback>
        </mc:AlternateContent>
      </w:r>
      <w:r>
        <w:t>-Acuerdos de los Plenos de los Ayuntamientos de Arafo, Candelaria y Güímar durante los meses de marzo de 2020 (12 Arafo y Güímar, 13 Candelaria) en virtud de los cuales se aprobó la primera modificación d</w:t>
      </w:r>
      <w:r>
        <w:t xml:space="preserve">el Plan de Etapas en el marco del expediente 2020/5598 relativo al emisario del Polígono Industrial del Valle de Güímar. </w:t>
      </w:r>
    </w:p>
    <w:p w:rsidR="007617AD" w:rsidRDefault="00EE75C8">
      <w:pPr>
        <w:ind w:left="703" w:right="62"/>
      </w:pPr>
      <w:r>
        <w:t xml:space="preserve">-Acuerdos de los Plenos de los Ayuntamientos de Arafo, Candelaria y Güímar durante los meses de 30 de julio (Arafo y Candelaria) y 17 </w:t>
      </w:r>
      <w:r>
        <w:t xml:space="preserve">de septiembre (Güímar)  de 2021 en virtud de los cuales se aprobó la segunda modificación del Plan de Etapas en el marco del expediente 2021/30472 relativo al emisario del Polígono Industrial del Valle de Güímar. </w:t>
      </w:r>
    </w:p>
    <w:p w:rsidR="007617AD" w:rsidRDefault="00EE75C8">
      <w:pPr>
        <w:ind w:left="703" w:right="62"/>
      </w:pPr>
      <w:r>
        <w:t>-Acuerdos de los Plenos de los Ayuntamient</w:t>
      </w:r>
      <w:r>
        <w:t>os de Arafo, Candelaria y Güímar durante los meses de 28 febrero (Arafo, Candelaria y Güímar)  de 2022 en virtud de los cuales se aprobó la tercera modificación del Plan de Etapas en el marco del expediente 2022/8094 relativo al emisario del Polígono Indus</w:t>
      </w:r>
      <w:r>
        <w:t xml:space="preserve">trial del Valle de Güímar. </w:t>
      </w:r>
    </w:p>
    <w:p w:rsidR="007617AD" w:rsidRDefault="00EE75C8">
      <w:pPr>
        <w:ind w:left="703" w:right="62"/>
      </w:pPr>
      <w:r>
        <w:t>-Resolución del Viceconsejero de Lucha Contra el Cambio Climático del Gobierno de Canarias de 18 de septiembre de 2019, por la que se autoriza al Ayuntamiento de Arafo en su propio nombre y en representación de los Ayuntamientos</w:t>
      </w:r>
      <w:r>
        <w:t xml:space="preserve"> de Candelaria y Güimar al vertido de aguas residuales urbanas e industriales depuradas a través del emisario submarino del Polígono Industrial del Valle de Güimar, ubicado en el término municipal de Arafo (VM-013-TF). </w:t>
      </w:r>
    </w:p>
    <w:p w:rsidR="007617AD" w:rsidRDefault="00EE75C8">
      <w:pPr>
        <w:ind w:left="703" w:right="62"/>
      </w:pPr>
      <w:r>
        <w:t xml:space="preserve">- </w:t>
      </w:r>
      <w:r>
        <w:t>Resoluciones del Sr. Viceconsejero de Lucha contra el Cambio Climático del Gobierno de Canarias nº 207/2020 de fecha 30 de septiembre de 2020, nº 312/2021 de 02 de noviembre de 2021 y nº 101/2022 de fecha 11 de marzo de modificación de la autorización admi</w:t>
      </w:r>
      <w:r>
        <w:t xml:space="preserve">nistrativa de vertido al mar otorgada con destino al emisario submarino del Polígono Industrial del Valle de Güimar.  </w:t>
      </w:r>
    </w:p>
    <w:p w:rsidR="007617AD" w:rsidRDefault="00EE75C8">
      <w:pPr>
        <w:ind w:left="703" w:right="62"/>
      </w:pPr>
      <w:r>
        <w:t xml:space="preserve">-Resolución de la Dirección General de Sostenibilidad y del Mar del Ministerio para la Transición Ecológica de fecha 19 de septiembre de </w:t>
      </w:r>
      <w:r>
        <w:t>2019 por el que se otorga al Ayuntamiento de Arafo la concesión de ocupación de 803 metros cuadrados de dominio público marítimo terrestre con destino a conducción principal de vertido y conducción de aliviadero de emergencia de aguas procedentes del Políg</w:t>
      </w:r>
      <w:r>
        <w:t xml:space="preserve">ono Industrial de Güimar, en el término municipal de Arafo, isla de Tenerife (Santa Cruz de Tenerife). </w:t>
      </w:r>
    </w:p>
    <w:p w:rsidR="007617AD" w:rsidRDefault="00EE75C8">
      <w:pPr>
        <w:ind w:left="703" w:right="62"/>
      </w:pPr>
      <w:r>
        <w:t xml:space="preserve">-Convenio de colaboración entre el CIATF, el Cabildo Insular de Tenerife y los Ayuntamientos de Arafo, Candelaria y Güímar aprobado por el Ayuntamiento </w:t>
      </w:r>
      <w:r>
        <w:t xml:space="preserve">de Candelaria en el Pleno ordinario de 27 de marzo de 2019 y por los Ayuntamientos de Arafo y Güimar en el mes de mayo de 2019 y formalizado por todas las partes intervinientes el día 10 de junio de 2019. </w:t>
      </w:r>
    </w:p>
    <w:p w:rsidR="007617AD" w:rsidRDefault="00EE75C8">
      <w:pPr>
        <w:spacing w:after="142"/>
        <w:ind w:left="703" w:right="62"/>
      </w:pPr>
      <w:r>
        <w:t>El citado convenio en su exposición decimosexta es</w:t>
      </w:r>
      <w:r>
        <w:t xml:space="preserve">tablece lo siguiente: </w:t>
      </w:r>
    </w:p>
    <w:p w:rsidR="007617AD" w:rsidRDefault="00EE75C8">
      <w:pPr>
        <w:ind w:left="1078" w:right="62"/>
      </w:pPr>
      <w:r>
        <w:t xml:space="preserve">[…] </w:t>
      </w:r>
    </w:p>
    <w:p w:rsidR="007617AD" w:rsidRDefault="00EE75C8">
      <w:pPr>
        <w:spacing w:after="110" w:line="248" w:lineRule="auto"/>
        <w:ind w:left="1078" w:right="59"/>
      </w:pPr>
      <w:r>
        <w:rPr>
          <w:i/>
        </w:rPr>
        <w:t>16.- Finalmente, los tres Ayuntamientos firmantes consideran que, una vez ejecutada la EDARi del Polígono Industrial del Valle de Güímar, su gestión y operación debe ser realizada por el Consejo Insular de Aguas de Tenerife, que</w:t>
      </w:r>
      <w:r>
        <w:rPr>
          <w:i/>
        </w:rPr>
        <w:t>dando así articulado un sistema integral de saneamiento para el Valle de Güímar en el que se integren los subsistemas de depuración industrial y de depuración urbana, toda vez que la Administración Hidráulica también se encuentra ejecutando una Estación De</w:t>
      </w:r>
      <w:r>
        <w:rPr>
          <w:i/>
        </w:rPr>
        <w:t xml:space="preserve">puradora de Aguas Residuales para el tratamiento de los efluentes urbanos. </w:t>
      </w:r>
      <w:r>
        <w:rPr>
          <w:rFonts w:ascii="Times New Roman" w:eastAsia="Times New Roman" w:hAnsi="Times New Roman" w:cs="Times New Roman"/>
          <w:sz w:val="24"/>
        </w:rPr>
        <w:t xml:space="preserve"> </w:t>
      </w:r>
    </w:p>
    <w:p w:rsidR="007617AD" w:rsidRDefault="00EE75C8">
      <w:pPr>
        <w:spacing w:after="110" w:line="248" w:lineRule="auto"/>
        <w:ind w:left="1078" w:right="59"/>
      </w:pPr>
      <w:r>
        <w:rPr>
          <w:i/>
        </w:rPr>
        <w:t>Las Corporaciones Municipales, por su parte, desarrollarán todas las facultades propias de la prestación de un servicio público, especialmente, la reglamentación y el cobro de tas</w:t>
      </w:r>
      <w:r>
        <w:rPr>
          <w:i/>
        </w:rPr>
        <w:t xml:space="preserve">as por su prestación.  </w:t>
      </w:r>
    </w:p>
    <w:p w:rsidR="007617AD" w:rsidRDefault="00EE75C8">
      <w:pPr>
        <w:spacing w:after="110" w:line="248" w:lineRule="auto"/>
        <w:ind w:left="1078" w:right="59"/>
      </w:pPr>
      <w:r>
        <w:rPr>
          <w:rFonts w:ascii="Calibri" w:eastAsia="Calibri" w:hAnsi="Calibri" w:cs="Calibri"/>
          <w:noProof/>
        </w:rPr>
        <mc:AlternateContent>
          <mc:Choice Requires="wpg">
            <w:drawing>
              <wp:anchor distT="0" distB="0" distL="114300" distR="114300" simplePos="0" relativeHeight="25181081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6558" name="Group 27655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6088" name="Rectangle 2608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6089" name="Rectangle 26089"/>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147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6558" style="width:12.7031pt;height:280.02pt;position:absolute;mso-position-horizontal-relative:page;mso-position-horizontal:absolute;margin-left:682.278pt;mso-position-vertical-relative:page;margin-top:531.9pt;" coordsize="1613,35562">
                <v:rect id="Rectangle 2608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6089"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147 de 192 </w:t>
                        </w:r>
                      </w:p>
                    </w:txbxContent>
                  </v:textbox>
                </v:rect>
                <w10:wrap type="square"/>
              </v:group>
            </w:pict>
          </mc:Fallback>
        </mc:AlternateContent>
      </w:r>
      <w:r>
        <w:rPr>
          <w:i/>
        </w:rPr>
        <w:t>La gestión del servicio será objet</w:t>
      </w:r>
      <w:r>
        <w:rPr>
          <w:i/>
        </w:rPr>
        <w:t>o de un Convenio específico, previo cumplimiento de los trámites procedentes, entre el Consejo Insular de Aguas de Tenerife, como gestor del servicio, y los Ayuntamientos de Candelaria, Arafo y Güímar, como titulares del mismo. En esta gestión se deberá re</w:t>
      </w:r>
      <w:r>
        <w:rPr>
          <w:i/>
        </w:rPr>
        <w:t xml:space="preserve">spetar los siguientes principios: </w:t>
      </w:r>
    </w:p>
    <w:p w:rsidR="007617AD" w:rsidRDefault="00EE75C8">
      <w:pPr>
        <w:spacing w:after="110" w:line="248" w:lineRule="auto"/>
        <w:ind w:left="1078" w:right="59"/>
      </w:pPr>
      <w:r>
        <w:rPr>
          <w:i/>
        </w:rPr>
        <w:t xml:space="preserve">Primero. - El de repercusión de todos los costes del servicio, incluyendo los costes ambientales, a los usuarios del mismo, en aplicación de lo mandatado por la Directiva Marco del Agua.  </w:t>
      </w:r>
    </w:p>
    <w:p w:rsidR="007617AD" w:rsidRDefault="00EE75C8">
      <w:pPr>
        <w:spacing w:after="110" w:line="248" w:lineRule="auto"/>
        <w:ind w:left="1078" w:right="59"/>
      </w:pPr>
      <w:r>
        <w:rPr>
          <w:i/>
        </w:rPr>
        <w:t>Segundo. - El de autofinanciació</w:t>
      </w:r>
      <w:r>
        <w:rPr>
          <w:i/>
        </w:rPr>
        <w:t xml:space="preserve">n del servicio, por lo que todos los costes generados (funcionamiento, conservación, administración, inversión) se repercutirán, en las proporciones y cuantías que se determinen, entre los usuarios del Sistema.  </w:t>
      </w:r>
    </w:p>
    <w:p w:rsidR="007617AD" w:rsidRDefault="00EE75C8">
      <w:pPr>
        <w:spacing w:after="144" w:line="248" w:lineRule="auto"/>
        <w:ind w:left="1078" w:right="59"/>
      </w:pPr>
      <w:r>
        <w:rPr>
          <w:i/>
        </w:rPr>
        <w:t xml:space="preserve">Tercero- El de equidad insular, por lo que </w:t>
      </w:r>
      <w:r>
        <w:rPr>
          <w:i/>
        </w:rPr>
        <w:t xml:space="preserve">no podrán existir diferencias sustanciales entre el coste del servicio en el Polígono Industrial del Valle de Güímar y en otras zonas donde el Consejo Insular de Aguas pudiera asumir competencias similares.  </w:t>
      </w:r>
    </w:p>
    <w:p w:rsidR="007617AD" w:rsidRDefault="00EE75C8">
      <w:pPr>
        <w:spacing w:after="92" w:line="265" w:lineRule="auto"/>
        <w:ind w:left="10" w:right="62"/>
        <w:jc w:val="right"/>
      </w:pPr>
      <w:r>
        <w:t xml:space="preserve">[…] </w:t>
      </w:r>
    </w:p>
    <w:p w:rsidR="007617AD" w:rsidRDefault="00EE75C8">
      <w:pPr>
        <w:spacing w:after="112" w:line="259" w:lineRule="auto"/>
        <w:ind w:left="708" w:firstLine="0"/>
        <w:jc w:val="left"/>
      </w:pPr>
      <w:r>
        <w:rPr>
          <w:b/>
        </w:rPr>
        <w:t xml:space="preserve"> </w:t>
      </w:r>
    </w:p>
    <w:p w:rsidR="007617AD" w:rsidRDefault="00EE75C8">
      <w:pPr>
        <w:spacing w:after="93"/>
        <w:ind w:left="703" w:right="58"/>
      </w:pPr>
      <w:r>
        <w:rPr>
          <w:b/>
        </w:rPr>
        <w:t>3.1. Competencias municipales: Ayuntamientos de Arafo, Candelaria y Güímar.</w:t>
      </w:r>
      <w:r>
        <w:rPr>
          <w:rFonts w:ascii="Times New Roman" w:eastAsia="Times New Roman" w:hAnsi="Times New Roman" w:cs="Times New Roman"/>
          <w:sz w:val="24"/>
        </w:rPr>
        <w:t xml:space="preserve"> </w:t>
      </w:r>
    </w:p>
    <w:p w:rsidR="007617AD" w:rsidRDefault="00EE75C8">
      <w:pPr>
        <w:spacing w:after="230"/>
        <w:ind w:left="703" w:right="62"/>
      </w:pPr>
      <w:r>
        <w:t>El art. 7.2 LRBRL dispone que “Las competencias propias de los Municipios, las Provincias, las Islas y demás Entidades Locales territoriales solo podrán ser determinadas por Ley y</w:t>
      </w:r>
      <w:r>
        <w:t xml:space="preserve"> se ejercen en régimen de autonomía y bajo la propia responsabilidad, atendiendo siempre a la debida coordinación en su programación y ejecución con las demás Administraciones Públicas”.  </w:t>
      </w:r>
    </w:p>
    <w:p w:rsidR="007617AD" w:rsidRDefault="00EE75C8">
      <w:pPr>
        <w:ind w:left="703" w:right="62"/>
      </w:pPr>
      <w:r>
        <w:t xml:space="preserve">En este sentido conforme al art. 25.2 LRBRL el municipio ejercerá, </w:t>
      </w:r>
      <w:r>
        <w:t>en todo caso, competencias propias en materia de "evacuación y tratamiento de aguas residuales” (letra c.).</w:t>
      </w:r>
      <w:r>
        <w:rPr>
          <w:rFonts w:ascii="Times New Roman" w:eastAsia="Times New Roman" w:hAnsi="Times New Roman" w:cs="Times New Roman"/>
          <w:sz w:val="24"/>
        </w:rPr>
        <w:t xml:space="preserve"> </w:t>
      </w:r>
    </w:p>
    <w:p w:rsidR="007617AD" w:rsidRDefault="00EE75C8">
      <w:pPr>
        <w:spacing w:after="231"/>
        <w:ind w:left="703" w:right="62"/>
      </w:pPr>
      <w:r>
        <w:t xml:space="preserve">Asimismo, conforme a los apartados 3 y 4 del referido art. 25 LRBRL: </w:t>
      </w:r>
    </w:p>
    <w:p w:rsidR="007617AD" w:rsidRDefault="00EE75C8">
      <w:pPr>
        <w:numPr>
          <w:ilvl w:val="0"/>
          <w:numId w:val="79"/>
        </w:numPr>
        <w:spacing w:after="234" w:line="248" w:lineRule="auto"/>
        <w:ind w:right="59"/>
      </w:pPr>
      <w:r>
        <w:rPr>
          <w:i/>
        </w:rPr>
        <w:t>Las competencias municipales en las materias enunciadas en este artículo se d</w:t>
      </w:r>
      <w:r>
        <w:rPr>
          <w:i/>
        </w:rPr>
        <w:t xml:space="preserve">eterminarán por Ley debiendo evaluar la conveniencia de la implantación de servicios locales conforme a los principios de descentralización, eficiencia, estabilidad y sostenibilidad financiera. </w:t>
      </w:r>
    </w:p>
    <w:p w:rsidR="007617AD" w:rsidRDefault="00EE75C8">
      <w:pPr>
        <w:numPr>
          <w:ilvl w:val="0"/>
          <w:numId w:val="79"/>
        </w:numPr>
        <w:spacing w:after="231" w:line="248" w:lineRule="auto"/>
        <w:ind w:right="59"/>
      </w:pPr>
      <w:r>
        <w:rPr>
          <w:i/>
        </w:rPr>
        <w:t>La Ley a que se refiere el apartado anterior deberá ir acompañada de una memoria económica que refleje el impacto sobre los recursos financieros de las Administraciones Públicas afectadas y el cumplimiento de los principios de estabilidad, sostenibilidad f</w:t>
      </w:r>
      <w:r>
        <w:rPr>
          <w:i/>
        </w:rPr>
        <w:t>inanciera y eficiencia del servicio o la actividad. La Ley debe prever la dotación de los recursos necesarios para asegurar la suficiencia financiera de las Entidades Locales sin que ello pueda conllevar, en ningún caso, un mayor gasto de las Administracio</w:t>
      </w:r>
      <w:r>
        <w:rPr>
          <w:i/>
        </w:rPr>
        <w:t xml:space="preserve">nes  </w:t>
      </w:r>
    </w:p>
    <w:p w:rsidR="007617AD" w:rsidRDefault="00EE75C8">
      <w:pPr>
        <w:spacing w:after="231"/>
        <w:ind w:left="703" w:right="62"/>
      </w:pPr>
      <w:r>
        <w:t xml:space="preserve">Es de aplicación el artículo 26.1 a) de la Ley de Bases del Régimen local que atribuye a todos los municipios la competencia de alcantarillado. </w:t>
      </w:r>
    </w:p>
    <w:p w:rsidR="007617AD" w:rsidRDefault="00EE75C8">
      <w:pPr>
        <w:spacing w:after="209"/>
        <w:ind w:left="703" w:right="62"/>
      </w:pPr>
      <w:r>
        <w:t>Por otra parte, la Ley 14/1986, de 25 de abril, General de Sanidad, que concreta las competencias municip</w:t>
      </w:r>
      <w:r>
        <w:t>ales en materia de “medio ambiente urbano”, en su art. 42, apartado 3, considera una responsabilidad mínima de los Ayuntamientos el “control sanitario del medio ambiente: la contaminación atmosférica, abastecimiento de aguas, saneamiento de aguas residuale</w:t>
      </w:r>
      <w:r>
        <w:t xml:space="preserve">s, residuos urbanos e industriales”. </w:t>
      </w:r>
      <w:r>
        <w:rPr>
          <w:rFonts w:ascii="Times New Roman" w:eastAsia="Times New Roman" w:hAnsi="Times New Roman" w:cs="Times New Roman"/>
          <w:sz w:val="24"/>
        </w:rPr>
        <w:t xml:space="preserve"> </w:t>
      </w:r>
    </w:p>
    <w:p w:rsidR="007617AD" w:rsidRDefault="00EE75C8">
      <w:pPr>
        <w:spacing w:after="212"/>
        <w:ind w:left="703" w:right="62"/>
      </w:pPr>
      <w:r>
        <w:rPr>
          <w:rFonts w:ascii="Calibri" w:eastAsia="Calibri" w:hAnsi="Calibri" w:cs="Calibri"/>
          <w:noProof/>
        </w:rPr>
        <mc:AlternateContent>
          <mc:Choice Requires="wpg">
            <w:drawing>
              <wp:anchor distT="0" distB="0" distL="114300" distR="114300" simplePos="0" relativeHeight="25181184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6352" name="Group 27635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6205" name="Rectangle 2620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6206" name="Rectangle 26206"/>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148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6352" style="width:12.7031pt;height:280.02pt;position:absolute;mso-position-horizontal-relative:page;mso-position-horizontal:absolute;margin-left:682.278pt;mso-position-vertical-relative:page;margin-top:531.9pt;" coordsize="1613,35562">
                <v:rect id="Rectangle 2620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6206"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148 de 192 </w:t>
                        </w:r>
                      </w:p>
                    </w:txbxContent>
                  </v:textbox>
                </v:rect>
                <w10:wrap type="square"/>
              </v:group>
            </w:pict>
          </mc:Fallback>
        </mc:AlternateContent>
      </w:r>
      <w:r>
        <w:t>El art. 10 del Decreto 174/1994 de 29 de julio, por el que se aprueba el Reglamento de Control de Vertidos para la ocupación del dominio público hidráulico. (RCV), según el cual “los municipios son directamente responsables de los servicios de abastecimien</w:t>
      </w:r>
      <w:r>
        <w:t>to domiciliario de agua potable, de alcantarillado y de tratamiento o depuración de las aguas residuales en los términos de la legislación de régimen local. Entre sus responsabilidades se incluyen (…) b.) El buen funcionamiento de sus servicios de depuraci</w:t>
      </w:r>
      <w:r>
        <w:t xml:space="preserve">ón, así como la vigilancia de los instalados en las urbanizaciones no conectados al sistema general; c.) El control de los efluentes de sus servicios de alcantarillado y depuración de aguas residuales (…)”. </w:t>
      </w:r>
      <w:r>
        <w:rPr>
          <w:rFonts w:ascii="Times New Roman" w:eastAsia="Times New Roman" w:hAnsi="Times New Roman" w:cs="Times New Roman"/>
          <w:sz w:val="24"/>
        </w:rPr>
        <w:t xml:space="preserve"> </w:t>
      </w:r>
    </w:p>
    <w:p w:rsidR="007617AD" w:rsidRDefault="00EE75C8">
      <w:pPr>
        <w:spacing w:after="234"/>
        <w:ind w:left="703" w:right="62"/>
      </w:pPr>
      <w:r>
        <w:t>Es de aplicación la norma 297.3 del Plan Hidrol</w:t>
      </w:r>
      <w:r>
        <w:t xml:space="preserve">ógico de la Demarcación Hidrográfica de Tenerife, aprobado mediante Decreto 168/2018, de 26 de noviembre (BOC nº 250 de 27 de diciembre de 2018), que en su apartado 2 dispone: </w:t>
      </w:r>
    </w:p>
    <w:p w:rsidR="007617AD" w:rsidRDefault="00EE75C8">
      <w:pPr>
        <w:spacing w:after="231" w:line="248" w:lineRule="auto"/>
        <w:ind w:left="703" w:right="59"/>
      </w:pPr>
      <w:r>
        <w:rPr>
          <w:i/>
        </w:rPr>
        <w:t xml:space="preserve">El servicio de tratamiento del agua residual y el vertido podrá ser gestionado </w:t>
      </w:r>
      <w:r>
        <w:rPr>
          <w:i/>
        </w:rPr>
        <w:t xml:space="preserve">mediante fórmula de convenio entre el CIATF y uno o varios Ayuntamientos. </w:t>
      </w:r>
    </w:p>
    <w:p w:rsidR="007617AD" w:rsidRDefault="00EE75C8">
      <w:pPr>
        <w:spacing w:after="234" w:line="248" w:lineRule="auto"/>
        <w:ind w:left="703" w:right="59"/>
      </w:pPr>
      <w:r>
        <w:rPr>
          <w:i/>
        </w:rPr>
        <w:t>En este caso, se entenderá que el órgano de gestión del Convenio asume la prestación del servicio para su gestión –de manera habitual- por el Consejo Insular de Aguas, sin perjuicio</w:t>
      </w:r>
      <w:r>
        <w:rPr>
          <w:i/>
        </w:rPr>
        <w:t xml:space="preserve"> de lo que corresponda en razón de la autonomía de cada Ayuntamiento en su término municipal.  </w:t>
      </w:r>
    </w:p>
    <w:p w:rsidR="007617AD" w:rsidRDefault="00EE75C8">
      <w:pPr>
        <w:spacing w:after="229" w:line="248" w:lineRule="auto"/>
        <w:ind w:left="703" w:right="59"/>
      </w:pPr>
      <w:r>
        <w:rPr>
          <w:i/>
        </w:rPr>
        <w:t>El Consejo Insular se subrogará en la explotación de las instalaciones de depuración y vertido del agua residual que no cumplan las condiciones adecuadas para l</w:t>
      </w:r>
      <w:r>
        <w:rPr>
          <w:i/>
        </w:rPr>
        <w:t xml:space="preserve">a protección del medio ambiente o impidan el tratamiento de la regeneración del agua residual, si fuere necesario para la planificación hidráulica insular. </w:t>
      </w:r>
    </w:p>
    <w:p w:rsidR="007617AD" w:rsidRDefault="00EE75C8">
      <w:pPr>
        <w:spacing w:after="216"/>
        <w:ind w:left="703" w:right="58"/>
      </w:pPr>
      <w:r>
        <w:rPr>
          <w:b/>
        </w:rPr>
        <w:t>3.2. Competencias insulares para la gestión conjunta de las infraestructuras de depuración y vertid</w:t>
      </w:r>
      <w:r>
        <w:rPr>
          <w:b/>
        </w:rPr>
        <w:t xml:space="preserve">o integradas en el Sistema Territorial de Saneamiento del Valle de Güímar y Polígono Industrial del Valle de Güímar. </w:t>
      </w:r>
    </w:p>
    <w:p w:rsidR="007617AD" w:rsidRDefault="00EE75C8">
      <w:pPr>
        <w:spacing w:after="212" w:line="248" w:lineRule="auto"/>
        <w:ind w:left="703" w:right="59"/>
      </w:pPr>
      <w:r>
        <w:t xml:space="preserve">Es de aplicación el artículo 26.2 de la Ley de Bases del Régimen local que establece: </w:t>
      </w:r>
      <w:r>
        <w:rPr>
          <w:i/>
        </w:rPr>
        <w:t>2. En los municipios con población inferior a 20.000</w:t>
      </w:r>
      <w:r>
        <w:rPr>
          <w:i/>
        </w:rPr>
        <w:t xml:space="preserve"> habitantes será la Diputación provincial o entidad equivalente la que coordinará la prestación de los siguientes servicios: b) (…) evacuación y tratamiento de aguas residuales. </w:t>
      </w:r>
      <w:r>
        <w:rPr>
          <w:rFonts w:ascii="Times New Roman" w:eastAsia="Times New Roman" w:hAnsi="Times New Roman" w:cs="Times New Roman"/>
          <w:sz w:val="24"/>
        </w:rPr>
        <w:t xml:space="preserve"> </w:t>
      </w:r>
    </w:p>
    <w:p w:rsidR="007617AD" w:rsidRDefault="00EE75C8">
      <w:pPr>
        <w:spacing w:after="216"/>
        <w:ind w:left="703" w:right="62"/>
      </w:pPr>
      <w:r>
        <w:t>Es de aplicación lo dispuesto en el artículo 41.1 de la Ley de Bases del Rég</w:t>
      </w:r>
      <w:r>
        <w:t>imen local que establece Los Cabildos Insulares Canarios, como órganos de gobierno, administración y representación de cada isla, se rigen por las normas contenidas en la disposición adicional decimocuarta de esta ley y supletoriamente por las normas que r</w:t>
      </w:r>
      <w:r>
        <w:t>egulan la organización y funcionamiento de las Diputaciones provinciales, asumiendo las competencias de éstas, sin perjuicio de lo dispuesto en el Estatuto de Autonomía de Canarias.</w:t>
      </w:r>
      <w:r>
        <w:rPr>
          <w:rFonts w:ascii="Times New Roman" w:eastAsia="Times New Roman" w:hAnsi="Times New Roman" w:cs="Times New Roman"/>
          <w:sz w:val="24"/>
        </w:rPr>
        <w:t xml:space="preserve"> </w:t>
      </w:r>
    </w:p>
    <w:p w:rsidR="007617AD" w:rsidRDefault="00EE75C8">
      <w:pPr>
        <w:spacing w:after="211" w:line="248" w:lineRule="auto"/>
        <w:ind w:left="703" w:right="59"/>
      </w:pPr>
      <w:r>
        <w:t xml:space="preserve">Es de aplicación la norma 298.1 “Gestión supramunicipal del Saneamiento” </w:t>
      </w:r>
      <w:r>
        <w:t xml:space="preserve">del Plan Hidrológico de la Demarcación Hidrográfica de Tenerife, aprobado mediante Decreto 168/2018, de 26 de noviembre (BOC nº 250 de 27 de diciembre de 2018), que dispone: </w:t>
      </w:r>
      <w:r>
        <w:rPr>
          <w:i/>
        </w:rPr>
        <w:t>1.- En los municipios de menos de 20.000 habitantes, el Cabildo de Tenerife –direc</w:t>
      </w:r>
      <w:r>
        <w:rPr>
          <w:i/>
        </w:rPr>
        <w:t>tamente o a través del Consejo Insular de Aguas, según se establezca -coordinará la prestación del servicio de saneamiento del agua residual en los términos previstos en el artículo 26.2 de la Ley de Bases del Régimen local (…).</w:t>
      </w:r>
      <w:r>
        <w:rPr>
          <w:rFonts w:ascii="Times New Roman" w:eastAsia="Times New Roman" w:hAnsi="Times New Roman" w:cs="Times New Roman"/>
          <w:sz w:val="24"/>
        </w:rPr>
        <w:t xml:space="preserve"> </w:t>
      </w:r>
    </w:p>
    <w:p w:rsidR="007617AD" w:rsidRDefault="00EE75C8">
      <w:pPr>
        <w:spacing w:after="232"/>
        <w:ind w:left="703" w:right="62"/>
      </w:pPr>
      <w:r>
        <w:rPr>
          <w:rFonts w:ascii="Calibri" w:eastAsia="Calibri" w:hAnsi="Calibri" w:cs="Calibri"/>
          <w:noProof/>
        </w:rPr>
        <mc:AlternateContent>
          <mc:Choice Requires="wpg">
            <w:drawing>
              <wp:anchor distT="0" distB="0" distL="114300" distR="114300" simplePos="0" relativeHeight="25181286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8615" name="Group 278615"/>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6336" name="Rectangle 2633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6337" name="Rectangle 26337"/>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149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8615" style="width:12.7031pt;height:280.02pt;position:absolute;mso-position-horizontal-relative:page;mso-position-horizontal:absolute;margin-left:682.278pt;mso-position-vertical-relative:page;margin-top:531.9pt;" coordsize="1613,35562">
                <v:rect id="Rectangle 2633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6337"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149 de 192 </w:t>
                        </w:r>
                      </w:p>
                    </w:txbxContent>
                  </v:textbox>
                </v:rect>
                <w10:wrap type="square"/>
              </v:group>
            </w:pict>
          </mc:Fallback>
        </mc:AlternateContent>
      </w:r>
      <w:r>
        <w:t>Los Consejos Insulares son Organismos Autónomos que ejercen e</w:t>
      </w:r>
      <w:r>
        <w:t xml:space="preserve">n cada Isla las funciones que, en relación con las aguas, la legislación general confía a los Organismos de cuenca, así como las competencias que le otorga la propia Ley de Aguas de Canarias (arts. 6 y 10 LAC).  </w:t>
      </w:r>
    </w:p>
    <w:p w:rsidR="007617AD" w:rsidRDefault="00EE75C8">
      <w:pPr>
        <w:spacing w:after="216"/>
        <w:ind w:left="703" w:right="62"/>
      </w:pPr>
      <w:r>
        <w:t>El Consejo Insular de Aguas de Tenerife tie</w:t>
      </w:r>
      <w:r>
        <w:t xml:space="preserve">ne atribuidas, entre otras funciones, la prestación de toda clase de servicios técnicos y el asesoramiento a las Administraciones Públicas, según determina la Ley 12/1990, de 26 de julio, de Aguas de Canarias. </w:t>
      </w:r>
      <w:r>
        <w:rPr>
          <w:rFonts w:ascii="Times New Roman" w:eastAsia="Times New Roman" w:hAnsi="Times New Roman" w:cs="Times New Roman"/>
          <w:sz w:val="24"/>
        </w:rPr>
        <w:t xml:space="preserve"> </w:t>
      </w:r>
    </w:p>
    <w:p w:rsidR="007617AD" w:rsidRDefault="00EE75C8">
      <w:pPr>
        <w:spacing w:after="211"/>
        <w:ind w:left="703" w:right="62"/>
      </w:pPr>
      <w:r>
        <w:t xml:space="preserve">Atendiendo a lo anterior, de acuerdo con la </w:t>
      </w:r>
      <w:r>
        <w:t>actuación desarrollada hasta la fecha en los Convenios formalizados con los Ayuntamientos de la Isla para articular sus competencias en lo que respecta a la depuración y vertido, corresponde al CIATF la gestión de las infraestructuras a través de la fórmul</w:t>
      </w:r>
      <w:r>
        <w:t>a que se considere adecuada a tal fin (que podrá ser por contratos de servicios (funciones de operación) o encargo a medio propio, una combinación de ambas u otras fórmulas previstas en el ordenamiento jurídico que sean adecuadas a tal fin), y a llevar a c</w:t>
      </w:r>
      <w:r>
        <w:t xml:space="preserve">abo un control ambiental y técnico de su funcionamiento. Además, el CIATF prefinancia esta gestión pues atiende a todos los gastos (incluyendo la electricidad) y, a posteriori, procede a su repercusión íntegra a los Ayuntamientos. </w:t>
      </w:r>
      <w:r>
        <w:rPr>
          <w:rFonts w:ascii="Times New Roman" w:eastAsia="Times New Roman" w:hAnsi="Times New Roman" w:cs="Times New Roman"/>
          <w:sz w:val="24"/>
        </w:rPr>
        <w:t xml:space="preserve"> </w:t>
      </w:r>
    </w:p>
    <w:p w:rsidR="007617AD" w:rsidRDefault="00EE75C8">
      <w:pPr>
        <w:ind w:left="703" w:right="58"/>
      </w:pPr>
      <w:r>
        <w:rPr>
          <w:b/>
        </w:rPr>
        <w:t>CUARTO. - ESTACIÓN DEPU</w:t>
      </w:r>
      <w:r>
        <w:rPr>
          <w:b/>
        </w:rPr>
        <w:t xml:space="preserve">RADORA DE AGUAS RESIDUALES URBANAS DEL VALLE DE GÜÍMAR (EDARU). </w:t>
      </w:r>
    </w:p>
    <w:p w:rsidR="007617AD" w:rsidRDefault="00EE75C8">
      <w:pPr>
        <w:ind w:left="703" w:right="62"/>
      </w:pPr>
      <w:r>
        <w:t>Las obras de la EDARU, que está ubicada en el T.M. de Arafo, fueron adjudicadas con fecha 13 de septiembre de 2017 a la U.T.E. conformada por FERROVIAL AGROMAN, S.A. – CADAGUA, S.A., por un i</w:t>
      </w:r>
      <w:r>
        <w:t>mporte de 9.809.062,71 € y un plazo de ejecución de 30 meses, formalizándose el correspondiente contrato administrativo el 5 de octubre de 2017 (anuncio insertado en el DOUE de 19/10/2017, 414543-2017-ES). Por requerimientos de encaje físico y perfeccionam</w:t>
      </w:r>
      <w:r>
        <w:t xml:space="preserve">iento tecnológico se aprobó y rubricó una Modificación del Proyecto anterior alcanzando un presupuesto de 12.310.399,87€. </w:t>
      </w:r>
    </w:p>
    <w:p w:rsidR="007617AD" w:rsidRDefault="00EE75C8">
      <w:pPr>
        <w:ind w:left="703" w:right="62"/>
      </w:pPr>
      <w:r>
        <w:t>El inicio de las obras tuvo lugar el 27 de octubre de 2017, con la suscripción del Acta de Comprobación del Replanteo, estando previs</w:t>
      </w:r>
      <w:r>
        <w:t xml:space="preserve">ta la recepción de las obras -a la fecha de firma del presente Convenio-  en el mes de diciembre de 2022 y su puesta en funcionamiento en el mes de enero de 2025 cuando se culminen las actuaciones que posibiliten la llegada de los caudales colectados a la </w:t>
      </w:r>
      <w:r>
        <w:t xml:space="preserve">misma (actuaciones no incluidas en las obras de la EDARU). Dichas actuaciones figuran en el cronograma que se incorpora como Anexo III del presente convenio.  </w:t>
      </w:r>
    </w:p>
    <w:p w:rsidR="007617AD" w:rsidRDefault="00EE75C8">
      <w:pPr>
        <w:ind w:left="703" w:right="62"/>
      </w:pPr>
      <w:r>
        <w:t>La capacidad de tratamiento de la EDARU es de 75.833 habitantes equivalentes suficiente para cub</w:t>
      </w:r>
      <w:r>
        <w:t xml:space="preserve">rir la totalidad de la carga contaminante urbana de los tres municipios a los que prestará servicio, es decir Candelaria, Arafo y Güímar, ampliable hasta 113.750 habitantes equivalentes para el horizonte temporal 2027. </w:t>
      </w:r>
    </w:p>
    <w:p w:rsidR="007617AD" w:rsidRDefault="00EE75C8">
      <w:pPr>
        <w:ind w:left="703" w:right="62"/>
      </w:pPr>
      <w:r>
        <w:t>El 100% del coste de las actuaciones</w:t>
      </w:r>
      <w:r>
        <w:t xml:space="preserve"> en esta obra incluyendo la redacción del proyecto inicial han sido sufragados con presupuestos del CIATF. </w:t>
      </w:r>
    </w:p>
    <w:p w:rsidR="007617AD" w:rsidRDefault="00EE75C8">
      <w:pPr>
        <w:spacing w:after="76" w:line="259" w:lineRule="auto"/>
        <w:ind w:left="708" w:firstLine="0"/>
        <w:jc w:val="left"/>
      </w:pPr>
      <w:r>
        <w:rPr>
          <w:rFonts w:ascii="Times New Roman" w:eastAsia="Times New Roman" w:hAnsi="Times New Roman" w:cs="Times New Roman"/>
          <w:b/>
          <w:sz w:val="24"/>
        </w:rPr>
        <w:t xml:space="preserve"> </w:t>
      </w:r>
    </w:p>
    <w:p w:rsidR="007617AD" w:rsidRDefault="00EE75C8">
      <w:pPr>
        <w:ind w:left="703" w:right="58"/>
      </w:pPr>
      <w:r>
        <w:rPr>
          <w:b/>
        </w:rPr>
        <w:t>QUINTO. -</w:t>
      </w:r>
      <w:r>
        <w:t xml:space="preserve"> </w:t>
      </w:r>
      <w:r>
        <w:rPr>
          <w:b/>
        </w:rPr>
        <w:t xml:space="preserve">ESTACIÓN DEPURADORA DE AGUAS RESIDUALES INDUSTRIALES (EDARI) DEL POLÍGONO INDUSTRIAL DEL VALLE DE GÜIMAR Y ACTUACIONES COMPLEMENTARIAS. </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ind w:left="703" w:right="62"/>
      </w:pPr>
      <w:r>
        <w:t xml:space="preserve">Las obras de la EDARI, así como las actuaciones complementarias. fueron adjudicadas con fecha 16 de septiembre de 2019 la U.T.E. HIDROTEC AGUAS, S.L. y SATOCAN S.A., por un importe de </w:t>
      </w:r>
    </w:p>
    <w:p w:rsidR="007617AD" w:rsidRDefault="00EE75C8">
      <w:pPr>
        <w:spacing w:after="0"/>
        <w:ind w:left="703" w:right="62"/>
      </w:pPr>
      <w:r>
        <w:rPr>
          <w:rFonts w:ascii="Calibri" w:eastAsia="Calibri" w:hAnsi="Calibri" w:cs="Calibri"/>
          <w:noProof/>
        </w:rPr>
        <mc:AlternateContent>
          <mc:Choice Requires="wpg">
            <w:drawing>
              <wp:anchor distT="0" distB="0" distL="114300" distR="114300" simplePos="0" relativeHeight="25181388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8565" name="Group 278565"/>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6454" name="Rectangle 2645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6455" name="Rectangle 26455"/>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150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8565" style="width:12.7031pt;height:280.02pt;position:absolute;mso-position-horizontal-relative:page;mso-position-horizontal:absolute;margin-left:682.278pt;mso-position-vertical-relative:page;margin-top:531.9pt;" coordsize="1613,35562">
                <v:rect id="Rectangle 2645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6455"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150 de 192 </w:t>
                        </w:r>
                      </w:p>
                    </w:txbxContent>
                  </v:textbox>
                </v:rect>
                <w10:wrap type="square"/>
              </v:group>
            </w:pict>
          </mc:Fallback>
        </mc:AlternateContent>
      </w:r>
      <w:r>
        <w:t xml:space="preserve">5.235.122,44 € -6,5% IGIC aplicable no incluido – y un plazo </w:t>
      </w:r>
      <w:r>
        <w:t>de 23 meses (17 meses de ejecución y 6 meses de periodo de pruebas). La correspondiente Acta de Comprobación de Replanteo se suscribió el 21 de noviembre de 2019, habiéndose iniciado con ello las obras. Así mismo se aprobó y rubricó un modificado necesario</w:t>
      </w:r>
      <w:r>
        <w:t xml:space="preserve"> para optimizar la operación posterior de la planta lo que el presupuesto total alcanza los 5.991.461,46 €. </w:t>
      </w:r>
    </w:p>
    <w:p w:rsidR="007617AD" w:rsidRDefault="00EE75C8">
      <w:pPr>
        <w:spacing w:after="0" w:line="259" w:lineRule="auto"/>
        <w:ind w:left="708" w:firstLine="0"/>
        <w:jc w:val="left"/>
      </w:pPr>
      <w:r>
        <w:t xml:space="preserve"> </w:t>
      </w:r>
    </w:p>
    <w:p w:rsidR="007617AD" w:rsidRDefault="00EE75C8">
      <w:pPr>
        <w:ind w:left="703" w:right="62"/>
      </w:pPr>
      <w:r>
        <w:t>La capacidad de tratamiento de la EDARI es de 14.126 habitantes equivalentes suficiente para cubrir la totalidad de la carga contaminante industr</w:t>
      </w:r>
      <w:r>
        <w:t xml:space="preserve">ial del polígono en un horizonte temporal futuro a los que prestará servicio, es decir Candelaria, Arafo y Güímar. </w:t>
      </w:r>
    </w:p>
    <w:p w:rsidR="007617AD" w:rsidRDefault="00EE75C8">
      <w:pPr>
        <w:ind w:left="703" w:right="62"/>
      </w:pPr>
      <w:r>
        <w:t>La finalización de la EDARi está prevista inicialmente para finales de noviembre de 2022 y su recepción en el mes de diciembre de 2022, conf</w:t>
      </w:r>
      <w:r>
        <w:t xml:space="preserve">orme al plan de etapas actualmente vigente, sin perjuicio de eventuales modificaciones que pudieran producirse como consecuencia de la ejecución y puesta en funcionamiento de la instalación. </w:t>
      </w:r>
    </w:p>
    <w:p w:rsidR="007617AD" w:rsidRDefault="00EE75C8">
      <w:pPr>
        <w:ind w:left="703" w:right="62"/>
      </w:pPr>
      <w:r>
        <w:t>El 100% del coste de las actuaciones en estas obras (EDARI y act</w:t>
      </w:r>
      <w:r>
        <w:t xml:space="preserve">uaciones complementarias) incluyendo la redacción del proyecto inicial han sido sufragados con presupuestos del CIATF. </w:t>
      </w:r>
    </w:p>
    <w:p w:rsidR="007617AD" w:rsidRDefault="00EE75C8">
      <w:pPr>
        <w:spacing w:after="100" w:line="259" w:lineRule="auto"/>
        <w:ind w:left="708" w:firstLine="0"/>
        <w:jc w:val="left"/>
      </w:pPr>
      <w:r>
        <w:rPr>
          <w:b/>
        </w:rPr>
        <w:t xml:space="preserve"> </w:t>
      </w:r>
    </w:p>
    <w:p w:rsidR="007617AD" w:rsidRDefault="00EE75C8">
      <w:pPr>
        <w:ind w:left="703" w:right="58"/>
      </w:pPr>
      <w:r>
        <w:rPr>
          <w:b/>
        </w:rPr>
        <w:t xml:space="preserve">SEXTO. - CAUDALES DE DISEÑO DE LAS INSTALACIONES DE DEPURACIÓN DEL AGUA RESIDUAL URBANA E INDUSTRIAL. </w:t>
      </w:r>
    </w:p>
    <w:p w:rsidR="007617AD" w:rsidRDefault="00EE75C8">
      <w:pPr>
        <w:spacing w:after="100" w:line="259" w:lineRule="auto"/>
        <w:ind w:left="708" w:firstLine="0"/>
        <w:jc w:val="left"/>
      </w:pPr>
      <w:r>
        <w:rPr>
          <w:b/>
        </w:rPr>
        <w:t xml:space="preserve"> </w:t>
      </w:r>
    </w:p>
    <w:p w:rsidR="007617AD" w:rsidRDefault="00EE75C8">
      <w:pPr>
        <w:ind w:left="703" w:right="62"/>
      </w:pPr>
      <w:r>
        <w:t>Las instalaciones antes descr</w:t>
      </w:r>
      <w:r>
        <w:t xml:space="preserve">itas, EDARU y EDARI, se han diseñado para tratar un volumen de agua estimado por municipio y que se detalla en la siguiente tabla. Estos caudales determinan la </w:t>
      </w:r>
      <w:r>
        <w:rPr>
          <w:u w:val="single" w:color="000000"/>
        </w:rPr>
        <w:t>capacidad de tratamiento reservada</w:t>
      </w:r>
      <w:r>
        <w:t xml:space="preserve"> en las instalaciones para cada uno de los Ayuntamientos y a l</w:t>
      </w:r>
      <w:r>
        <w:t xml:space="preserve">a vez establecen la cuota de participación de cada Ayuntamiento en los costes fijos bajo la premisa de </w:t>
      </w:r>
      <w:r>
        <w:rPr>
          <w:u w:val="single" w:color="000000"/>
        </w:rPr>
        <w:t>proporcionalidad entre la cuota de tratamiento asignada por municipio y los costes fijos de</w:t>
      </w:r>
      <w:r>
        <w:t xml:space="preserve"> </w:t>
      </w:r>
      <w:r>
        <w:rPr>
          <w:u w:val="single" w:color="000000"/>
        </w:rPr>
        <w:t>ambas instalaciones.</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tbl>
      <w:tblPr>
        <w:tblStyle w:val="TableGrid"/>
        <w:tblW w:w="8491" w:type="dxa"/>
        <w:tblInd w:w="1232" w:type="dxa"/>
        <w:tblCellMar>
          <w:top w:w="46" w:type="dxa"/>
          <w:left w:w="29" w:type="dxa"/>
          <w:bottom w:w="0" w:type="dxa"/>
          <w:right w:w="115" w:type="dxa"/>
        </w:tblCellMar>
        <w:tblLook w:val="04A0" w:firstRow="1" w:lastRow="0" w:firstColumn="1" w:lastColumn="0" w:noHBand="0" w:noVBand="1"/>
      </w:tblPr>
      <w:tblGrid>
        <w:gridCol w:w="2826"/>
        <w:gridCol w:w="950"/>
        <w:gridCol w:w="944"/>
        <w:gridCol w:w="938"/>
        <w:gridCol w:w="950"/>
        <w:gridCol w:w="944"/>
        <w:gridCol w:w="938"/>
      </w:tblGrid>
      <w:tr w:rsidR="007617AD">
        <w:trPr>
          <w:trHeight w:val="253"/>
        </w:trPr>
        <w:tc>
          <w:tcPr>
            <w:tcW w:w="2826" w:type="dxa"/>
            <w:vMerge w:val="restart"/>
            <w:tcBorders>
              <w:top w:val="nil"/>
              <w:left w:val="nil"/>
              <w:bottom w:val="nil"/>
              <w:right w:val="single" w:sz="9" w:space="0" w:color="000000"/>
            </w:tcBorders>
          </w:tcPr>
          <w:p w:rsidR="007617AD" w:rsidRDefault="007617AD">
            <w:pPr>
              <w:spacing w:after="160" w:line="259" w:lineRule="auto"/>
              <w:ind w:left="0" w:firstLine="0"/>
              <w:jc w:val="left"/>
            </w:pPr>
          </w:p>
        </w:tc>
        <w:tc>
          <w:tcPr>
            <w:tcW w:w="2832" w:type="dxa"/>
            <w:gridSpan w:val="3"/>
            <w:tcBorders>
              <w:top w:val="single" w:sz="5" w:space="0" w:color="000000"/>
              <w:left w:val="single" w:sz="9" w:space="0" w:color="000000"/>
              <w:bottom w:val="single" w:sz="10" w:space="0" w:color="000000"/>
              <w:right w:val="single" w:sz="9" w:space="0" w:color="000000"/>
            </w:tcBorders>
          </w:tcPr>
          <w:p w:rsidR="007617AD" w:rsidRDefault="00EE75C8">
            <w:pPr>
              <w:spacing w:after="0" w:line="259" w:lineRule="auto"/>
              <w:ind w:left="85" w:firstLine="0"/>
              <w:jc w:val="center"/>
            </w:pPr>
            <w:r>
              <w:rPr>
                <w:rFonts w:ascii="Calibri" w:eastAsia="Calibri" w:hAnsi="Calibri" w:cs="Calibri"/>
                <w:sz w:val="19"/>
              </w:rPr>
              <w:t>Aguas residuales urbanas</w:t>
            </w:r>
          </w:p>
        </w:tc>
        <w:tc>
          <w:tcPr>
            <w:tcW w:w="2832" w:type="dxa"/>
            <w:gridSpan w:val="3"/>
            <w:tcBorders>
              <w:top w:val="single" w:sz="5" w:space="0" w:color="000000"/>
              <w:left w:val="single" w:sz="9" w:space="0" w:color="000000"/>
              <w:bottom w:val="single" w:sz="10" w:space="0" w:color="000000"/>
              <w:right w:val="single" w:sz="9" w:space="0" w:color="000000"/>
            </w:tcBorders>
          </w:tcPr>
          <w:p w:rsidR="007617AD" w:rsidRDefault="00EE75C8">
            <w:pPr>
              <w:spacing w:after="0" w:line="259" w:lineRule="auto"/>
              <w:ind w:left="83" w:firstLine="0"/>
              <w:jc w:val="center"/>
            </w:pPr>
            <w:r>
              <w:rPr>
                <w:rFonts w:ascii="Calibri" w:eastAsia="Calibri" w:hAnsi="Calibri" w:cs="Calibri"/>
                <w:sz w:val="19"/>
              </w:rPr>
              <w:t>Aguas residuales industriales</w:t>
            </w:r>
          </w:p>
        </w:tc>
      </w:tr>
      <w:tr w:rsidR="007617AD">
        <w:trPr>
          <w:trHeight w:val="263"/>
        </w:trPr>
        <w:tc>
          <w:tcPr>
            <w:tcW w:w="0" w:type="auto"/>
            <w:vMerge/>
            <w:tcBorders>
              <w:top w:val="nil"/>
              <w:left w:val="nil"/>
              <w:bottom w:val="nil"/>
              <w:right w:val="single" w:sz="9" w:space="0" w:color="000000"/>
            </w:tcBorders>
          </w:tcPr>
          <w:p w:rsidR="007617AD" w:rsidRDefault="007617AD">
            <w:pPr>
              <w:spacing w:after="160" w:line="259" w:lineRule="auto"/>
              <w:ind w:left="0" w:firstLine="0"/>
              <w:jc w:val="left"/>
            </w:pPr>
          </w:p>
        </w:tc>
        <w:tc>
          <w:tcPr>
            <w:tcW w:w="950" w:type="dxa"/>
            <w:tcBorders>
              <w:top w:val="single" w:sz="10" w:space="0" w:color="000000"/>
              <w:left w:val="single" w:sz="9" w:space="0" w:color="000000"/>
              <w:bottom w:val="nil"/>
              <w:right w:val="single" w:sz="5" w:space="0" w:color="000000"/>
            </w:tcBorders>
          </w:tcPr>
          <w:p w:rsidR="007617AD" w:rsidRDefault="00EE75C8">
            <w:pPr>
              <w:spacing w:after="0" w:line="259" w:lineRule="auto"/>
              <w:ind w:left="112" w:firstLine="0"/>
              <w:jc w:val="left"/>
            </w:pPr>
            <w:r>
              <w:rPr>
                <w:rFonts w:ascii="Calibri" w:eastAsia="Calibri" w:hAnsi="Calibri" w:cs="Calibri"/>
                <w:b/>
                <w:sz w:val="15"/>
              </w:rPr>
              <w:t>VOLUMEN</w:t>
            </w:r>
          </w:p>
        </w:tc>
        <w:tc>
          <w:tcPr>
            <w:tcW w:w="944" w:type="dxa"/>
            <w:tcBorders>
              <w:top w:val="single" w:sz="10" w:space="0" w:color="000000"/>
              <w:left w:val="single" w:sz="5" w:space="0" w:color="000000"/>
              <w:bottom w:val="nil"/>
              <w:right w:val="single" w:sz="5"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c>
          <w:tcPr>
            <w:tcW w:w="938" w:type="dxa"/>
            <w:tcBorders>
              <w:top w:val="single" w:sz="10" w:space="0" w:color="000000"/>
              <w:left w:val="single" w:sz="5" w:space="0" w:color="000000"/>
              <w:bottom w:val="nil"/>
              <w:right w:val="single" w:sz="9"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c>
          <w:tcPr>
            <w:tcW w:w="950" w:type="dxa"/>
            <w:tcBorders>
              <w:top w:val="single" w:sz="10" w:space="0" w:color="000000"/>
              <w:left w:val="single" w:sz="9" w:space="0" w:color="000000"/>
              <w:bottom w:val="nil"/>
              <w:right w:val="single" w:sz="5" w:space="0" w:color="000000"/>
            </w:tcBorders>
          </w:tcPr>
          <w:p w:rsidR="007617AD" w:rsidRDefault="00EE75C8">
            <w:pPr>
              <w:spacing w:after="0" w:line="259" w:lineRule="auto"/>
              <w:ind w:left="112" w:firstLine="0"/>
              <w:jc w:val="left"/>
            </w:pPr>
            <w:r>
              <w:rPr>
                <w:rFonts w:ascii="Calibri" w:eastAsia="Calibri" w:hAnsi="Calibri" w:cs="Calibri"/>
                <w:b/>
                <w:sz w:val="15"/>
              </w:rPr>
              <w:t>VOLUMEN</w:t>
            </w:r>
          </w:p>
        </w:tc>
        <w:tc>
          <w:tcPr>
            <w:tcW w:w="944" w:type="dxa"/>
            <w:tcBorders>
              <w:top w:val="single" w:sz="10" w:space="0" w:color="000000"/>
              <w:left w:val="single" w:sz="5" w:space="0" w:color="000000"/>
              <w:bottom w:val="nil"/>
              <w:right w:val="single" w:sz="5"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c>
          <w:tcPr>
            <w:tcW w:w="938" w:type="dxa"/>
            <w:tcBorders>
              <w:top w:val="single" w:sz="10" w:space="0" w:color="000000"/>
              <w:left w:val="single" w:sz="5" w:space="0" w:color="000000"/>
              <w:bottom w:val="nil"/>
              <w:right w:val="single" w:sz="9" w:space="0" w:color="000000"/>
            </w:tcBorders>
          </w:tcPr>
          <w:p w:rsidR="007617AD" w:rsidRDefault="00EE75C8">
            <w:pPr>
              <w:spacing w:after="0" w:line="259" w:lineRule="auto"/>
              <w:ind w:left="106" w:firstLine="0"/>
              <w:jc w:val="left"/>
            </w:pPr>
            <w:r>
              <w:rPr>
                <w:rFonts w:ascii="Calibri" w:eastAsia="Calibri" w:hAnsi="Calibri" w:cs="Calibri"/>
                <w:b/>
                <w:sz w:val="15"/>
              </w:rPr>
              <w:t>VOLUMEN</w:t>
            </w:r>
          </w:p>
        </w:tc>
      </w:tr>
      <w:tr w:rsidR="007617AD">
        <w:trPr>
          <w:trHeight w:val="219"/>
        </w:trPr>
        <w:tc>
          <w:tcPr>
            <w:tcW w:w="2826" w:type="dxa"/>
            <w:tcBorders>
              <w:top w:val="nil"/>
              <w:left w:val="nil"/>
              <w:bottom w:val="single" w:sz="9" w:space="0" w:color="000000"/>
              <w:right w:val="single" w:sz="9" w:space="0" w:color="000000"/>
            </w:tcBorders>
          </w:tcPr>
          <w:p w:rsidR="007617AD" w:rsidRDefault="007617AD">
            <w:pPr>
              <w:spacing w:after="160" w:line="259" w:lineRule="auto"/>
              <w:ind w:left="0" w:firstLine="0"/>
              <w:jc w:val="left"/>
            </w:pPr>
          </w:p>
        </w:tc>
        <w:tc>
          <w:tcPr>
            <w:tcW w:w="950" w:type="dxa"/>
            <w:tcBorders>
              <w:top w:val="nil"/>
              <w:left w:val="single" w:sz="9" w:space="0" w:color="000000"/>
              <w:bottom w:val="single" w:sz="9" w:space="0" w:color="000000"/>
              <w:right w:val="single" w:sz="5" w:space="0" w:color="000000"/>
            </w:tcBorders>
          </w:tcPr>
          <w:p w:rsidR="007617AD" w:rsidRDefault="00EE75C8">
            <w:pPr>
              <w:spacing w:after="0" w:line="259" w:lineRule="auto"/>
              <w:ind w:left="99" w:firstLine="0"/>
              <w:jc w:val="center"/>
            </w:pPr>
            <w:r>
              <w:rPr>
                <w:rFonts w:ascii="Calibri" w:eastAsia="Calibri" w:hAnsi="Calibri" w:cs="Calibri"/>
                <w:b/>
                <w:sz w:val="15"/>
              </w:rPr>
              <w:t>m3</w:t>
            </w:r>
          </w:p>
        </w:tc>
        <w:tc>
          <w:tcPr>
            <w:tcW w:w="944" w:type="dxa"/>
            <w:tcBorders>
              <w:top w:val="nil"/>
              <w:left w:val="single" w:sz="5" w:space="0" w:color="000000"/>
              <w:bottom w:val="single" w:sz="9" w:space="0" w:color="000000"/>
              <w:right w:val="single" w:sz="5" w:space="0" w:color="000000"/>
            </w:tcBorders>
          </w:tcPr>
          <w:p w:rsidR="007617AD" w:rsidRDefault="00EE75C8">
            <w:pPr>
              <w:spacing w:after="0" w:line="259" w:lineRule="auto"/>
              <w:ind w:left="85" w:firstLine="0"/>
              <w:jc w:val="center"/>
            </w:pPr>
            <w:r>
              <w:rPr>
                <w:rFonts w:ascii="Calibri" w:eastAsia="Calibri" w:hAnsi="Calibri" w:cs="Calibri"/>
                <w:b/>
                <w:sz w:val="15"/>
              </w:rPr>
              <w:t>m3/d</w:t>
            </w:r>
          </w:p>
        </w:tc>
        <w:tc>
          <w:tcPr>
            <w:tcW w:w="938" w:type="dxa"/>
            <w:tcBorders>
              <w:top w:val="nil"/>
              <w:left w:val="single" w:sz="5" w:space="0" w:color="000000"/>
              <w:bottom w:val="single" w:sz="9" w:space="0" w:color="000000"/>
              <w:right w:val="single" w:sz="9" w:space="0" w:color="000000"/>
            </w:tcBorders>
          </w:tcPr>
          <w:p w:rsidR="007617AD" w:rsidRDefault="00EE75C8">
            <w:pPr>
              <w:spacing w:after="0" w:line="259" w:lineRule="auto"/>
              <w:ind w:left="98" w:firstLine="0"/>
              <w:jc w:val="center"/>
            </w:pPr>
            <w:r>
              <w:rPr>
                <w:rFonts w:ascii="Calibri" w:eastAsia="Calibri" w:hAnsi="Calibri" w:cs="Calibri"/>
                <w:b/>
                <w:sz w:val="15"/>
              </w:rPr>
              <w:t>%</w:t>
            </w:r>
          </w:p>
        </w:tc>
        <w:tc>
          <w:tcPr>
            <w:tcW w:w="950" w:type="dxa"/>
            <w:tcBorders>
              <w:top w:val="nil"/>
              <w:left w:val="single" w:sz="9" w:space="0" w:color="000000"/>
              <w:bottom w:val="single" w:sz="9" w:space="0" w:color="000000"/>
              <w:right w:val="single" w:sz="5" w:space="0" w:color="000000"/>
            </w:tcBorders>
          </w:tcPr>
          <w:p w:rsidR="007617AD" w:rsidRDefault="00EE75C8">
            <w:pPr>
              <w:spacing w:after="0" w:line="259" w:lineRule="auto"/>
              <w:ind w:left="99" w:firstLine="0"/>
              <w:jc w:val="center"/>
            </w:pPr>
            <w:r>
              <w:rPr>
                <w:rFonts w:ascii="Calibri" w:eastAsia="Calibri" w:hAnsi="Calibri" w:cs="Calibri"/>
                <w:b/>
                <w:sz w:val="15"/>
              </w:rPr>
              <w:t>m3</w:t>
            </w:r>
          </w:p>
        </w:tc>
        <w:tc>
          <w:tcPr>
            <w:tcW w:w="944" w:type="dxa"/>
            <w:tcBorders>
              <w:top w:val="nil"/>
              <w:left w:val="single" w:sz="5" w:space="0" w:color="000000"/>
              <w:bottom w:val="single" w:sz="9" w:space="0" w:color="000000"/>
              <w:right w:val="single" w:sz="5" w:space="0" w:color="000000"/>
            </w:tcBorders>
          </w:tcPr>
          <w:p w:rsidR="007617AD" w:rsidRDefault="00EE75C8">
            <w:pPr>
              <w:spacing w:after="0" w:line="259" w:lineRule="auto"/>
              <w:ind w:left="85" w:firstLine="0"/>
              <w:jc w:val="center"/>
            </w:pPr>
            <w:r>
              <w:rPr>
                <w:rFonts w:ascii="Calibri" w:eastAsia="Calibri" w:hAnsi="Calibri" w:cs="Calibri"/>
                <w:b/>
                <w:sz w:val="15"/>
              </w:rPr>
              <w:t>m3/d</w:t>
            </w:r>
          </w:p>
        </w:tc>
        <w:tc>
          <w:tcPr>
            <w:tcW w:w="938" w:type="dxa"/>
            <w:tcBorders>
              <w:top w:val="nil"/>
              <w:left w:val="single" w:sz="5" w:space="0" w:color="000000"/>
              <w:bottom w:val="single" w:sz="9" w:space="0" w:color="000000"/>
              <w:right w:val="single" w:sz="9" w:space="0" w:color="000000"/>
            </w:tcBorders>
          </w:tcPr>
          <w:p w:rsidR="007617AD" w:rsidRDefault="00EE75C8">
            <w:pPr>
              <w:spacing w:after="0" w:line="259" w:lineRule="auto"/>
              <w:ind w:left="98" w:firstLine="0"/>
              <w:jc w:val="center"/>
            </w:pPr>
            <w:r>
              <w:rPr>
                <w:rFonts w:ascii="Calibri" w:eastAsia="Calibri" w:hAnsi="Calibri" w:cs="Calibri"/>
                <w:b/>
                <w:sz w:val="15"/>
              </w:rPr>
              <w:t>%</w:t>
            </w:r>
          </w:p>
        </w:tc>
      </w:tr>
      <w:tr w:rsidR="007617AD">
        <w:trPr>
          <w:trHeight w:val="241"/>
        </w:trPr>
        <w:tc>
          <w:tcPr>
            <w:tcW w:w="2826" w:type="dxa"/>
            <w:tcBorders>
              <w:top w:val="single" w:sz="9" w:space="0" w:color="000000"/>
              <w:left w:val="single" w:sz="5" w:space="0" w:color="000000"/>
              <w:bottom w:val="single" w:sz="5"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sz w:val="15"/>
              </w:rPr>
              <w:t>T.M. DE CANDELARIA</w:t>
            </w:r>
          </w:p>
        </w:tc>
        <w:tc>
          <w:tcPr>
            <w:tcW w:w="950" w:type="dxa"/>
            <w:tcBorders>
              <w:top w:val="single" w:sz="9" w:space="0" w:color="000000"/>
              <w:left w:val="single" w:sz="9" w:space="0" w:color="000000"/>
              <w:bottom w:val="single" w:sz="5" w:space="0" w:color="000000"/>
              <w:right w:val="single" w:sz="5" w:space="0" w:color="000000"/>
            </w:tcBorders>
          </w:tcPr>
          <w:p w:rsidR="007617AD" w:rsidRDefault="00EE75C8">
            <w:pPr>
              <w:spacing w:after="0" w:line="259" w:lineRule="auto"/>
              <w:ind w:left="109" w:firstLine="0"/>
              <w:jc w:val="center"/>
            </w:pPr>
            <w:r>
              <w:rPr>
                <w:rFonts w:ascii="Calibri" w:eastAsia="Calibri" w:hAnsi="Calibri" w:cs="Calibri"/>
                <w:sz w:val="15"/>
              </w:rPr>
              <w:t>1.330.858</w:t>
            </w:r>
          </w:p>
        </w:tc>
        <w:tc>
          <w:tcPr>
            <w:tcW w:w="944" w:type="dxa"/>
            <w:tcBorders>
              <w:top w:val="single" w:sz="9" w:space="0" w:color="000000"/>
              <w:left w:val="single" w:sz="5" w:space="0" w:color="000000"/>
              <w:bottom w:val="single" w:sz="5"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sz w:val="15"/>
              </w:rPr>
              <w:t>3.646</w:t>
            </w:r>
          </w:p>
        </w:tc>
        <w:tc>
          <w:tcPr>
            <w:tcW w:w="938" w:type="dxa"/>
            <w:tcBorders>
              <w:top w:val="single" w:sz="9"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52,09%</w:t>
            </w:r>
          </w:p>
        </w:tc>
        <w:tc>
          <w:tcPr>
            <w:tcW w:w="950" w:type="dxa"/>
            <w:tcBorders>
              <w:top w:val="single" w:sz="9" w:space="0" w:color="000000"/>
              <w:left w:val="single" w:sz="9" w:space="0" w:color="000000"/>
              <w:bottom w:val="single" w:sz="5"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235.724</w:t>
            </w:r>
          </w:p>
        </w:tc>
        <w:tc>
          <w:tcPr>
            <w:tcW w:w="944" w:type="dxa"/>
            <w:tcBorders>
              <w:top w:val="single" w:sz="9" w:space="0" w:color="000000"/>
              <w:left w:val="single" w:sz="5" w:space="0" w:color="000000"/>
              <w:bottom w:val="single" w:sz="5"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646</w:t>
            </w:r>
          </w:p>
        </w:tc>
        <w:tc>
          <w:tcPr>
            <w:tcW w:w="938" w:type="dxa"/>
            <w:tcBorders>
              <w:top w:val="single" w:sz="9"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56,65%</w:t>
            </w:r>
          </w:p>
        </w:tc>
      </w:tr>
      <w:tr w:rsidR="007617AD">
        <w:trPr>
          <w:trHeight w:val="236"/>
        </w:trPr>
        <w:tc>
          <w:tcPr>
            <w:tcW w:w="2826" w:type="dxa"/>
            <w:tcBorders>
              <w:top w:val="single" w:sz="5" w:space="0" w:color="000000"/>
              <w:left w:val="single" w:sz="5" w:space="0" w:color="000000"/>
              <w:bottom w:val="single" w:sz="5"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sz w:val="15"/>
              </w:rPr>
              <w:t>T.M. DE ARAFO</w:t>
            </w:r>
          </w:p>
        </w:tc>
        <w:tc>
          <w:tcPr>
            <w:tcW w:w="950" w:type="dxa"/>
            <w:tcBorders>
              <w:top w:val="single" w:sz="5" w:space="0" w:color="000000"/>
              <w:left w:val="single" w:sz="9" w:space="0" w:color="000000"/>
              <w:bottom w:val="single" w:sz="5"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263.984</w:t>
            </w:r>
          </w:p>
        </w:tc>
        <w:tc>
          <w:tcPr>
            <w:tcW w:w="944" w:type="dxa"/>
            <w:tcBorders>
              <w:top w:val="single" w:sz="5" w:space="0" w:color="000000"/>
              <w:left w:val="single" w:sz="5" w:space="0" w:color="000000"/>
              <w:bottom w:val="single" w:sz="5"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723</w:t>
            </w:r>
          </w:p>
        </w:tc>
        <w:tc>
          <w:tcPr>
            <w:tcW w:w="938" w:type="dxa"/>
            <w:tcBorders>
              <w:top w:val="single" w:sz="5"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10,33%</w:t>
            </w:r>
          </w:p>
        </w:tc>
        <w:tc>
          <w:tcPr>
            <w:tcW w:w="950" w:type="dxa"/>
            <w:tcBorders>
              <w:top w:val="single" w:sz="5" w:space="0" w:color="000000"/>
              <w:left w:val="single" w:sz="9" w:space="0" w:color="000000"/>
              <w:bottom w:val="single" w:sz="5"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100.625</w:t>
            </w:r>
          </w:p>
        </w:tc>
        <w:tc>
          <w:tcPr>
            <w:tcW w:w="944" w:type="dxa"/>
            <w:tcBorders>
              <w:top w:val="single" w:sz="5" w:space="0" w:color="000000"/>
              <w:left w:val="single" w:sz="5" w:space="0" w:color="000000"/>
              <w:bottom w:val="single" w:sz="5"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276</w:t>
            </w:r>
          </w:p>
        </w:tc>
        <w:tc>
          <w:tcPr>
            <w:tcW w:w="938" w:type="dxa"/>
            <w:tcBorders>
              <w:top w:val="single" w:sz="5" w:space="0" w:color="000000"/>
              <w:left w:val="single" w:sz="5" w:space="0" w:color="000000"/>
              <w:bottom w:val="single" w:sz="5"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24,18%</w:t>
            </w:r>
          </w:p>
        </w:tc>
      </w:tr>
      <w:tr w:rsidR="007617AD">
        <w:trPr>
          <w:trHeight w:val="241"/>
        </w:trPr>
        <w:tc>
          <w:tcPr>
            <w:tcW w:w="2826" w:type="dxa"/>
            <w:tcBorders>
              <w:top w:val="single" w:sz="5" w:space="0" w:color="000000"/>
              <w:left w:val="single" w:sz="5" w:space="0" w:color="000000"/>
              <w:bottom w:val="single" w:sz="9"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sz w:val="15"/>
              </w:rPr>
              <w:t>T.M. DE GÜÍMAR</w:t>
            </w:r>
          </w:p>
        </w:tc>
        <w:tc>
          <w:tcPr>
            <w:tcW w:w="950" w:type="dxa"/>
            <w:tcBorders>
              <w:top w:val="single" w:sz="5" w:space="0" w:color="000000"/>
              <w:left w:val="single" w:sz="9" w:space="0" w:color="000000"/>
              <w:bottom w:val="single" w:sz="9"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sz w:val="15"/>
              </w:rPr>
              <w:t>960.158</w:t>
            </w:r>
          </w:p>
        </w:tc>
        <w:tc>
          <w:tcPr>
            <w:tcW w:w="944" w:type="dxa"/>
            <w:tcBorders>
              <w:top w:val="single" w:sz="5" w:space="0" w:color="000000"/>
              <w:left w:val="single" w:sz="5" w:space="0" w:color="000000"/>
              <w:bottom w:val="single" w:sz="9"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sz w:val="15"/>
              </w:rPr>
              <w:t>2.631</w:t>
            </w:r>
          </w:p>
        </w:tc>
        <w:tc>
          <w:tcPr>
            <w:tcW w:w="938" w:type="dxa"/>
            <w:tcBorders>
              <w:top w:val="single" w:sz="5" w:space="0" w:color="000000"/>
              <w:left w:val="single" w:sz="5" w:space="0" w:color="000000"/>
              <w:bottom w:val="single" w:sz="9"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37,58%</w:t>
            </w:r>
          </w:p>
        </w:tc>
        <w:tc>
          <w:tcPr>
            <w:tcW w:w="950" w:type="dxa"/>
            <w:tcBorders>
              <w:top w:val="single" w:sz="5" w:space="0" w:color="000000"/>
              <w:left w:val="single" w:sz="9" w:space="0" w:color="000000"/>
              <w:bottom w:val="single" w:sz="9" w:space="0" w:color="000000"/>
              <w:right w:val="single" w:sz="5" w:space="0" w:color="000000"/>
            </w:tcBorders>
          </w:tcPr>
          <w:p w:rsidR="007617AD" w:rsidRDefault="00EE75C8">
            <w:pPr>
              <w:spacing w:after="0" w:line="259" w:lineRule="auto"/>
              <w:ind w:left="336" w:firstLine="0"/>
              <w:jc w:val="left"/>
            </w:pPr>
            <w:r>
              <w:rPr>
                <w:rFonts w:ascii="Calibri" w:eastAsia="Calibri" w:hAnsi="Calibri" w:cs="Calibri"/>
                <w:sz w:val="15"/>
              </w:rPr>
              <w:t>79.751</w:t>
            </w:r>
          </w:p>
        </w:tc>
        <w:tc>
          <w:tcPr>
            <w:tcW w:w="944" w:type="dxa"/>
            <w:tcBorders>
              <w:top w:val="single" w:sz="5" w:space="0" w:color="000000"/>
              <w:left w:val="single" w:sz="5" w:space="0" w:color="000000"/>
              <w:bottom w:val="single" w:sz="9" w:space="0" w:color="000000"/>
              <w:right w:val="single" w:sz="5" w:space="0" w:color="000000"/>
            </w:tcBorders>
          </w:tcPr>
          <w:p w:rsidR="007617AD" w:rsidRDefault="00EE75C8">
            <w:pPr>
              <w:spacing w:after="0" w:line="259" w:lineRule="auto"/>
              <w:ind w:left="531" w:firstLine="0"/>
              <w:jc w:val="left"/>
            </w:pPr>
            <w:r>
              <w:rPr>
                <w:rFonts w:ascii="Calibri" w:eastAsia="Calibri" w:hAnsi="Calibri" w:cs="Calibri"/>
                <w:sz w:val="15"/>
              </w:rPr>
              <w:t>218</w:t>
            </w:r>
          </w:p>
        </w:tc>
        <w:tc>
          <w:tcPr>
            <w:tcW w:w="938" w:type="dxa"/>
            <w:tcBorders>
              <w:top w:val="single" w:sz="5" w:space="0" w:color="000000"/>
              <w:left w:val="single" w:sz="5" w:space="0" w:color="000000"/>
              <w:bottom w:val="single" w:sz="9" w:space="0" w:color="000000"/>
              <w:right w:val="single" w:sz="9" w:space="0" w:color="000000"/>
            </w:tcBorders>
          </w:tcPr>
          <w:p w:rsidR="007617AD" w:rsidRDefault="00EE75C8">
            <w:pPr>
              <w:spacing w:after="0" w:line="259" w:lineRule="auto"/>
              <w:ind w:left="106" w:firstLine="0"/>
              <w:jc w:val="center"/>
            </w:pPr>
            <w:r>
              <w:rPr>
                <w:rFonts w:ascii="Calibri" w:eastAsia="Calibri" w:hAnsi="Calibri" w:cs="Calibri"/>
                <w:sz w:val="15"/>
              </w:rPr>
              <w:t>19,17%</w:t>
            </w:r>
          </w:p>
        </w:tc>
      </w:tr>
      <w:tr w:rsidR="007617AD">
        <w:trPr>
          <w:trHeight w:val="247"/>
        </w:trPr>
        <w:tc>
          <w:tcPr>
            <w:tcW w:w="2826" w:type="dxa"/>
            <w:tcBorders>
              <w:top w:val="single" w:sz="9" w:space="0" w:color="000000"/>
              <w:left w:val="single" w:sz="5" w:space="0" w:color="000000"/>
              <w:bottom w:val="single" w:sz="9" w:space="0" w:color="000000"/>
              <w:right w:val="single" w:sz="9" w:space="0" w:color="000000"/>
            </w:tcBorders>
          </w:tcPr>
          <w:p w:rsidR="007617AD" w:rsidRDefault="00EE75C8">
            <w:pPr>
              <w:spacing w:after="0" w:line="259" w:lineRule="auto"/>
              <w:ind w:left="0" w:firstLine="0"/>
              <w:jc w:val="left"/>
            </w:pPr>
            <w:r>
              <w:rPr>
                <w:rFonts w:ascii="Calibri" w:eastAsia="Calibri" w:hAnsi="Calibri" w:cs="Calibri"/>
                <w:b/>
                <w:sz w:val="15"/>
              </w:rPr>
              <w:t>TOTAL Sistema Comarcal</w:t>
            </w:r>
          </w:p>
        </w:tc>
        <w:tc>
          <w:tcPr>
            <w:tcW w:w="950" w:type="dxa"/>
            <w:tcBorders>
              <w:top w:val="single" w:sz="9" w:space="0" w:color="000000"/>
              <w:left w:val="single" w:sz="9" w:space="0" w:color="000000"/>
              <w:bottom w:val="single" w:sz="9" w:space="0" w:color="000000"/>
              <w:right w:val="single" w:sz="5" w:space="0" w:color="000000"/>
            </w:tcBorders>
          </w:tcPr>
          <w:p w:rsidR="007617AD" w:rsidRDefault="00EE75C8">
            <w:pPr>
              <w:spacing w:after="0" w:line="259" w:lineRule="auto"/>
              <w:ind w:left="109" w:firstLine="0"/>
              <w:jc w:val="center"/>
            </w:pPr>
            <w:r>
              <w:rPr>
                <w:rFonts w:ascii="Calibri" w:eastAsia="Calibri" w:hAnsi="Calibri" w:cs="Calibri"/>
                <w:b/>
                <w:sz w:val="15"/>
              </w:rPr>
              <w:t>2.555.000</w:t>
            </w:r>
          </w:p>
        </w:tc>
        <w:tc>
          <w:tcPr>
            <w:tcW w:w="944" w:type="dxa"/>
            <w:tcBorders>
              <w:top w:val="single" w:sz="9" w:space="0" w:color="000000"/>
              <w:left w:val="single" w:sz="5" w:space="0" w:color="000000"/>
              <w:bottom w:val="single" w:sz="9"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b/>
                <w:sz w:val="15"/>
              </w:rPr>
              <w:t>7.000</w:t>
            </w:r>
          </w:p>
        </w:tc>
        <w:tc>
          <w:tcPr>
            <w:tcW w:w="938" w:type="dxa"/>
            <w:tcBorders>
              <w:top w:val="single" w:sz="9" w:space="0" w:color="000000"/>
              <w:left w:val="single" w:sz="5" w:space="0" w:color="000000"/>
              <w:bottom w:val="single" w:sz="9" w:space="0" w:color="000000"/>
              <w:right w:val="single" w:sz="9" w:space="0" w:color="000000"/>
            </w:tcBorders>
          </w:tcPr>
          <w:p w:rsidR="007617AD" w:rsidRDefault="00EE75C8">
            <w:pPr>
              <w:spacing w:after="0" w:line="259" w:lineRule="auto"/>
              <w:ind w:left="96" w:firstLine="0"/>
              <w:jc w:val="center"/>
            </w:pPr>
            <w:r>
              <w:rPr>
                <w:rFonts w:ascii="Calibri" w:eastAsia="Calibri" w:hAnsi="Calibri" w:cs="Calibri"/>
                <w:b/>
                <w:sz w:val="15"/>
              </w:rPr>
              <w:t>100,00%</w:t>
            </w:r>
          </w:p>
        </w:tc>
        <w:tc>
          <w:tcPr>
            <w:tcW w:w="950" w:type="dxa"/>
            <w:tcBorders>
              <w:top w:val="single" w:sz="9" w:space="0" w:color="000000"/>
              <w:left w:val="single" w:sz="9" w:space="0" w:color="000000"/>
              <w:bottom w:val="single" w:sz="9" w:space="0" w:color="000000"/>
              <w:right w:val="single" w:sz="5" w:space="0" w:color="000000"/>
            </w:tcBorders>
          </w:tcPr>
          <w:p w:rsidR="007617AD" w:rsidRDefault="00EE75C8">
            <w:pPr>
              <w:spacing w:after="0" w:line="259" w:lineRule="auto"/>
              <w:ind w:left="227" w:firstLine="0"/>
              <w:jc w:val="center"/>
            </w:pPr>
            <w:r>
              <w:rPr>
                <w:rFonts w:ascii="Calibri" w:eastAsia="Calibri" w:hAnsi="Calibri" w:cs="Calibri"/>
                <w:b/>
                <w:sz w:val="15"/>
              </w:rPr>
              <w:t>416.100</w:t>
            </w:r>
          </w:p>
        </w:tc>
        <w:tc>
          <w:tcPr>
            <w:tcW w:w="944" w:type="dxa"/>
            <w:tcBorders>
              <w:top w:val="single" w:sz="9" w:space="0" w:color="000000"/>
              <w:left w:val="single" w:sz="5" w:space="0" w:color="000000"/>
              <w:bottom w:val="single" w:sz="9" w:space="0" w:color="000000"/>
              <w:right w:val="single" w:sz="5" w:space="0" w:color="000000"/>
            </w:tcBorders>
          </w:tcPr>
          <w:p w:rsidR="007617AD" w:rsidRDefault="00EE75C8">
            <w:pPr>
              <w:spacing w:after="0" w:line="259" w:lineRule="auto"/>
              <w:ind w:left="413" w:firstLine="0"/>
              <w:jc w:val="left"/>
            </w:pPr>
            <w:r>
              <w:rPr>
                <w:rFonts w:ascii="Calibri" w:eastAsia="Calibri" w:hAnsi="Calibri" w:cs="Calibri"/>
                <w:b/>
                <w:sz w:val="15"/>
              </w:rPr>
              <w:t>1.140</w:t>
            </w:r>
          </w:p>
        </w:tc>
        <w:tc>
          <w:tcPr>
            <w:tcW w:w="938" w:type="dxa"/>
            <w:tcBorders>
              <w:top w:val="single" w:sz="9" w:space="0" w:color="000000"/>
              <w:left w:val="single" w:sz="5" w:space="0" w:color="000000"/>
              <w:bottom w:val="single" w:sz="9" w:space="0" w:color="000000"/>
              <w:right w:val="single" w:sz="9" w:space="0" w:color="000000"/>
            </w:tcBorders>
          </w:tcPr>
          <w:p w:rsidR="007617AD" w:rsidRDefault="00EE75C8">
            <w:pPr>
              <w:spacing w:after="0" w:line="259" w:lineRule="auto"/>
              <w:ind w:left="96" w:firstLine="0"/>
              <w:jc w:val="center"/>
            </w:pPr>
            <w:r>
              <w:rPr>
                <w:rFonts w:ascii="Calibri" w:eastAsia="Calibri" w:hAnsi="Calibri" w:cs="Calibri"/>
                <w:b/>
                <w:sz w:val="15"/>
              </w:rPr>
              <w:t>100,00%</w:t>
            </w:r>
          </w:p>
        </w:tc>
      </w:tr>
    </w:tbl>
    <w:p w:rsidR="007617AD" w:rsidRDefault="00EE75C8">
      <w:pPr>
        <w:spacing w:after="90" w:line="259" w:lineRule="auto"/>
        <w:ind w:left="708" w:firstLine="0"/>
        <w:jc w:val="left"/>
      </w:pPr>
      <w:r>
        <w:rPr>
          <w:rFonts w:ascii="Times New Roman" w:eastAsia="Times New Roman" w:hAnsi="Times New Roman" w:cs="Times New Roman"/>
          <w:b/>
          <w:sz w:val="24"/>
        </w:rPr>
        <w:t xml:space="preserve"> </w:t>
      </w:r>
    </w:p>
    <w:p w:rsidR="007617AD" w:rsidRDefault="00EE75C8">
      <w:pPr>
        <w:spacing w:after="91"/>
        <w:ind w:left="703" w:right="58"/>
      </w:pPr>
      <w:r>
        <w:rPr>
          <w:b/>
        </w:rPr>
        <w:t>SÉPTIMO. - COSTES DEL SERVICIO A COLMATACIÓN.</w:t>
      </w:r>
      <w:r>
        <w:rPr>
          <w:rFonts w:ascii="Times New Roman" w:eastAsia="Times New Roman" w:hAnsi="Times New Roman" w:cs="Times New Roman"/>
          <w:sz w:val="24"/>
        </w:rPr>
        <w:t xml:space="preserve"> </w:t>
      </w:r>
    </w:p>
    <w:p w:rsidR="007617AD" w:rsidRDefault="00EE75C8">
      <w:pPr>
        <w:ind w:left="703" w:right="62"/>
      </w:pPr>
      <w:r>
        <w:t xml:space="preserve">La normativa del PHDHT establece en su artículo 301 relativo a los Criterios Económico Financieros para la gestión del saneamiento, lo siguiente: </w:t>
      </w:r>
    </w:p>
    <w:p w:rsidR="007617AD" w:rsidRDefault="00EE75C8">
      <w:pPr>
        <w:numPr>
          <w:ilvl w:val="0"/>
          <w:numId w:val="80"/>
        </w:numPr>
        <w:spacing w:after="110" w:line="248" w:lineRule="auto"/>
        <w:ind w:right="59"/>
      </w:pPr>
      <w:r>
        <w:rPr>
          <w:rFonts w:ascii="Calibri" w:eastAsia="Calibri" w:hAnsi="Calibri" w:cs="Calibri"/>
          <w:noProof/>
        </w:rPr>
        <mc:AlternateContent>
          <mc:Choice Requires="wpg">
            <w:drawing>
              <wp:anchor distT="0" distB="0" distL="114300" distR="114300" simplePos="0" relativeHeight="251814912"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297081" name="Group 297081"/>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6610" name="Rectangle 2661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6611" name="Rectangle 26611"/>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w:t>
                              </w:r>
                              <w:r>
                                <w:rPr>
                                  <w:sz w:val="12"/>
                                </w:rPr>
                                <w:t xml:space="preserve">nto firmado electrónicamente desde la plataforma esPublico Gestiona | Página 151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97081" style="width:12.7031pt;height:280.02pt;position:absolute;mso-position-horizontal-relative:page;mso-position-horizontal:absolute;margin-left:682.278pt;mso-position-vertical-relative:page;margin-top:531.9pt;" coordsize="1613,35562">
                <v:rect id="Rectangle 2661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6611"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151 de 192 </w:t>
                        </w:r>
                      </w:p>
                    </w:txbxContent>
                  </v:textbox>
                </v:rect>
                <w10:wrap type="topAndBottom"/>
              </v:group>
            </w:pict>
          </mc:Fallback>
        </mc:AlternateContent>
      </w:r>
      <w:r>
        <w:rPr>
          <w:i/>
        </w:rPr>
        <w:t xml:space="preserve">De conformidad con lo preconizado por la Directiva Marco del Agua, las Ordenanzas que regulen los aspectos económicos - </w:t>
      </w:r>
      <w:r>
        <w:rPr>
          <w:i/>
        </w:rPr>
        <w:t xml:space="preserve">financieros del servicio de saneamiento, deberán tender paulatinamente a la plena recuperación de sus costes. </w:t>
      </w:r>
    </w:p>
    <w:p w:rsidR="007617AD" w:rsidRDefault="00EE75C8">
      <w:pPr>
        <w:numPr>
          <w:ilvl w:val="0"/>
          <w:numId w:val="80"/>
        </w:numPr>
        <w:spacing w:after="110" w:line="248" w:lineRule="auto"/>
        <w:ind w:right="59"/>
      </w:pPr>
      <w:r>
        <w:rPr>
          <w:i/>
        </w:rPr>
        <w:t>La tarifa por el servicio de alcantarillado estará ligada al consumo de agua, contabilizado a través de los contadores. El recibo hará constar de</w:t>
      </w:r>
      <w:r>
        <w:rPr>
          <w:i/>
        </w:rPr>
        <w:t xml:space="preserve"> modo independiente la repercusión de este servicio. </w:t>
      </w:r>
    </w:p>
    <w:p w:rsidR="007617AD" w:rsidRDefault="00EE75C8">
      <w:pPr>
        <w:numPr>
          <w:ilvl w:val="0"/>
          <w:numId w:val="80"/>
        </w:numPr>
        <w:spacing w:after="110" w:line="248" w:lineRule="auto"/>
        <w:ind w:right="59"/>
      </w:pPr>
      <w:r>
        <w:rPr>
          <w:i/>
        </w:rPr>
        <w:t xml:space="preserve">A efectos de simplificación, se privilegiará la combinación del recibo por alcantarillado con la del abastecimiento. El recibo será único, cubriendo ambos servicios. </w:t>
      </w:r>
    </w:p>
    <w:p w:rsidR="007617AD" w:rsidRDefault="00EE75C8">
      <w:pPr>
        <w:spacing w:after="100" w:line="259" w:lineRule="auto"/>
        <w:ind w:left="708" w:firstLine="0"/>
        <w:jc w:val="left"/>
      </w:pPr>
      <w:r>
        <w:rPr>
          <w:i/>
        </w:rPr>
        <w:t xml:space="preserve"> </w:t>
      </w:r>
    </w:p>
    <w:p w:rsidR="007617AD" w:rsidRDefault="00EE75C8">
      <w:pPr>
        <w:ind w:left="703" w:right="62"/>
      </w:pPr>
      <w:r>
        <w:t>La estimación de los costes del s</w:t>
      </w:r>
      <w:r>
        <w:t xml:space="preserve">ervicio de depuración y vertido son los propios de operación y mantenimiento de cada una de las instalaciones </w:t>
      </w:r>
      <w:r>
        <w:rPr>
          <w:color w:val="00B050"/>
        </w:rPr>
        <w:t xml:space="preserve">en fase de colmatación </w:t>
      </w:r>
      <w:r>
        <w:t>y se presenta en las siguientes tablas clasificados por coste fijo y variable.</w:t>
      </w:r>
      <w:r>
        <w:rPr>
          <w:rFonts w:ascii="Times New Roman" w:eastAsia="Times New Roman" w:hAnsi="Times New Roman" w:cs="Times New Roman"/>
          <w:sz w:val="24"/>
        </w:rPr>
        <w:t xml:space="preserve"> </w:t>
      </w:r>
    </w:p>
    <w:p w:rsidR="007617AD" w:rsidRDefault="00EE75C8">
      <w:pPr>
        <w:spacing w:after="98" w:line="259" w:lineRule="auto"/>
        <w:ind w:left="708" w:firstLine="0"/>
        <w:jc w:val="left"/>
      </w:pPr>
      <w:r>
        <w:t xml:space="preserve"> </w:t>
      </w:r>
    </w:p>
    <w:p w:rsidR="007617AD" w:rsidRDefault="00EE75C8">
      <w:pPr>
        <w:spacing w:after="111" w:line="249" w:lineRule="auto"/>
        <w:ind w:left="1078"/>
        <w:jc w:val="left"/>
      </w:pPr>
      <w:r>
        <w:t xml:space="preserve">7. </w:t>
      </w:r>
      <w:r>
        <w:rPr>
          <w:u w:val="single" w:color="000000"/>
        </w:rPr>
        <w:t>Servicio de depuración de aguas residu</w:t>
      </w:r>
      <w:r>
        <w:rPr>
          <w:u w:val="single" w:color="000000"/>
        </w:rPr>
        <w:t>ales urbanas</w:t>
      </w:r>
      <w:r>
        <w:t xml:space="preserve"> </w:t>
      </w:r>
    </w:p>
    <w:p w:rsidR="007617AD" w:rsidRDefault="00EE75C8">
      <w:pPr>
        <w:pStyle w:val="Ttulo2"/>
        <w:tabs>
          <w:tab w:val="center" w:pos="5661"/>
          <w:tab w:val="center" w:pos="9704"/>
        </w:tabs>
        <w:spacing w:after="314"/>
        <w:ind w:left="0" w:firstLine="0"/>
      </w:pPr>
      <w:r>
        <w:rPr>
          <w:b w:val="0"/>
          <w:sz w:val="22"/>
          <w:u w:val="none"/>
        </w:rPr>
        <w:tab/>
      </w:r>
      <w:r>
        <w:t>Servicio DEPURACIÓN Aguas Residuales Urbanas</w:t>
      </w:r>
      <w:r>
        <w:tab/>
      </w:r>
      <w:r>
        <w:rPr>
          <w:noProof/>
          <w:sz w:val="22"/>
        </w:rPr>
        <mc:AlternateContent>
          <mc:Choice Requires="wpg">
            <w:drawing>
              <wp:inline distT="0" distB="0" distL="0" distR="0">
                <wp:extent cx="7996" cy="103653"/>
                <wp:effectExtent l="0" t="0" r="0" b="0"/>
                <wp:docPr id="302133" name="Group 302133"/>
                <wp:cNvGraphicFramePr/>
                <a:graphic xmlns:a="http://schemas.openxmlformats.org/drawingml/2006/main">
                  <a:graphicData uri="http://schemas.microsoft.com/office/word/2010/wordprocessingGroup">
                    <wpg:wgp>
                      <wpg:cNvGrpSpPr/>
                      <wpg:grpSpPr>
                        <a:xfrm>
                          <a:off x="0" y="0"/>
                          <a:ext cx="7996" cy="103653"/>
                          <a:chOff x="0" y="0"/>
                          <a:chExt cx="7996" cy="103653"/>
                        </a:xfrm>
                      </wpg:grpSpPr>
                      <pic:pic xmlns:pic="http://schemas.openxmlformats.org/drawingml/2006/picture">
                        <pic:nvPicPr>
                          <pic:cNvPr id="26776" name="Picture 26776"/>
                          <pic:cNvPicPr/>
                        </pic:nvPicPr>
                        <pic:blipFill>
                          <a:blip r:embed="rId12"/>
                          <a:stretch>
                            <a:fillRect/>
                          </a:stretch>
                        </pic:blipFill>
                        <pic:spPr>
                          <a:xfrm>
                            <a:off x="0" y="0"/>
                            <a:ext cx="7996" cy="103653"/>
                          </a:xfrm>
                          <a:prstGeom prst="rect">
                            <a:avLst/>
                          </a:prstGeom>
                        </pic:spPr>
                      </pic:pic>
                      <pic:pic xmlns:pic="http://schemas.openxmlformats.org/drawingml/2006/picture">
                        <pic:nvPicPr>
                          <pic:cNvPr id="26778" name="Picture 26778"/>
                          <pic:cNvPicPr/>
                        </pic:nvPicPr>
                        <pic:blipFill>
                          <a:blip r:embed="rId12"/>
                          <a:stretch>
                            <a:fillRect/>
                          </a:stretch>
                        </pic:blipFill>
                        <pic:spPr>
                          <a:xfrm>
                            <a:off x="0" y="0"/>
                            <a:ext cx="7996" cy="103653"/>
                          </a:xfrm>
                          <a:prstGeom prst="rect">
                            <a:avLst/>
                          </a:prstGeom>
                        </pic:spPr>
                      </pic:pic>
                    </wpg:wgp>
                  </a:graphicData>
                </a:graphic>
              </wp:inline>
            </w:drawing>
          </mc:Choice>
          <mc:Fallback xmlns:a="http://schemas.openxmlformats.org/drawingml/2006/main">
            <w:pict>
              <v:group id="Group 302133" style="width:0.629578pt;height:8.16164pt;mso-position-horizontal-relative:char;mso-position-vertical-relative:line" coordsize="79,1036">
                <v:shape id="Picture 26776" style="position:absolute;width:79;height:1036;left:0;top:0;" filled="f">
                  <v:imagedata r:id="rId13"/>
                </v:shape>
                <v:shape id="Picture 26778" style="position:absolute;width:79;height:1036;left:0;top:0;" filled="f">
                  <v:imagedata r:id="rId13"/>
                </v:shape>
              </v:group>
            </w:pict>
          </mc:Fallback>
        </mc:AlternateContent>
      </w:r>
    </w:p>
    <w:p w:rsidR="007617AD" w:rsidRDefault="00EE75C8">
      <w:pPr>
        <w:pStyle w:val="Ttulo3"/>
        <w:tabs>
          <w:tab w:val="center" w:pos="2579"/>
          <w:tab w:val="center" w:pos="5164"/>
          <w:tab w:val="center" w:pos="7743"/>
          <w:tab w:val="center" w:pos="8743"/>
          <w:tab w:val="center" w:pos="9413"/>
        </w:tabs>
        <w:ind w:left="0" w:firstLine="0"/>
      </w:pPr>
      <w:r>
        <w:rPr>
          <w:noProof/>
          <w:sz w:val="22"/>
        </w:rPr>
        <mc:AlternateContent>
          <mc:Choice Requires="wpg">
            <w:drawing>
              <wp:anchor distT="0" distB="0" distL="114300" distR="114300" simplePos="0" relativeHeight="251815936"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302135" name="Group 302135"/>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6781" name="Rectangle 2678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6782" name="Rectangle 26782"/>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152 de 192 </w:t>
                              </w:r>
                            </w:p>
                          </w:txbxContent>
                        </wps:txbx>
                        <wps:bodyPr horzOverflow="overflow" vert="horz" lIns="0" tIns="0" rIns="0" bIns="0" rtlCol="0">
                          <a:noAutofit/>
                        </wps:bodyPr>
                      </wps:wsp>
                    </wpg:wgp>
                  </a:graphicData>
                </a:graphic>
              </wp:anchor>
            </w:drawing>
          </mc:Choice>
          <mc:Fallback xmlns:a="http://schemas.openxmlformats.org/drawingml/2006/main">
            <w:pict>
              <v:group id="Group 302135" style="width:12.7031pt;height:280.02pt;position:absolute;mso-position-horizontal-relative:page;mso-position-horizontal:absolute;margin-left:682.278pt;mso-position-vertical-relative:page;margin-top:531.9pt;" coordsize="1613,35562">
                <v:rect id="Rectangle 2678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6782"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152 de 192 </w:t>
                        </w:r>
                      </w:p>
                    </w:txbxContent>
                  </v:textbox>
                </v:rect>
                <w10:wrap type="topAndBottom"/>
              </v:group>
            </w:pict>
          </mc:Fallback>
        </mc:AlternateContent>
      </w:r>
      <w:r>
        <w:rPr>
          <w:b w:val="0"/>
          <w:sz w:val="22"/>
        </w:rPr>
        <w:tab/>
      </w:r>
      <w:r>
        <w:t>NATURALEZA DEL COSTE</w:t>
      </w:r>
      <w:r>
        <w:tab/>
        <w:t>CONCEPTO DEL COSTE</w:t>
      </w:r>
      <w:r>
        <w:tab/>
        <w:t>€/año</w:t>
      </w:r>
      <w:r>
        <w:tab/>
        <w:t>€/m3</w:t>
      </w:r>
      <w:r>
        <w:tab/>
        <w:t>%</w:t>
      </w:r>
    </w:p>
    <w:tbl>
      <w:tblPr>
        <w:tblStyle w:val="TableGrid"/>
        <w:tblW w:w="8103" w:type="dxa"/>
        <w:tblInd w:w="1607" w:type="dxa"/>
        <w:tblCellMar>
          <w:top w:w="30" w:type="dxa"/>
          <w:left w:w="0" w:type="dxa"/>
          <w:bottom w:w="0" w:type="dxa"/>
          <w:right w:w="115" w:type="dxa"/>
        </w:tblCellMar>
        <w:tblLook w:val="04A0" w:firstRow="1" w:lastRow="0" w:firstColumn="1" w:lastColumn="0" w:noHBand="0" w:noVBand="1"/>
      </w:tblPr>
      <w:tblGrid>
        <w:gridCol w:w="2667"/>
        <w:gridCol w:w="7"/>
        <w:gridCol w:w="2982"/>
        <w:gridCol w:w="7"/>
        <w:gridCol w:w="1191"/>
        <w:gridCol w:w="757"/>
        <w:gridCol w:w="7"/>
        <w:gridCol w:w="485"/>
        <w:gridCol w:w="7"/>
      </w:tblGrid>
      <w:tr w:rsidR="007617AD">
        <w:trPr>
          <w:gridAfter w:val="1"/>
          <w:wAfter w:w="7" w:type="dxa"/>
          <w:trHeight w:val="282"/>
        </w:trPr>
        <w:tc>
          <w:tcPr>
            <w:tcW w:w="2667" w:type="dxa"/>
            <w:tcBorders>
              <w:top w:val="single" w:sz="10" w:space="0" w:color="000000"/>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Propio CIATF</w:t>
            </w:r>
          </w:p>
        </w:tc>
        <w:tc>
          <w:tcPr>
            <w:tcW w:w="2989" w:type="dxa"/>
            <w:gridSpan w:val="2"/>
            <w:tcBorders>
              <w:top w:val="single" w:sz="10" w:space="0" w:color="000000"/>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Gestión y Control (1)</w:t>
            </w:r>
          </w:p>
        </w:tc>
        <w:tc>
          <w:tcPr>
            <w:tcW w:w="1198" w:type="dxa"/>
            <w:gridSpan w:val="2"/>
            <w:tcBorders>
              <w:top w:val="single" w:sz="10" w:space="0" w:color="000000"/>
              <w:left w:val="nil"/>
              <w:bottom w:val="nil"/>
              <w:right w:val="nil"/>
            </w:tcBorders>
          </w:tcPr>
          <w:p w:rsidR="007617AD" w:rsidRDefault="00EE75C8">
            <w:pPr>
              <w:spacing w:after="0" w:line="259" w:lineRule="auto"/>
              <w:ind w:left="223" w:firstLine="0"/>
              <w:jc w:val="center"/>
            </w:pPr>
            <w:r>
              <w:rPr>
                <w:rFonts w:ascii="Calibri" w:eastAsia="Calibri" w:hAnsi="Calibri" w:cs="Calibri"/>
                <w:sz w:val="19"/>
              </w:rPr>
              <w:t>77.048,82 €</w:t>
            </w:r>
          </w:p>
        </w:tc>
        <w:tc>
          <w:tcPr>
            <w:tcW w:w="757"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0,03 </w:t>
            </w:r>
          </w:p>
        </w:tc>
        <w:tc>
          <w:tcPr>
            <w:tcW w:w="492" w:type="dxa"/>
            <w:gridSpan w:val="2"/>
            <w:tcBorders>
              <w:top w:val="single" w:sz="10" w:space="0" w:color="000000"/>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4%</w:t>
            </w:r>
          </w:p>
        </w:tc>
      </w:tr>
      <w:tr w:rsidR="007617AD">
        <w:trPr>
          <w:gridAfter w:val="1"/>
          <w:wAfter w:w="7" w:type="dxa"/>
          <w:trHeight w:val="258"/>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Contrato de servicios</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Operación y mantenimiento</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398.361,49 €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0,16 </w:t>
            </w:r>
          </w:p>
        </w:tc>
        <w:tc>
          <w:tcPr>
            <w:tcW w:w="492" w:type="dxa"/>
            <w:gridSpan w:val="2"/>
            <w:tcBorders>
              <w:top w:val="nil"/>
              <w:left w:val="nil"/>
              <w:bottom w:val="nil"/>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22%</w:t>
            </w:r>
          </w:p>
        </w:tc>
      </w:tr>
      <w:tr w:rsidR="007617AD">
        <w:trPr>
          <w:gridAfter w:val="1"/>
          <w:wAfter w:w="7" w:type="dxa"/>
          <w:trHeight w:val="258"/>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Contrato de suministro</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Electricidad (Costes Fijos)</w:t>
            </w:r>
          </w:p>
        </w:tc>
        <w:tc>
          <w:tcPr>
            <w:tcW w:w="1198" w:type="dxa"/>
            <w:gridSpan w:val="2"/>
            <w:tcBorders>
              <w:top w:val="nil"/>
              <w:left w:val="nil"/>
              <w:bottom w:val="nil"/>
              <w:right w:val="nil"/>
            </w:tcBorders>
          </w:tcPr>
          <w:p w:rsidR="007617AD" w:rsidRDefault="00EE75C8">
            <w:pPr>
              <w:spacing w:after="0" w:line="259" w:lineRule="auto"/>
              <w:ind w:left="223" w:firstLine="0"/>
              <w:jc w:val="center"/>
            </w:pPr>
            <w:r>
              <w:rPr>
                <w:rFonts w:ascii="Calibri" w:eastAsia="Calibri" w:hAnsi="Calibri" w:cs="Calibri"/>
                <w:sz w:val="19"/>
              </w:rPr>
              <w:t>73.996,12 €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0 ,03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4%</w:t>
            </w:r>
          </w:p>
        </w:tc>
      </w:tr>
      <w:tr w:rsidR="007617AD">
        <w:trPr>
          <w:gridAfter w:val="1"/>
          <w:wAfter w:w="7" w:type="dxa"/>
          <w:trHeight w:val="252"/>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Propio CIATF</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Inversiones (2)</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154.097,65 €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0 ,06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9%</w:t>
            </w:r>
          </w:p>
        </w:tc>
      </w:tr>
      <w:tr w:rsidR="007617AD">
        <w:trPr>
          <w:gridAfter w:val="1"/>
          <w:wAfter w:w="7" w:type="dxa"/>
          <w:trHeight w:val="258"/>
        </w:trPr>
        <w:tc>
          <w:tcPr>
            <w:tcW w:w="2667" w:type="dxa"/>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Contrato de servicios</w:t>
            </w:r>
          </w:p>
        </w:tc>
        <w:tc>
          <w:tcPr>
            <w:tcW w:w="2989" w:type="dxa"/>
            <w:gridSpan w:val="2"/>
            <w:tcBorders>
              <w:top w:val="nil"/>
              <w:left w:val="nil"/>
              <w:bottom w:val="nil"/>
              <w:right w:val="nil"/>
            </w:tcBorders>
          </w:tcPr>
          <w:p w:rsidR="007617AD" w:rsidRDefault="00EE75C8">
            <w:pPr>
              <w:spacing w:after="0" w:line="259" w:lineRule="auto"/>
              <w:ind w:left="38" w:firstLine="0"/>
              <w:jc w:val="left"/>
            </w:pPr>
            <w:r>
              <w:rPr>
                <w:rFonts w:ascii="Calibri" w:eastAsia="Calibri" w:hAnsi="Calibri" w:cs="Calibri"/>
                <w:sz w:val="19"/>
              </w:rPr>
              <w:t>Seguimiento medioambiental (3)</w:t>
            </w:r>
          </w:p>
        </w:tc>
        <w:tc>
          <w:tcPr>
            <w:tcW w:w="1198" w:type="dxa"/>
            <w:gridSpan w:val="2"/>
            <w:tcBorders>
              <w:top w:val="nil"/>
              <w:left w:val="nil"/>
              <w:bottom w:val="nil"/>
              <w:right w:val="nil"/>
            </w:tcBorders>
          </w:tcPr>
          <w:p w:rsidR="007617AD" w:rsidRDefault="00EE75C8">
            <w:pPr>
              <w:spacing w:after="0" w:line="259" w:lineRule="auto"/>
              <w:ind w:left="223" w:firstLine="0"/>
              <w:jc w:val="center"/>
            </w:pPr>
            <w:r>
              <w:rPr>
                <w:rFonts w:ascii="Calibri" w:eastAsia="Calibri" w:hAnsi="Calibri" w:cs="Calibri"/>
                <w:sz w:val="19"/>
              </w:rPr>
              <w:t>52.108,25 €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w:t>
            </w:r>
            <w:r>
              <w:rPr>
                <w:rFonts w:ascii="Calibri" w:eastAsia="Calibri" w:hAnsi="Calibri" w:cs="Calibri"/>
                <w:sz w:val="19"/>
              </w:rPr>
              <w:t xml:space="preserve"> ,02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3%</w:t>
            </w:r>
          </w:p>
        </w:tc>
      </w:tr>
      <w:tr w:rsidR="007617AD">
        <w:trPr>
          <w:gridAfter w:val="1"/>
          <w:wAfter w:w="7" w:type="dxa"/>
          <w:trHeight w:val="241"/>
        </w:trPr>
        <w:tc>
          <w:tcPr>
            <w:tcW w:w="2667" w:type="dxa"/>
            <w:tcBorders>
              <w:top w:val="nil"/>
              <w:left w:val="single" w:sz="5" w:space="0" w:color="000000"/>
              <w:bottom w:val="single" w:sz="10" w:space="0" w:color="000000"/>
              <w:right w:val="nil"/>
            </w:tcBorders>
          </w:tcPr>
          <w:p w:rsidR="007617AD" w:rsidRDefault="00EE75C8">
            <w:pPr>
              <w:spacing w:after="0" w:line="259" w:lineRule="auto"/>
              <w:ind w:left="31" w:firstLine="0"/>
              <w:jc w:val="left"/>
            </w:pPr>
            <w:r>
              <w:rPr>
                <w:rFonts w:ascii="Calibri" w:eastAsia="Calibri" w:hAnsi="Calibri" w:cs="Calibri"/>
                <w:sz w:val="19"/>
              </w:rPr>
              <w:t>Contrato de suministro</w:t>
            </w:r>
          </w:p>
        </w:tc>
        <w:tc>
          <w:tcPr>
            <w:tcW w:w="2989" w:type="dxa"/>
            <w:gridSpan w:val="2"/>
            <w:tcBorders>
              <w:top w:val="nil"/>
              <w:left w:val="nil"/>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sz w:val="19"/>
              </w:rPr>
              <w:t>Comunicaciones</w:t>
            </w:r>
          </w:p>
        </w:tc>
        <w:tc>
          <w:tcPr>
            <w:tcW w:w="1198" w:type="dxa"/>
            <w:gridSpan w:val="2"/>
            <w:tcBorders>
              <w:top w:val="nil"/>
              <w:left w:val="nil"/>
              <w:bottom w:val="single" w:sz="10" w:space="0" w:color="000000"/>
              <w:right w:val="nil"/>
            </w:tcBorders>
          </w:tcPr>
          <w:p w:rsidR="007617AD" w:rsidRDefault="00EE75C8">
            <w:pPr>
              <w:spacing w:after="0" w:line="259" w:lineRule="auto"/>
              <w:ind w:left="454" w:firstLine="0"/>
              <w:jc w:val="left"/>
            </w:pPr>
            <w:r>
              <w:rPr>
                <w:rFonts w:ascii="Calibri" w:eastAsia="Calibri" w:hAnsi="Calibri" w:cs="Calibri"/>
                <w:sz w:val="19"/>
              </w:rPr>
              <w:t>801,84 €</w:t>
            </w:r>
          </w:p>
        </w:tc>
        <w:tc>
          <w:tcPr>
            <w:tcW w:w="757" w:type="dxa"/>
            <w:tcBorders>
              <w:top w:val="nil"/>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sz w:val="19"/>
              </w:rPr>
              <w:t xml:space="preserve">    0,00 </w:t>
            </w:r>
          </w:p>
        </w:tc>
        <w:tc>
          <w:tcPr>
            <w:tcW w:w="492" w:type="dxa"/>
            <w:gridSpan w:val="2"/>
            <w:tcBorders>
              <w:top w:val="nil"/>
              <w:left w:val="nil"/>
              <w:bottom w:val="single" w:sz="10" w:space="0" w:color="000000"/>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0%</w:t>
            </w:r>
          </w:p>
        </w:tc>
      </w:tr>
      <w:tr w:rsidR="007617AD">
        <w:trPr>
          <w:gridAfter w:val="1"/>
          <w:wAfter w:w="7" w:type="dxa"/>
          <w:trHeight w:val="264"/>
        </w:trPr>
        <w:tc>
          <w:tcPr>
            <w:tcW w:w="2667"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2989" w:type="dxa"/>
            <w:gridSpan w:val="2"/>
            <w:tcBorders>
              <w:top w:val="single" w:sz="10" w:space="0" w:color="000000"/>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b/>
                <w:sz w:val="19"/>
              </w:rPr>
              <w:t>Subtotal costes fijos</w:t>
            </w:r>
          </w:p>
        </w:tc>
        <w:tc>
          <w:tcPr>
            <w:tcW w:w="1198" w:type="dxa"/>
            <w:gridSpan w:val="2"/>
            <w:tcBorders>
              <w:top w:val="single" w:sz="10" w:space="0" w:color="000000"/>
              <w:left w:val="nil"/>
              <w:bottom w:val="single" w:sz="10" w:space="0" w:color="000000"/>
              <w:right w:val="nil"/>
            </w:tcBorders>
          </w:tcPr>
          <w:p w:rsidR="007617AD" w:rsidRDefault="00EE75C8">
            <w:pPr>
              <w:spacing w:after="0" w:line="259" w:lineRule="auto"/>
              <w:ind w:left="139" w:firstLine="0"/>
              <w:jc w:val="left"/>
            </w:pPr>
            <w:r>
              <w:rPr>
                <w:rFonts w:ascii="Calibri" w:eastAsia="Calibri" w:hAnsi="Calibri" w:cs="Calibri"/>
                <w:b/>
                <w:sz w:val="19"/>
              </w:rPr>
              <w:t>756.414,17 €</w:t>
            </w:r>
          </w:p>
        </w:tc>
        <w:tc>
          <w:tcPr>
            <w:tcW w:w="757"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0,30 </w:t>
            </w:r>
          </w:p>
        </w:tc>
        <w:tc>
          <w:tcPr>
            <w:tcW w:w="492" w:type="dxa"/>
            <w:gridSpan w:val="2"/>
            <w:tcBorders>
              <w:top w:val="single" w:sz="10" w:space="0" w:color="000000"/>
              <w:left w:val="nil"/>
              <w:bottom w:val="single" w:sz="10" w:space="0" w:color="000000"/>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43%</w:t>
            </w:r>
          </w:p>
        </w:tc>
      </w:tr>
      <w:tr w:rsidR="007617AD">
        <w:trPr>
          <w:gridAfter w:val="1"/>
          <w:wAfter w:w="7" w:type="dxa"/>
          <w:trHeight w:val="282"/>
        </w:trPr>
        <w:tc>
          <w:tcPr>
            <w:tcW w:w="5656" w:type="dxa"/>
            <w:gridSpan w:val="3"/>
            <w:tcBorders>
              <w:top w:val="single" w:sz="10" w:space="0" w:color="000000"/>
              <w:left w:val="single" w:sz="5" w:space="0" w:color="000000"/>
              <w:bottom w:val="nil"/>
              <w:right w:val="nil"/>
            </w:tcBorders>
          </w:tcPr>
          <w:p w:rsidR="007617AD" w:rsidRDefault="00EE75C8">
            <w:pPr>
              <w:tabs>
                <w:tab w:val="center" w:pos="3800"/>
              </w:tabs>
              <w:spacing w:after="0" w:line="259" w:lineRule="auto"/>
              <w:ind w:left="0" w:firstLine="0"/>
              <w:jc w:val="left"/>
            </w:pPr>
            <w:r>
              <w:rPr>
                <w:rFonts w:ascii="Calibri" w:eastAsia="Calibri" w:hAnsi="Calibri" w:cs="Calibri"/>
                <w:sz w:val="19"/>
              </w:rPr>
              <w:t>Contrato de servicios</w:t>
            </w:r>
            <w:r>
              <w:rPr>
                <w:rFonts w:ascii="Calibri" w:eastAsia="Calibri" w:hAnsi="Calibri" w:cs="Calibri"/>
                <w:sz w:val="19"/>
              </w:rPr>
              <w:tab/>
              <w:t>Operación y mantenimiento</w:t>
            </w:r>
          </w:p>
        </w:tc>
        <w:tc>
          <w:tcPr>
            <w:tcW w:w="1198" w:type="dxa"/>
            <w:gridSpan w:val="2"/>
            <w:tcBorders>
              <w:top w:val="single" w:sz="10" w:space="0" w:color="000000"/>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232.853,09 €</w:t>
            </w:r>
          </w:p>
        </w:tc>
        <w:tc>
          <w:tcPr>
            <w:tcW w:w="757"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0,09 </w:t>
            </w:r>
          </w:p>
        </w:tc>
        <w:tc>
          <w:tcPr>
            <w:tcW w:w="492" w:type="dxa"/>
            <w:gridSpan w:val="2"/>
            <w:tcBorders>
              <w:top w:val="single" w:sz="10" w:space="0" w:color="000000"/>
              <w:left w:val="nil"/>
              <w:bottom w:val="nil"/>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13%</w:t>
            </w:r>
          </w:p>
        </w:tc>
      </w:tr>
      <w:tr w:rsidR="007617AD">
        <w:trPr>
          <w:gridAfter w:val="1"/>
          <w:wAfter w:w="7" w:type="dxa"/>
          <w:trHeight w:val="252"/>
        </w:trPr>
        <w:tc>
          <w:tcPr>
            <w:tcW w:w="5656" w:type="dxa"/>
            <w:gridSpan w:val="3"/>
            <w:tcBorders>
              <w:top w:val="nil"/>
              <w:left w:val="single" w:sz="5" w:space="0" w:color="000000"/>
              <w:bottom w:val="nil"/>
              <w:right w:val="nil"/>
            </w:tcBorders>
          </w:tcPr>
          <w:p w:rsidR="007617AD" w:rsidRDefault="00EE75C8">
            <w:pPr>
              <w:tabs>
                <w:tab w:val="center" w:pos="3878"/>
              </w:tabs>
              <w:spacing w:after="0" w:line="259" w:lineRule="auto"/>
              <w:ind w:left="0" w:firstLine="0"/>
              <w:jc w:val="left"/>
            </w:pPr>
            <w:r>
              <w:rPr>
                <w:rFonts w:ascii="Calibri" w:eastAsia="Calibri" w:hAnsi="Calibri" w:cs="Calibri"/>
                <w:sz w:val="19"/>
              </w:rPr>
              <w:t>Contrato de suministro</w:t>
            </w:r>
            <w:r>
              <w:rPr>
                <w:rFonts w:ascii="Calibri" w:eastAsia="Calibri" w:hAnsi="Calibri" w:cs="Calibri"/>
                <w:sz w:val="19"/>
              </w:rPr>
              <w:tab/>
              <w:t>Electricidad (Costes Variables)</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644.780,90 €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0 ,25 </w:t>
            </w:r>
          </w:p>
        </w:tc>
        <w:tc>
          <w:tcPr>
            <w:tcW w:w="492" w:type="dxa"/>
            <w:gridSpan w:val="2"/>
            <w:tcBorders>
              <w:top w:val="nil"/>
              <w:left w:val="nil"/>
              <w:bottom w:val="nil"/>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36%</w:t>
            </w:r>
          </w:p>
        </w:tc>
      </w:tr>
      <w:tr w:rsidR="007617AD">
        <w:trPr>
          <w:gridAfter w:val="1"/>
          <w:wAfter w:w="7" w:type="dxa"/>
          <w:trHeight w:val="252"/>
        </w:trPr>
        <w:tc>
          <w:tcPr>
            <w:tcW w:w="5656" w:type="dxa"/>
            <w:gridSpan w:val="3"/>
            <w:tcBorders>
              <w:top w:val="nil"/>
              <w:left w:val="single" w:sz="5" w:space="0" w:color="000000"/>
              <w:bottom w:val="nil"/>
              <w:right w:val="nil"/>
            </w:tcBorders>
          </w:tcPr>
          <w:p w:rsidR="007617AD" w:rsidRDefault="00EE75C8">
            <w:pPr>
              <w:spacing w:after="0" w:line="259" w:lineRule="auto"/>
              <w:ind w:left="31" w:firstLine="0"/>
              <w:jc w:val="left"/>
            </w:pPr>
            <w:r>
              <w:rPr>
                <w:rFonts w:ascii="Calibri" w:eastAsia="Calibri" w:hAnsi="Calibri" w:cs="Calibri"/>
                <w:sz w:val="19"/>
              </w:rPr>
              <w:t>Tasas Cabildo Insular de Tenerife Tasas servicio P.I.R.S. Arico</w:t>
            </w:r>
          </w:p>
        </w:tc>
        <w:tc>
          <w:tcPr>
            <w:tcW w:w="1198" w:type="dxa"/>
            <w:gridSpan w:val="2"/>
            <w:tcBorders>
              <w:top w:val="nil"/>
              <w:left w:val="nil"/>
              <w:bottom w:val="nil"/>
              <w:right w:val="nil"/>
            </w:tcBorders>
          </w:tcPr>
          <w:p w:rsidR="007617AD" w:rsidRDefault="00EE75C8">
            <w:pPr>
              <w:spacing w:after="0" w:line="259" w:lineRule="auto"/>
              <w:ind w:left="139" w:firstLine="0"/>
              <w:jc w:val="left"/>
            </w:pPr>
            <w:r>
              <w:rPr>
                <w:rFonts w:ascii="Calibri" w:eastAsia="Calibri" w:hAnsi="Calibri" w:cs="Calibri"/>
                <w:sz w:val="19"/>
              </w:rPr>
              <w:t>138.074,76 €</w:t>
            </w:r>
          </w:p>
        </w:tc>
        <w:tc>
          <w:tcPr>
            <w:tcW w:w="757"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0 ,05 </w:t>
            </w:r>
          </w:p>
        </w:tc>
        <w:tc>
          <w:tcPr>
            <w:tcW w:w="492" w:type="dxa"/>
            <w:gridSpan w:val="2"/>
            <w:tcBorders>
              <w:top w:val="nil"/>
              <w:left w:val="nil"/>
              <w:bottom w:val="nil"/>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8%</w:t>
            </w:r>
          </w:p>
        </w:tc>
      </w:tr>
      <w:tr w:rsidR="007617AD">
        <w:trPr>
          <w:gridAfter w:val="1"/>
          <w:wAfter w:w="7" w:type="dxa"/>
          <w:trHeight w:val="234"/>
        </w:trPr>
        <w:tc>
          <w:tcPr>
            <w:tcW w:w="5656" w:type="dxa"/>
            <w:gridSpan w:val="3"/>
            <w:tcBorders>
              <w:top w:val="nil"/>
              <w:left w:val="single" w:sz="5" w:space="0" w:color="000000"/>
              <w:bottom w:val="single" w:sz="10" w:space="0" w:color="000000"/>
              <w:right w:val="nil"/>
            </w:tcBorders>
          </w:tcPr>
          <w:p w:rsidR="007617AD" w:rsidRDefault="00EE75C8">
            <w:pPr>
              <w:tabs>
                <w:tab w:val="center" w:pos="3220"/>
              </w:tabs>
              <w:spacing w:after="0" w:line="259" w:lineRule="auto"/>
              <w:ind w:left="0" w:firstLine="0"/>
              <w:jc w:val="left"/>
            </w:pPr>
            <w:r>
              <w:rPr>
                <w:rFonts w:ascii="Calibri" w:eastAsia="Calibri" w:hAnsi="Calibri" w:cs="Calibri"/>
                <w:sz w:val="19"/>
              </w:rPr>
              <w:t>Tasas municipales</w:t>
            </w:r>
            <w:r>
              <w:rPr>
                <w:rFonts w:ascii="Calibri" w:eastAsia="Calibri" w:hAnsi="Calibri" w:cs="Calibri"/>
                <w:sz w:val="19"/>
              </w:rPr>
              <w:tab/>
              <w:t>Agua servicio</w:t>
            </w:r>
          </w:p>
        </w:tc>
        <w:tc>
          <w:tcPr>
            <w:tcW w:w="1198" w:type="dxa"/>
            <w:gridSpan w:val="2"/>
            <w:tcBorders>
              <w:top w:val="nil"/>
              <w:left w:val="nil"/>
              <w:bottom w:val="single" w:sz="10" w:space="0" w:color="000000"/>
              <w:right w:val="nil"/>
            </w:tcBorders>
          </w:tcPr>
          <w:p w:rsidR="007617AD" w:rsidRDefault="00EE75C8">
            <w:pPr>
              <w:spacing w:after="0" w:line="259" w:lineRule="auto"/>
              <w:ind w:left="0" w:firstLine="0"/>
              <w:jc w:val="right"/>
            </w:pPr>
            <w:r>
              <w:rPr>
                <w:rFonts w:ascii="Calibri" w:eastAsia="Calibri" w:hAnsi="Calibri" w:cs="Calibri"/>
                <w:sz w:val="19"/>
              </w:rPr>
              <w:t>0,00 €</w:t>
            </w:r>
          </w:p>
        </w:tc>
        <w:tc>
          <w:tcPr>
            <w:tcW w:w="757" w:type="dxa"/>
            <w:tcBorders>
              <w:top w:val="nil"/>
              <w:left w:val="nil"/>
              <w:bottom w:val="single" w:sz="10" w:space="0" w:color="000000"/>
              <w:right w:val="nil"/>
            </w:tcBorders>
          </w:tcPr>
          <w:p w:rsidR="007617AD" w:rsidRDefault="00EE75C8">
            <w:pPr>
              <w:tabs>
                <w:tab w:val="center" w:pos="428"/>
              </w:tabs>
              <w:spacing w:after="0" w:line="259" w:lineRule="auto"/>
              <w:ind w:left="0" w:firstLine="0"/>
              <w:jc w:val="left"/>
            </w:pPr>
            <w:r>
              <w:rPr>
                <w:rFonts w:ascii="Calibri" w:eastAsia="Calibri" w:hAnsi="Calibri" w:cs="Calibri"/>
                <w:sz w:val="19"/>
              </w:rPr>
              <w:t xml:space="preserve">      -</w:t>
            </w:r>
            <w:r>
              <w:rPr>
                <w:rFonts w:ascii="Calibri" w:eastAsia="Calibri" w:hAnsi="Calibri" w:cs="Calibri"/>
                <w:sz w:val="19"/>
              </w:rPr>
              <w:tab/>
              <w:t xml:space="preserve"> </w:t>
            </w:r>
          </w:p>
        </w:tc>
        <w:tc>
          <w:tcPr>
            <w:tcW w:w="492" w:type="dxa"/>
            <w:gridSpan w:val="2"/>
            <w:tcBorders>
              <w:top w:val="nil"/>
              <w:left w:val="nil"/>
              <w:bottom w:val="single" w:sz="10" w:space="0" w:color="000000"/>
              <w:right w:val="single" w:sz="10" w:space="0" w:color="000000"/>
            </w:tcBorders>
          </w:tcPr>
          <w:p w:rsidR="007617AD" w:rsidRDefault="00EE75C8">
            <w:pPr>
              <w:spacing w:after="0" w:line="259" w:lineRule="auto"/>
              <w:ind w:left="88" w:firstLine="0"/>
              <w:jc w:val="left"/>
            </w:pPr>
            <w:r>
              <w:rPr>
                <w:rFonts w:ascii="Calibri" w:eastAsia="Calibri" w:hAnsi="Calibri" w:cs="Calibri"/>
                <w:sz w:val="19"/>
              </w:rPr>
              <w:t>0%</w:t>
            </w:r>
          </w:p>
        </w:tc>
      </w:tr>
      <w:tr w:rsidR="007617AD">
        <w:trPr>
          <w:gridAfter w:val="1"/>
          <w:wAfter w:w="7" w:type="dxa"/>
          <w:trHeight w:val="265"/>
        </w:trPr>
        <w:tc>
          <w:tcPr>
            <w:tcW w:w="2667"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2989" w:type="dxa"/>
            <w:gridSpan w:val="2"/>
            <w:tcBorders>
              <w:top w:val="single" w:sz="10" w:space="0" w:color="000000"/>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b/>
                <w:sz w:val="19"/>
              </w:rPr>
              <w:t>Subtotal costes variables</w:t>
            </w:r>
          </w:p>
        </w:tc>
        <w:tc>
          <w:tcPr>
            <w:tcW w:w="1198" w:type="dxa"/>
            <w:gridSpan w:val="2"/>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1.015.708,75 €</w:t>
            </w:r>
          </w:p>
        </w:tc>
        <w:tc>
          <w:tcPr>
            <w:tcW w:w="757"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0 ,40 </w:t>
            </w:r>
          </w:p>
        </w:tc>
        <w:tc>
          <w:tcPr>
            <w:tcW w:w="492" w:type="dxa"/>
            <w:gridSpan w:val="2"/>
            <w:tcBorders>
              <w:top w:val="single" w:sz="10" w:space="0" w:color="000000"/>
              <w:left w:val="nil"/>
              <w:bottom w:val="single" w:sz="10" w:space="0" w:color="000000"/>
              <w:right w:val="single" w:sz="10" w:space="0" w:color="000000"/>
            </w:tcBorders>
          </w:tcPr>
          <w:p w:rsidR="007617AD" w:rsidRDefault="00EE75C8">
            <w:pPr>
              <w:spacing w:after="0" w:line="259" w:lineRule="auto"/>
              <w:ind w:left="38" w:firstLine="0"/>
              <w:jc w:val="left"/>
            </w:pPr>
            <w:r>
              <w:rPr>
                <w:rFonts w:ascii="Calibri" w:eastAsia="Calibri" w:hAnsi="Calibri" w:cs="Calibri"/>
                <w:sz w:val="19"/>
              </w:rPr>
              <w:t>57%</w:t>
            </w:r>
          </w:p>
        </w:tc>
      </w:tr>
      <w:tr w:rsidR="007617AD">
        <w:tblPrEx>
          <w:tblCellMar>
            <w:top w:w="60" w:type="dxa"/>
            <w:right w:w="92" w:type="dxa"/>
          </w:tblCellMar>
        </w:tblPrEx>
        <w:trPr>
          <w:gridBefore w:val="2"/>
          <w:wBefore w:w="2674" w:type="dxa"/>
          <w:trHeight w:val="264"/>
        </w:trPr>
        <w:tc>
          <w:tcPr>
            <w:tcW w:w="2989" w:type="dxa"/>
            <w:gridSpan w:val="2"/>
            <w:tcBorders>
              <w:top w:val="single" w:sz="10" w:space="0" w:color="000000"/>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b/>
                <w:sz w:val="19"/>
              </w:rPr>
              <w:t>COSTES TOTALES</w:t>
            </w:r>
          </w:p>
        </w:tc>
        <w:tc>
          <w:tcPr>
            <w:tcW w:w="1955" w:type="dxa"/>
            <w:gridSpan w:val="3"/>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1.772.122,92 €    0,69 </w:t>
            </w:r>
          </w:p>
        </w:tc>
        <w:tc>
          <w:tcPr>
            <w:tcW w:w="492" w:type="dxa"/>
            <w:gridSpan w:val="2"/>
            <w:tcBorders>
              <w:top w:val="single" w:sz="10" w:space="0" w:color="000000"/>
              <w:left w:val="nil"/>
              <w:bottom w:val="single" w:sz="10" w:space="0" w:color="000000"/>
              <w:right w:val="single" w:sz="10" w:space="0" w:color="000000"/>
            </w:tcBorders>
          </w:tcPr>
          <w:p w:rsidR="007617AD" w:rsidRDefault="00EE75C8">
            <w:pPr>
              <w:spacing w:after="0" w:line="259" w:lineRule="auto"/>
              <w:ind w:left="0" w:firstLine="0"/>
            </w:pPr>
            <w:r>
              <w:rPr>
                <w:rFonts w:ascii="Calibri" w:eastAsia="Calibri" w:hAnsi="Calibri" w:cs="Calibri"/>
                <w:sz w:val="19"/>
              </w:rPr>
              <w:t>100%</w:t>
            </w:r>
          </w:p>
        </w:tc>
      </w:tr>
    </w:tbl>
    <w:p w:rsidR="007617AD" w:rsidRDefault="00EE75C8">
      <w:pPr>
        <w:numPr>
          <w:ilvl w:val="0"/>
          <w:numId w:val="81"/>
        </w:numPr>
        <w:spacing w:after="41" w:line="259" w:lineRule="auto"/>
        <w:ind w:right="366" w:firstLine="570"/>
        <w:jc w:val="left"/>
      </w:pPr>
      <w:r>
        <w:rPr>
          <w:rFonts w:ascii="Calibri" w:eastAsia="Calibri" w:hAnsi="Calibri" w:cs="Calibri"/>
          <w:sz w:val="15"/>
        </w:rPr>
        <w:t>5% sobre gastos fijos y variables a excepción de las Inversiones</w:t>
      </w:r>
    </w:p>
    <w:p w:rsidR="007617AD" w:rsidRDefault="00EE75C8">
      <w:pPr>
        <w:numPr>
          <w:ilvl w:val="0"/>
          <w:numId w:val="81"/>
        </w:numPr>
        <w:spacing w:after="153" w:line="259" w:lineRule="auto"/>
        <w:ind w:right="366" w:firstLine="570"/>
        <w:jc w:val="left"/>
      </w:pPr>
      <w:r>
        <w:rPr>
          <w:rFonts w:ascii="Calibri" w:eastAsia="Calibri" w:hAnsi="Calibri" w:cs="Calibri"/>
          <w:sz w:val="15"/>
        </w:rPr>
        <w:t>10% sobre gastos fijos y variables a excepción de los gastos de gestión y control</w:t>
      </w:r>
    </w:p>
    <w:p w:rsidR="007617AD" w:rsidRDefault="00EE75C8">
      <w:pPr>
        <w:numPr>
          <w:ilvl w:val="0"/>
          <w:numId w:val="81"/>
        </w:numPr>
        <w:spacing w:after="0" w:line="494" w:lineRule="auto"/>
        <w:ind w:right="366" w:firstLine="570"/>
        <w:jc w:val="left"/>
      </w:pPr>
      <w:r>
        <w:rPr>
          <w:rFonts w:ascii="Calibri" w:eastAsia="Calibri" w:hAnsi="Calibri" w:cs="Calibri"/>
          <w:sz w:val="15"/>
        </w:rPr>
        <w:t>Realización de los Programas de Vigilancia y Control ambiental.</w:t>
      </w:r>
      <w:r>
        <w:rPr>
          <w:rFonts w:ascii="Times New Roman" w:eastAsia="Times New Roman" w:hAnsi="Times New Roman" w:cs="Times New Roman"/>
          <w:sz w:val="24"/>
        </w:rPr>
        <w:t xml:space="preserve"> </w:t>
      </w:r>
      <w:r>
        <w:t xml:space="preserve">8. </w:t>
      </w:r>
      <w:r>
        <w:rPr>
          <w:u w:val="single" w:color="000000"/>
        </w:rPr>
        <w:t>Servicio de depuración de aguas residuales industriales</w:t>
      </w:r>
      <w:r>
        <w:t xml:space="preserve">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p w:rsidR="007617AD" w:rsidRDefault="00EE75C8">
      <w:pPr>
        <w:pStyle w:val="Ttulo2"/>
        <w:ind w:left="3120"/>
      </w:pPr>
      <w:r>
        <w:t>Servicio DEPURACIÓN Aguas Residuales Industriales</w:t>
      </w:r>
    </w:p>
    <w:p w:rsidR="007617AD" w:rsidRDefault="00EE75C8">
      <w:pPr>
        <w:pStyle w:val="Ttulo3"/>
        <w:tabs>
          <w:tab w:val="center" w:pos="2645"/>
          <w:tab w:val="center" w:pos="5275"/>
          <w:tab w:val="center" w:pos="7898"/>
          <w:tab w:val="center" w:pos="8915"/>
          <w:tab w:val="center" w:pos="9598"/>
        </w:tabs>
        <w:ind w:left="0" w:firstLine="0"/>
      </w:pPr>
      <w:r>
        <w:rPr>
          <w:b w:val="0"/>
          <w:sz w:val="22"/>
        </w:rPr>
        <w:tab/>
      </w:r>
      <w:r>
        <w:t>NATURALEZA DEL COSTE</w:t>
      </w:r>
      <w:r>
        <w:tab/>
        <w:t>CONCEPTO DEL COSTE</w:t>
      </w:r>
      <w:r>
        <w:tab/>
        <w:t>€/año</w:t>
      </w:r>
      <w:r>
        <w:tab/>
        <w:t>€/m3</w:t>
      </w:r>
      <w:r>
        <w:tab/>
        <w:t>%</w:t>
      </w:r>
    </w:p>
    <w:tbl>
      <w:tblPr>
        <w:tblStyle w:val="TableGrid"/>
        <w:tblW w:w="8249" w:type="dxa"/>
        <w:tblInd w:w="1650" w:type="dxa"/>
        <w:tblCellMar>
          <w:top w:w="30" w:type="dxa"/>
          <w:left w:w="0" w:type="dxa"/>
          <w:bottom w:w="0" w:type="dxa"/>
          <w:right w:w="115" w:type="dxa"/>
        </w:tblCellMar>
        <w:tblLook w:val="04A0" w:firstRow="1" w:lastRow="0" w:firstColumn="1" w:lastColumn="0" w:noHBand="0" w:noVBand="1"/>
      </w:tblPr>
      <w:tblGrid>
        <w:gridCol w:w="2720"/>
        <w:gridCol w:w="3182"/>
        <w:gridCol w:w="1078"/>
        <w:gridCol w:w="769"/>
        <w:gridCol w:w="500"/>
      </w:tblGrid>
      <w:tr w:rsidR="007617AD">
        <w:trPr>
          <w:trHeight w:val="287"/>
        </w:trPr>
        <w:tc>
          <w:tcPr>
            <w:tcW w:w="2720" w:type="dxa"/>
            <w:tcBorders>
              <w:top w:val="single" w:sz="10" w:space="0" w:color="000000"/>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Propio CIATF</w:t>
            </w:r>
          </w:p>
        </w:tc>
        <w:tc>
          <w:tcPr>
            <w:tcW w:w="3182" w:type="dxa"/>
            <w:tcBorders>
              <w:top w:val="single" w:sz="10" w:space="0" w:color="000000"/>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Gestión y Control (1)</w:t>
            </w:r>
          </w:p>
        </w:tc>
        <w:tc>
          <w:tcPr>
            <w:tcW w:w="1078" w:type="dxa"/>
            <w:tcBorders>
              <w:top w:val="single" w:sz="10" w:space="0" w:color="000000"/>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32.801,29 €</w:t>
            </w:r>
          </w:p>
        </w:tc>
        <w:tc>
          <w:tcPr>
            <w:tcW w:w="769"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0,08 </w:t>
            </w:r>
          </w:p>
        </w:tc>
        <w:tc>
          <w:tcPr>
            <w:tcW w:w="500" w:type="dxa"/>
            <w:tcBorders>
              <w:top w:val="single" w:sz="10" w:space="0" w:color="000000"/>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4%</w:t>
            </w:r>
          </w:p>
        </w:tc>
      </w:tr>
      <w:tr w:rsidR="007617AD">
        <w:trPr>
          <w:trHeight w:val="256"/>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Contrato de servicios</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Operación y mantenimiento</w:t>
            </w:r>
          </w:p>
        </w:tc>
        <w:tc>
          <w:tcPr>
            <w:tcW w:w="1078"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274.950,33 €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0 ,66 </w:t>
            </w:r>
          </w:p>
        </w:tc>
        <w:tc>
          <w:tcPr>
            <w:tcW w:w="500" w:type="dxa"/>
            <w:tcBorders>
              <w:top w:val="nil"/>
              <w:left w:val="nil"/>
              <w:bottom w:val="nil"/>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36%</w:t>
            </w:r>
          </w:p>
        </w:tc>
      </w:tr>
      <w:tr w:rsidR="007617AD">
        <w:trPr>
          <w:trHeight w:val="256"/>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Contrato de suministro</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Electricidad (Costes Fijos)</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17.078,26 €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0,04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2%</w:t>
            </w:r>
          </w:p>
        </w:tc>
      </w:tr>
      <w:tr w:rsidR="007617AD">
        <w:trPr>
          <w:trHeight w:val="257"/>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Propio CIATF</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Inversiones (2)</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65.602,59 €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0,16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9%</w:t>
            </w:r>
          </w:p>
        </w:tc>
      </w:tr>
      <w:tr w:rsidR="007617AD">
        <w:trPr>
          <w:trHeight w:val="256"/>
        </w:trPr>
        <w:tc>
          <w:tcPr>
            <w:tcW w:w="2720" w:type="dxa"/>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Contrato de servicios</w:t>
            </w:r>
          </w:p>
        </w:tc>
        <w:tc>
          <w:tcPr>
            <w:tcW w:w="3182" w:type="dxa"/>
            <w:tcBorders>
              <w:top w:val="nil"/>
              <w:left w:val="nil"/>
              <w:bottom w:val="nil"/>
              <w:right w:val="nil"/>
            </w:tcBorders>
          </w:tcPr>
          <w:p w:rsidR="007617AD" w:rsidRDefault="00EE75C8">
            <w:pPr>
              <w:spacing w:after="0" w:line="259" w:lineRule="auto"/>
              <w:ind w:left="39" w:firstLine="0"/>
              <w:jc w:val="left"/>
            </w:pPr>
            <w:r>
              <w:rPr>
                <w:rFonts w:ascii="Calibri" w:eastAsia="Calibri" w:hAnsi="Calibri" w:cs="Calibri"/>
                <w:sz w:val="19"/>
              </w:rPr>
              <w:t>Seguimiento medioambiental (3)</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52.108,25 €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w:t>
            </w:r>
            <w:r>
              <w:rPr>
                <w:rFonts w:ascii="Calibri" w:eastAsia="Calibri" w:hAnsi="Calibri" w:cs="Calibri"/>
                <w:sz w:val="19"/>
              </w:rPr>
              <w:t xml:space="preserve">0,13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7%</w:t>
            </w:r>
          </w:p>
        </w:tc>
      </w:tr>
      <w:tr w:rsidR="007617AD">
        <w:trPr>
          <w:trHeight w:val="238"/>
        </w:trPr>
        <w:tc>
          <w:tcPr>
            <w:tcW w:w="2720" w:type="dxa"/>
            <w:tcBorders>
              <w:top w:val="nil"/>
              <w:left w:val="single" w:sz="10" w:space="0" w:color="000000"/>
              <w:bottom w:val="single" w:sz="10" w:space="0" w:color="000000"/>
              <w:right w:val="nil"/>
            </w:tcBorders>
          </w:tcPr>
          <w:p w:rsidR="007617AD" w:rsidRDefault="00EE75C8">
            <w:pPr>
              <w:spacing w:after="0" w:line="259" w:lineRule="auto"/>
              <w:ind w:left="38" w:firstLine="0"/>
              <w:jc w:val="left"/>
            </w:pPr>
            <w:r>
              <w:rPr>
                <w:rFonts w:ascii="Calibri" w:eastAsia="Calibri" w:hAnsi="Calibri" w:cs="Calibri"/>
                <w:sz w:val="19"/>
              </w:rPr>
              <w:t>Contrato de suministro</w:t>
            </w:r>
          </w:p>
        </w:tc>
        <w:tc>
          <w:tcPr>
            <w:tcW w:w="3182" w:type="dxa"/>
            <w:tcBorders>
              <w:top w:val="nil"/>
              <w:left w:val="nil"/>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sz w:val="19"/>
              </w:rPr>
              <w:t>Comunicaciones</w:t>
            </w:r>
          </w:p>
        </w:tc>
        <w:tc>
          <w:tcPr>
            <w:tcW w:w="1078" w:type="dxa"/>
            <w:tcBorders>
              <w:top w:val="nil"/>
              <w:left w:val="nil"/>
              <w:bottom w:val="single" w:sz="10" w:space="0" w:color="000000"/>
              <w:right w:val="nil"/>
            </w:tcBorders>
          </w:tcPr>
          <w:p w:rsidR="007617AD" w:rsidRDefault="00EE75C8">
            <w:pPr>
              <w:spacing w:after="0" w:line="259" w:lineRule="auto"/>
              <w:ind w:left="321" w:firstLine="0"/>
              <w:jc w:val="left"/>
            </w:pPr>
            <w:r>
              <w:rPr>
                <w:rFonts w:ascii="Calibri" w:eastAsia="Calibri" w:hAnsi="Calibri" w:cs="Calibri"/>
                <w:sz w:val="19"/>
              </w:rPr>
              <w:t>801,84 €</w:t>
            </w:r>
          </w:p>
        </w:tc>
        <w:tc>
          <w:tcPr>
            <w:tcW w:w="769" w:type="dxa"/>
            <w:tcBorders>
              <w:top w:val="nil"/>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sz w:val="19"/>
              </w:rPr>
              <w:t xml:space="preserve">    0,00 </w:t>
            </w:r>
          </w:p>
        </w:tc>
        <w:tc>
          <w:tcPr>
            <w:tcW w:w="500" w:type="dxa"/>
            <w:tcBorders>
              <w:top w:val="nil"/>
              <w:left w:val="nil"/>
              <w:bottom w:val="single" w:sz="10" w:space="0" w:color="000000"/>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0%</w:t>
            </w:r>
          </w:p>
        </w:tc>
      </w:tr>
      <w:tr w:rsidR="007617AD">
        <w:trPr>
          <w:trHeight w:val="270"/>
        </w:trPr>
        <w:tc>
          <w:tcPr>
            <w:tcW w:w="2720"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3182" w:type="dxa"/>
            <w:tcBorders>
              <w:top w:val="single" w:sz="10" w:space="0" w:color="000000"/>
              <w:left w:val="single" w:sz="10" w:space="0" w:color="000000"/>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b/>
                <w:sz w:val="19"/>
              </w:rPr>
              <w:t>Subtotal costes fijos</w:t>
            </w:r>
          </w:p>
        </w:tc>
        <w:tc>
          <w:tcPr>
            <w:tcW w:w="1078"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443.342,56 €</w:t>
            </w:r>
          </w:p>
        </w:tc>
        <w:tc>
          <w:tcPr>
            <w:tcW w:w="769"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1,07 </w:t>
            </w:r>
          </w:p>
        </w:tc>
        <w:tc>
          <w:tcPr>
            <w:tcW w:w="500" w:type="dxa"/>
            <w:tcBorders>
              <w:top w:val="single" w:sz="10" w:space="0" w:color="000000"/>
              <w:left w:val="nil"/>
              <w:bottom w:val="single" w:sz="10" w:space="0" w:color="000000"/>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59%</w:t>
            </w:r>
          </w:p>
        </w:tc>
      </w:tr>
      <w:tr w:rsidR="007617AD">
        <w:trPr>
          <w:trHeight w:val="261"/>
        </w:trPr>
        <w:tc>
          <w:tcPr>
            <w:tcW w:w="5902" w:type="dxa"/>
            <w:gridSpan w:val="2"/>
            <w:tcBorders>
              <w:top w:val="single" w:sz="10" w:space="0" w:color="000000"/>
              <w:left w:val="single" w:sz="10" w:space="0" w:color="000000"/>
              <w:bottom w:val="nil"/>
              <w:right w:val="nil"/>
            </w:tcBorders>
          </w:tcPr>
          <w:p w:rsidR="007617AD" w:rsidRDefault="00EE75C8">
            <w:pPr>
              <w:tabs>
                <w:tab w:val="center" w:pos="3872"/>
              </w:tabs>
              <w:spacing w:after="0" w:line="259" w:lineRule="auto"/>
              <w:ind w:left="0" w:firstLine="0"/>
              <w:jc w:val="left"/>
            </w:pPr>
            <w:r>
              <w:rPr>
                <w:rFonts w:ascii="Calibri" w:eastAsia="Calibri" w:hAnsi="Calibri" w:cs="Calibri"/>
                <w:sz w:val="19"/>
              </w:rPr>
              <w:t>Contrato de servicios</w:t>
            </w:r>
            <w:r>
              <w:rPr>
                <w:rFonts w:ascii="Calibri" w:eastAsia="Calibri" w:hAnsi="Calibri" w:cs="Calibri"/>
                <w:sz w:val="19"/>
              </w:rPr>
              <w:tab/>
              <w:t>Operación y mantenimiento</w:t>
            </w:r>
          </w:p>
        </w:tc>
        <w:tc>
          <w:tcPr>
            <w:tcW w:w="1078" w:type="dxa"/>
            <w:tcBorders>
              <w:top w:val="single" w:sz="10" w:space="0" w:color="000000"/>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41.734,83 €</w:t>
            </w:r>
          </w:p>
        </w:tc>
        <w:tc>
          <w:tcPr>
            <w:tcW w:w="769" w:type="dxa"/>
            <w:tcBorders>
              <w:top w:val="single" w:sz="10" w:space="0" w:color="000000"/>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0,10 </w:t>
            </w:r>
          </w:p>
        </w:tc>
        <w:tc>
          <w:tcPr>
            <w:tcW w:w="500" w:type="dxa"/>
            <w:tcBorders>
              <w:top w:val="single" w:sz="10" w:space="0" w:color="000000"/>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6%</w:t>
            </w:r>
          </w:p>
        </w:tc>
      </w:tr>
      <w:tr w:rsidR="007617AD">
        <w:trPr>
          <w:trHeight w:val="257"/>
        </w:trPr>
        <w:tc>
          <w:tcPr>
            <w:tcW w:w="5902" w:type="dxa"/>
            <w:gridSpan w:val="2"/>
            <w:tcBorders>
              <w:top w:val="nil"/>
              <w:left w:val="single" w:sz="10" w:space="0" w:color="000000"/>
              <w:bottom w:val="nil"/>
              <w:right w:val="nil"/>
            </w:tcBorders>
          </w:tcPr>
          <w:p w:rsidR="007617AD" w:rsidRDefault="00EE75C8">
            <w:pPr>
              <w:tabs>
                <w:tab w:val="center" w:pos="3952"/>
              </w:tabs>
              <w:spacing w:after="0" w:line="259" w:lineRule="auto"/>
              <w:ind w:left="0" w:firstLine="0"/>
              <w:jc w:val="left"/>
            </w:pPr>
            <w:r>
              <w:rPr>
                <w:rFonts w:ascii="Calibri" w:eastAsia="Calibri" w:hAnsi="Calibri" w:cs="Calibri"/>
                <w:sz w:val="19"/>
              </w:rPr>
              <w:t>Contrato de suministro</w:t>
            </w:r>
            <w:r>
              <w:rPr>
                <w:rFonts w:ascii="Calibri" w:eastAsia="Calibri" w:hAnsi="Calibri" w:cs="Calibri"/>
                <w:sz w:val="19"/>
              </w:rPr>
              <w:tab/>
              <w:t>Electricidad (Costes Variables)</w:t>
            </w:r>
          </w:p>
        </w:tc>
        <w:tc>
          <w:tcPr>
            <w:tcW w:w="1078"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225.136,31 €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0,54 </w:t>
            </w:r>
          </w:p>
        </w:tc>
        <w:tc>
          <w:tcPr>
            <w:tcW w:w="500" w:type="dxa"/>
            <w:tcBorders>
              <w:top w:val="nil"/>
              <w:left w:val="nil"/>
              <w:bottom w:val="nil"/>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30%</w:t>
            </w:r>
          </w:p>
        </w:tc>
      </w:tr>
      <w:tr w:rsidR="007617AD">
        <w:trPr>
          <w:trHeight w:val="256"/>
        </w:trPr>
        <w:tc>
          <w:tcPr>
            <w:tcW w:w="5902" w:type="dxa"/>
            <w:gridSpan w:val="2"/>
            <w:tcBorders>
              <w:top w:val="nil"/>
              <w:left w:val="single" w:sz="10" w:space="0" w:color="000000"/>
              <w:bottom w:val="nil"/>
              <w:right w:val="nil"/>
            </w:tcBorders>
          </w:tcPr>
          <w:p w:rsidR="007617AD" w:rsidRDefault="00EE75C8">
            <w:pPr>
              <w:spacing w:after="0" w:line="259" w:lineRule="auto"/>
              <w:ind w:left="38" w:firstLine="0"/>
              <w:jc w:val="left"/>
            </w:pPr>
            <w:r>
              <w:rPr>
                <w:rFonts w:ascii="Calibri" w:eastAsia="Calibri" w:hAnsi="Calibri" w:cs="Calibri"/>
                <w:sz w:val="19"/>
              </w:rPr>
              <w:t>Tasas Cabildo Insular de Tenerife Tasas servicio P.I.R.S. Arico</w:t>
            </w:r>
          </w:p>
        </w:tc>
        <w:tc>
          <w:tcPr>
            <w:tcW w:w="1078" w:type="dxa"/>
            <w:tcBorders>
              <w:top w:val="nil"/>
              <w:left w:val="nil"/>
              <w:bottom w:val="nil"/>
              <w:right w:val="nil"/>
            </w:tcBorders>
          </w:tcPr>
          <w:p w:rsidR="007617AD" w:rsidRDefault="00EE75C8">
            <w:pPr>
              <w:spacing w:after="0" w:line="259" w:lineRule="auto"/>
              <w:ind w:left="90" w:firstLine="0"/>
              <w:jc w:val="left"/>
            </w:pPr>
            <w:r>
              <w:rPr>
                <w:rFonts w:ascii="Calibri" w:eastAsia="Calibri" w:hAnsi="Calibri" w:cs="Calibri"/>
                <w:sz w:val="19"/>
              </w:rPr>
              <w:t>44.216,04 €</w:t>
            </w:r>
          </w:p>
        </w:tc>
        <w:tc>
          <w:tcPr>
            <w:tcW w:w="769" w:type="dxa"/>
            <w:tcBorders>
              <w:top w:val="nil"/>
              <w:left w:val="nil"/>
              <w:bottom w:val="nil"/>
              <w:right w:val="nil"/>
            </w:tcBorders>
          </w:tcPr>
          <w:p w:rsidR="007617AD" w:rsidRDefault="00EE75C8">
            <w:pPr>
              <w:spacing w:after="0" w:line="259" w:lineRule="auto"/>
              <w:ind w:left="0" w:firstLine="0"/>
              <w:jc w:val="left"/>
            </w:pPr>
            <w:r>
              <w:rPr>
                <w:rFonts w:ascii="Calibri" w:eastAsia="Calibri" w:hAnsi="Calibri" w:cs="Calibri"/>
                <w:sz w:val="19"/>
              </w:rPr>
              <w:t xml:space="preserve">    0,11 </w:t>
            </w:r>
          </w:p>
        </w:tc>
        <w:tc>
          <w:tcPr>
            <w:tcW w:w="500" w:type="dxa"/>
            <w:tcBorders>
              <w:top w:val="nil"/>
              <w:left w:val="nil"/>
              <w:bottom w:val="nil"/>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6%</w:t>
            </w:r>
          </w:p>
        </w:tc>
      </w:tr>
      <w:tr w:rsidR="007617AD">
        <w:trPr>
          <w:trHeight w:val="239"/>
        </w:trPr>
        <w:tc>
          <w:tcPr>
            <w:tcW w:w="5902" w:type="dxa"/>
            <w:gridSpan w:val="2"/>
            <w:tcBorders>
              <w:top w:val="nil"/>
              <w:left w:val="single" w:sz="10" w:space="0" w:color="000000"/>
              <w:bottom w:val="single" w:sz="10" w:space="0" w:color="000000"/>
              <w:right w:val="nil"/>
            </w:tcBorders>
          </w:tcPr>
          <w:p w:rsidR="007617AD" w:rsidRDefault="00EE75C8">
            <w:pPr>
              <w:tabs>
                <w:tab w:val="center" w:pos="3282"/>
              </w:tabs>
              <w:spacing w:after="0" w:line="259" w:lineRule="auto"/>
              <w:ind w:left="0" w:firstLine="0"/>
              <w:jc w:val="left"/>
            </w:pPr>
            <w:r>
              <w:rPr>
                <w:rFonts w:ascii="Calibri" w:eastAsia="Calibri" w:hAnsi="Calibri" w:cs="Calibri"/>
                <w:sz w:val="19"/>
              </w:rPr>
              <w:t>Tasas municipales</w:t>
            </w:r>
            <w:r>
              <w:rPr>
                <w:rFonts w:ascii="Calibri" w:eastAsia="Calibri" w:hAnsi="Calibri" w:cs="Calibri"/>
                <w:sz w:val="19"/>
              </w:rPr>
              <w:tab/>
              <w:t>Agua servicio</w:t>
            </w:r>
          </w:p>
        </w:tc>
        <w:tc>
          <w:tcPr>
            <w:tcW w:w="1078" w:type="dxa"/>
            <w:tcBorders>
              <w:top w:val="nil"/>
              <w:left w:val="nil"/>
              <w:bottom w:val="single" w:sz="10" w:space="0" w:color="000000"/>
              <w:right w:val="nil"/>
            </w:tcBorders>
          </w:tcPr>
          <w:p w:rsidR="007617AD" w:rsidRDefault="00EE75C8">
            <w:pPr>
              <w:spacing w:after="0" w:line="259" w:lineRule="auto"/>
              <w:ind w:left="500" w:firstLine="0"/>
              <w:jc w:val="left"/>
            </w:pPr>
            <w:r>
              <w:rPr>
                <w:rFonts w:ascii="Calibri" w:eastAsia="Calibri" w:hAnsi="Calibri" w:cs="Calibri"/>
                <w:sz w:val="19"/>
              </w:rPr>
              <w:t>0,00 €</w:t>
            </w:r>
          </w:p>
        </w:tc>
        <w:tc>
          <w:tcPr>
            <w:tcW w:w="769" w:type="dxa"/>
            <w:tcBorders>
              <w:top w:val="nil"/>
              <w:left w:val="nil"/>
              <w:bottom w:val="single" w:sz="10" w:space="0" w:color="000000"/>
              <w:right w:val="nil"/>
            </w:tcBorders>
          </w:tcPr>
          <w:p w:rsidR="007617AD" w:rsidRDefault="00EE75C8">
            <w:pPr>
              <w:tabs>
                <w:tab w:val="center" w:pos="436"/>
              </w:tabs>
              <w:spacing w:after="0" w:line="259" w:lineRule="auto"/>
              <w:ind w:left="0" w:firstLine="0"/>
              <w:jc w:val="left"/>
            </w:pPr>
            <w:r>
              <w:rPr>
                <w:rFonts w:ascii="Calibri" w:eastAsia="Calibri" w:hAnsi="Calibri" w:cs="Calibri"/>
                <w:sz w:val="19"/>
              </w:rPr>
              <w:t xml:space="preserve">      -</w:t>
            </w:r>
            <w:r>
              <w:rPr>
                <w:rFonts w:ascii="Calibri" w:eastAsia="Calibri" w:hAnsi="Calibri" w:cs="Calibri"/>
                <w:sz w:val="19"/>
              </w:rPr>
              <w:tab/>
              <w:t xml:space="preserve"> </w:t>
            </w:r>
          </w:p>
        </w:tc>
        <w:tc>
          <w:tcPr>
            <w:tcW w:w="500" w:type="dxa"/>
            <w:tcBorders>
              <w:top w:val="nil"/>
              <w:left w:val="nil"/>
              <w:bottom w:val="single" w:sz="10" w:space="0" w:color="000000"/>
              <w:right w:val="single" w:sz="10" w:space="0" w:color="000000"/>
            </w:tcBorders>
          </w:tcPr>
          <w:p w:rsidR="007617AD" w:rsidRDefault="00EE75C8">
            <w:pPr>
              <w:spacing w:after="0" w:line="259" w:lineRule="auto"/>
              <w:ind w:left="90" w:firstLine="0"/>
              <w:jc w:val="left"/>
            </w:pPr>
            <w:r>
              <w:rPr>
                <w:rFonts w:ascii="Calibri" w:eastAsia="Calibri" w:hAnsi="Calibri" w:cs="Calibri"/>
                <w:sz w:val="19"/>
              </w:rPr>
              <w:t>0%</w:t>
            </w:r>
          </w:p>
        </w:tc>
      </w:tr>
      <w:tr w:rsidR="007617AD">
        <w:trPr>
          <w:trHeight w:val="269"/>
        </w:trPr>
        <w:tc>
          <w:tcPr>
            <w:tcW w:w="2720" w:type="dxa"/>
            <w:tcBorders>
              <w:top w:val="single" w:sz="10" w:space="0" w:color="000000"/>
              <w:left w:val="nil"/>
              <w:bottom w:val="nil"/>
              <w:right w:val="single" w:sz="10" w:space="0" w:color="000000"/>
            </w:tcBorders>
          </w:tcPr>
          <w:p w:rsidR="007617AD" w:rsidRDefault="007617AD">
            <w:pPr>
              <w:spacing w:after="160" w:line="259" w:lineRule="auto"/>
              <w:ind w:left="0" w:firstLine="0"/>
              <w:jc w:val="left"/>
            </w:pPr>
          </w:p>
        </w:tc>
        <w:tc>
          <w:tcPr>
            <w:tcW w:w="3182" w:type="dxa"/>
            <w:tcBorders>
              <w:top w:val="single" w:sz="10" w:space="0" w:color="000000"/>
              <w:left w:val="single" w:sz="10" w:space="0" w:color="000000"/>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b/>
                <w:sz w:val="19"/>
              </w:rPr>
              <w:t>Subtotal costes variables</w:t>
            </w:r>
          </w:p>
        </w:tc>
        <w:tc>
          <w:tcPr>
            <w:tcW w:w="1078"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311.087,18 €</w:t>
            </w:r>
          </w:p>
        </w:tc>
        <w:tc>
          <w:tcPr>
            <w:tcW w:w="769" w:type="dxa"/>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 xml:space="preserve">    0,75 </w:t>
            </w:r>
          </w:p>
        </w:tc>
        <w:tc>
          <w:tcPr>
            <w:tcW w:w="500" w:type="dxa"/>
            <w:tcBorders>
              <w:top w:val="single" w:sz="10" w:space="0" w:color="000000"/>
              <w:left w:val="nil"/>
              <w:bottom w:val="single" w:sz="10" w:space="0" w:color="000000"/>
              <w:right w:val="single" w:sz="10" w:space="0" w:color="000000"/>
            </w:tcBorders>
          </w:tcPr>
          <w:p w:rsidR="007617AD" w:rsidRDefault="00EE75C8">
            <w:pPr>
              <w:spacing w:after="0" w:line="259" w:lineRule="auto"/>
              <w:ind w:left="39" w:firstLine="0"/>
              <w:jc w:val="left"/>
            </w:pPr>
            <w:r>
              <w:rPr>
                <w:rFonts w:ascii="Calibri" w:eastAsia="Calibri" w:hAnsi="Calibri" w:cs="Calibri"/>
                <w:sz w:val="19"/>
              </w:rPr>
              <w:t>41%</w:t>
            </w:r>
          </w:p>
        </w:tc>
      </w:tr>
      <w:tr w:rsidR="007617AD">
        <w:tblPrEx>
          <w:tblCellMar>
            <w:top w:w="61" w:type="dxa"/>
            <w:right w:w="94" w:type="dxa"/>
          </w:tblCellMar>
        </w:tblPrEx>
        <w:trPr>
          <w:gridBefore w:val="1"/>
          <w:wBefore w:w="2720" w:type="dxa"/>
          <w:trHeight w:val="270"/>
        </w:trPr>
        <w:tc>
          <w:tcPr>
            <w:tcW w:w="3182" w:type="dxa"/>
            <w:tcBorders>
              <w:top w:val="single" w:sz="10" w:space="0" w:color="000000"/>
              <w:left w:val="single" w:sz="10" w:space="0" w:color="000000"/>
              <w:bottom w:val="single" w:sz="10" w:space="0" w:color="000000"/>
              <w:right w:val="nil"/>
            </w:tcBorders>
          </w:tcPr>
          <w:p w:rsidR="007617AD" w:rsidRDefault="00EE75C8">
            <w:pPr>
              <w:spacing w:after="0" w:line="259" w:lineRule="auto"/>
              <w:ind w:left="39" w:firstLine="0"/>
              <w:jc w:val="left"/>
            </w:pPr>
            <w:r>
              <w:rPr>
                <w:rFonts w:ascii="Calibri" w:eastAsia="Calibri" w:hAnsi="Calibri" w:cs="Calibri"/>
                <w:b/>
                <w:sz w:val="19"/>
              </w:rPr>
              <w:t>COSTES TOTALES</w:t>
            </w:r>
          </w:p>
        </w:tc>
        <w:tc>
          <w:tcPr>
            <w:tcW w:w="1847" w:type="dxa"/>
            <w:gridSpan w:val="2"/>
            <w:tcBorders>
              <w:top w:val="single" w:sz="10" w:space="0" w:color="000000"/>
              <w:left w:val="nil"/>
              <w:bottom w:val="single" w:sz="10" w:space="0" w:color="000000"/>
              <w:right w:val="nil"/>
            </w:tcBorders>
          </w:tcPr>
          <w:p w:rsidR="007617AD" w:rsidRDefault="00EE75C8">
            <w:pPr>
              <w:spacing w:after="0" w:line="259" w:lineRule="auto"/>
              <w:ind w:left="0" w:firstLine="0"/>
              <w:jc w:val="left"/>
            </w:pPr>
            <w:r>
              <w:rPr>
                <w:rFonts w:ascii="Calibri" w:eastAsia="Calibri" w:hAnsi="Calibri" w:cs="Calibri"/>
                <w:b/>
                <w:sz w:val="19"/>
              </w:rPr>
              <w:t>754.429,74 €</w:t>
            </w:r>
            <w:r>
              <w:rPr>
                <w:rFonts w:ascii="Calibri" w:eastAsia="Calibri" w:hAnsi="Calibri" w:cs="Calibri"/>
                <w:b/>
                <w:sz w:val="19"/>
              </w:rPr>
              <w:t xml:space="preserve">    1,81 </w:t>
            </w:r>
          </w:p>
        </w:tc>
        <w:tc>
          <w:tcPr>
            <w:tcW w:w="500" w:type="dxa"/>
            <w:tcBorders>
              <w:top w:val="single" w:sz="10" w:space="0" w:color="000000"/>
              <w:left w:val="nil"/>
              <w:bottom w:val="single" w:sz="10" w:space="0" w:color="000000"/>
              <w:right w:val="single" w:sz="10" w:space="0" w:color="000000"/>
            </w:tcBorders>
          </w:tcPr>
          <w:p w:rsidR="007617AD" w:rsidRDefault="00EE75C8">
            <w:pPr>
              <w:spacing w:after="0" w:line="259" w:lineRule="auto"/>
              <w:ind w:left="0" w:firstLine="0"/>
            </w:pPr>
            <w:r>
              <w:rPr>
                <w:rFonts w:ascii="Calibri" w:eastAsia="Calibri" w:hAnsi="Calibri" w:cs="Calibri"/>
                <w:sz w:val="19"/>
              </w:rPr>
              <w:t>100%</w:t>
            </w:r>
          </w:p>
        </w:tc>
      </w:tr>
    </w:tbl>
    <w:p w:rsidR="007617AD" w:rsidRDefault="00EE75C8">
      <w:pPr>
        <w:numPr>
          <w:ilvl w:val="0"/>
          <w:numId w:val="82"/>
        </w:numPr>
        <w:spacing w:after="41" w:line="259" w:lineRule="auto"/>
        <w:ind w:right="366" w:hanging="217"/>
        <w:jc w:val="left"/>
      </w:pPr>
      <w:r>
        <w:rPr>
          <w:rFonts w:ascii="Calibri" w:eastAsia="Calibri" w:hAnsi="Calibri" w:cs="Calibri"/>
          <w:sz w:val="15"/>
        </w:rPr>
        <w:t>5% sobre gastos fijos y variables a excepción de las Inversiones</w:t>
      </w:r>
    </w:p>
    <w:p w:rsidR="007617AD" w:rsidRDefault="00EE75C8">
      <w:pPr>
        <w:numPr>
          <w:ilvl w:val="0"/>
          <w:numId w:val="82"/>
        </w:numPr>
        <w:spacing w:after="95" w:line="259" w:lineRule="auto"/>
        <w:ind w:right="366" w:hanging="217"/>
        <w:jc w:val="left"/>
      </w:pPr>
      <w:r>
        <w:rPr>
          <w:rFonts w:ascii="Calibri" w:eastAsia="Calibri" w:hAnsi="Calibri" w:cs="Calibri"/>
          <w:noProof/>
        </w:rPr>
        <mc:AlternateContent>
          <mc:Choice Requires="wpg">
            <w:drawing>
              <wp:anchor distT="0" distB="0" distL="114300" distR="114300" simplePos="0" relativeHeight="25181696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302249" name="Group 30224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7036" name="Rectangle 2703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7037" name="Rectangle 27037"/>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153 de 192 </w:t>
                              </w:r>
                            </w:p>
                          </w:txbxContent>
                        </wps:txbx>
                        <wps:bodyPr horzOverflow="overflow" vert="horz" lIns="0" tIns="0" rIns="0" bIns="0" rtlCol="0">
                          <a:noAutofit/>
                        </wps:bodyPr>
                      </wps:wsp>
                    </wpg:wgp>
                  </a:graphicData>
                </a:graphic>
              </wp:anchor>
            </w:drawing>
          </mc:Choice>
          <mc:Fallback xmlns:a="http://schemas.openxmlformats.org/drawingml/2006/main">
            <w:pict>
              <v:group id="Group 302249" style="width:12.7031pt;height:280.02pt;position:absolute;mso-position-horizontal-relative:page;mso-position-horizontal:absolute;margin-left:682.278pt;mso-position-vertical-relative:page;margin-top:531.9pt;" coordsize="1613,35562">
                <v:rect id="Rectangle 2703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7037"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153 de 192 </w:t>
                        </w:r>
                      </w:p>
                    </w:txbxContent>
                  </v:textbox>
                </v:rect>
                <w10:wrap type="square"/>
              </v:group>
            </w:pict>
          </mc:Fallback>
        </mc:AlternateContent>
      </w:r>
      <w:r>
        <w:rPr>
          <w:rFonts w:ascii="Calibri" w:eastAsia="Calibri" w:hAnsi="Calibri" w:cs="Calibri"/>
          <w:sz w:val="15"/>
        </w:rPr>
        <w:t>10% sobre gastos fijos y variables a excepción de los gastos de gestión y control</w:t>
      </w:r>
    </w:p>
    <w:p w:rsidR="007617AD" w:rsidRDefault="00EE75C8">
      <w:pPr>
        <w:numPr>
          <w:ilvl w:val="0"/>
          <w:numId w:val="82"/>
        </w:numPr>
        <w:spacing w:after="168" w:line="259" w:lineRule="auto"/>
        <w:ind w:right="366" w:hanging="217"/>
        <w:jc w:val="left"/>
      </w:pPr>
      <w:r>
        <w:rPr>
          <w:rFonts w:ascii="Calibri" w:eastAsia="Calibri" w:hAnsi="Calibri" w:cs="Calibri"/>
          <w:sz w:val="15"/>
        </w:rPr>
        <w:t>Realización de los Programas de Vigilancia y Control ambiental.</w:t>
      </w:r>
      <w:r>
        <w:rPr>
          <w:rFonts w:ascii="Calibri" w:eastAsia="Calibri" w:hAnsi="Calibri" w:cs="Calibri"/>
          <w:sz w:val="15"/>
        </w:rPr>
        <w:tab/>
      </w:r>
      <w:r>
        <w:rPr>
          <w:rFonts w:ascii="Times New Roman" w:eastAsia="Times New Roman" w:hAnsi="Times New Roman" w:cs="Times New Roman"/>
          <w:sz w:val="24"/>
        </w:rPr>
        <w:t xml:space="preserve"> </w:t>
      </w:r>
    </w:p>
    <w:p w:rsidR="007617AD" w:rsidRDefault="00EE75C8">
      <w:pPr>
        <w:spacing w:after="0"/>
        <w:ind w:left="703" w:right="62"/>
      </w:pPr>
      <w:r>
        <w:t>Estos costes son estimativos y podrían verse alterados a la baja o al alza en función de varias variables como los costes de la energía eléctrica o los costes de operación y mantenimiento que resulten de los procesos de licitación de los diversos contratos</w:t>
      </w:r>
      <w:r>
        <w:t xml:space="preserve"> asociados o como pudiera ser los cambios normativos en materia de depuración y control de vertidos. </w:t>
      </w:r>
    </w:p>
    <w:p w:rsidR="007617AD" w:rsidRDefault="00EE75C8">
      <w:pPr>
        <w:spacing w:after="0" w:line="259" w:lineRule="auto"/>
        <w:ind w:left="699" w:firstLine="0"/>
        <w:jc w:val="center"/>
      </w:pPr>
      <w:r>
        <w:t xml:space="preserve"> </w:t>
      </w:r>
    </w:p>
    <w:p w:rsidR="007617AD" w:rsidRDefault="00EE75C8">
      <w:pPr>
        <w:spacing w:after="90"/>
        <w:ind w:left="703" w:right="58"/>
      </w:pPr>
      <w:r>
        <w:rPr>
          <w:b/>
        </w:rPr>
        <w:t xml:space="preserve">OCTAVO. - REPARTO DE COSTES FIJOS. </w:t>
      </w:r>
      <w:r>
        <w:rPr>
          <w:rFonts w:ascii="Times New Roman" w:eastAsia="Times New Roman" w:hAnsi="Times New Roman" w:cs="Times New Roman"/>
          <w:sz w:val="24"/>
        </w:rPr>
        <w:t xml:space="preserve"> </w:t>
      </w:r>
    </w:p>
    <w:p w:rsidR="007617AD" w:rsidRDefault="00EE75C8">
      <w:pPr>
        <w:ind w:left="703" w:right="62"/>
      </w:pPr>
      <w:r>
        <w:t xml:space="preserve">En virtud de lo establecido en el expositivo séptimo, el reparto de los costes fijos se realizará en función de la </w:t>
      </w:r>
      <w:r>
        <w:t xml:space="preserve">cuota de participación de cada Ayuntamiento en los costes fijos bajo la premisa de </w:t>
      </w:r>
      <w:r>
        <w:rPr>
          <w:u w:val="single" w:color="000000"/>
        </w:rPr>
        <w:t>proporcionalidad entre la cuota de tratamiento asignada por municipio y los costes fijos de cada</w:t>
      </w:r>
      <w:r>
        <w:t xml:space="preserve"> </w:t>
      </w:r>
      <w:r>
        <w:rPr>
          <w:u w:val="single" w:color="000000"/>
        </w:rPr>
        <w:t>una de las instalaciones.</w:t>
      </w:r>
      <w:r>
        <w:rPr>
          <w:rFonts w:ascii="Times New Roman" w:eastAsia="Times New Roman" w:hAnsi="Times New Roman" w:cs="Times New Roman"/>
          <w:sz w:val="24"/>
        </w:rPr>
        <w:t xml:space="preserve"> </w:t>
      </w:r>
    </w:p>
    <w:p w:rsidR="007617AD" w:rsidRDefault="00EE75C8">
      <w:pPr>
        <w:numPr>
          <w:ilvl w:val="0"/>
          <w:numId w:val="83"/>
        </w:numPr>
        <w:spacing w:after="111" w:line="249" w:lineRule="auto"/>
        <w:ind w:hanging="360"/>
        <w:jc w:val="left"/>
      </w:pPr>
      <w:r>
        <w:rPr>
          <w:u w:val="single" w:color="000000"/>
        </w:rPr>
        <w:t>Servicio de depuración de aguas residuales urbana</w:t>
      </w:r>
      <w:r>
        <w:rPr>
          <w:u w:val="single" w:color="000000"/>
        </w:rPr>
        <w:t>s</w:t>
      </w:r>
      <w:r>
        <w:t xml:space="preserve"> </w:t>
      </w:r>
    </w:p>
    <w:p w:rsidR="007617AD" w:rsidRDefault="00EE75C8">
      <w:pPr>
        <w:spacing w:after="27" w:line="259" w:lineRule="auto"/>
        <w:ind w:left="690" w:firstLine="0"/>
        <w:jc w:val="center"/>
      </w:pPr>
      <w:r>
        <w:rPr>
          <w:noProof/>
        </w:rPr>
        <w:drawing>
          <wp:inline distT="0" distB="0" distL="0" distR="0">
            <wp:extent cx="2281428" cy="1030224"/>
            <wp:effectExtent l="0" t="0" r="0" b="0"/>
            <wp:docPr id="27033" name="Picture 27033"/>
            <wp:cNvGraphicFramePr/>
            <a:graphic xmlns:a="http://schemas.openxmlformats.org/drawingml/2006/main">
              <a:graphicData uri="http://schemas.openxmlformats.org/drawingml/2006/picture">
                <pic:pic xmlns:pic="http://schemas.openxmlformats.org/drawingml/2006/picture">
                  <pic:nvPicPr>
                    <pic:cNvPr id="27033" name="Picture 27033"/>
                    <pic:cNvPicPr/>
                  </pic:nvPicPr>
                  <pic:blipFill>
                    <a:blip r:embed="rId14"/>
                    <a:stretch>
                      <a:fillRect/>
                    </a:stretch>
                  </pic:blipFill>
                  <pic:spPr>
                    <a:xfrm>
                      <a:off x="0" y="0"/>
                      <a:ext cx="2281428" cy="1030224"/>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numPr>
          <w:ilvl w:val="0"/>
          <w:numId w:val="83"/>
        </w:numPr>
        <w:spacing w:after="111" w:line="249" w:lineRule="auto"/>
        <w:ind w:hanging="360"/>
        <w:jc w:val="left"/>
      </w:pPr>
      <w:r>
        <w:rPr>
          <w:u w:val="single" w:color="000000"/>
        </w:rPr>
        <w:t>Servicio de depuración de aguas residuales industriales</w:t>
      </w:r>
      <w:r>
        <w:t xml:space="preserve"> </w:t>
      </w:r>
    </w:p>
    <w:p w:rsidR="007617AD" w:rsidRDefault="00EE75C8">
      <w:pPr>
        <w:spacing w:after="43" w:line="259" w:lineRule="auto"/>
        <w:ind w:left="693" w:firstLine="0"/>
        <w:jc w:val="center"/>
      </w:pPr>
      <w:r>
        <w:rPr>
          <w:noProof/>
        </w:rPr>
        <w:drawing>
          <wp:inline distT="0" distB="0" distL="0" distR="0">
            <wp:extent cx="2304288" cy="883920"/>
            <wp:effectExtent l="0" t="0" r="0" b="0"/>
            <wp:docPr id="27241" name="Picture 27241"/>
            <wp:cNvGraphicFramePr/>
            <a:graphic xmlns:a="http://schemas.openxmlformats.org/drawingml/2006/main">
              <a:graphicData uri="http://schemas.openxmlformats.org/drawingml/2006/picture">
                <pic:pic xmlns:pic="http://schemas.openxmlformats.org/drawingml/2006/picture">
                  <pic:nvPicPr>
                    <pic:cNvPr id="27241" name="Picture 27241"/>
                    <pic:cNvPicPr/>
                  </pic:nvPicPr>
                  <pic:blipFill>
                    <a:blip r:embed="rId15"/>
                    <a:stretch>
                      <a:fillRect/>
                    </a:stretch>
                  </pic:blipFill>
                  <pic:spPr>
                    <a:xfrm>
                      <a:off x="0" y="0"/>
                      <a:ext cx="2304288" cy="883920"/>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ind w:left="703" w:right="62"/>
      </w:pPr>
      <w:r>
        <w:t xml:space="preserve">A tal efecto, de conformidad con lo expuesto, las partes acuerdan suscribir el presente convenio sobre la base de las siguientes: </w:t>
      </w:r>
    </w:p>
    <w:p w:rsidR="007617AD" w:rsidRDefault="00EE75C8">
      <w:pPr>
        <w:spacing w:after="0" w:line="259" w:lineRule="auto"/>
        <w:ind w:left="708" w:firstLine="0"/>
        <w:jc w:val="left"/>
      </w:pPr>
      <w:r>
        <w:rPr>
          <w:b/>
        </w:rPr>
        <w:t xml:space="preserve"> </w:t>
      </w:r>
    </w:p>
    <w:p w:rsidR="007617AD" w:rsidRDefault="00EE75C8">
      <w:pPr>
        <w:pStyle w:val="Ttulo3"/>
        <w:spacing w:after="215"/>
        <w:ind w:left="643"/>
        <w:jc w:val="center"/>
      </w:pPr>
      <w:r>
        <w:rPr>
          <w:rFonts w:ascii="Arial" w:eastAsia="Arial" w:hAnsi="Arial" w:cs="Arial"/>
          <w:sz w:val="22"/>
          <w:u w:val="single" w:color="000000"/>
        </w:rPr>
        <w:t>CLÁUSULAS</w:t>
      </w:r>
      <w:r>
        <w:rPr>
          <w:rFonts w:ascii="Arial" w:eastAsia="Arial" w:hAnsi="Arial" w:cs="Arial"/>
          <w:sz w:val="22"/>
        </w:rPr>
        <w:t xml:space="preserve"> </w:t>
      </w:r>
    </w:p>
    <w:p w:rsidR="007617AD" w:rsidRDefault="00EE75C8">
      <w:pPr>
        <w:spacing w:after="234"/>
        <w:ind w:left="703" w:right="58"/>
      </w:pPr>
      <w:r>
        <w:rPr>
          <w:b/>
        </w:rPr>
        <w:t xml:space="preserve">PRIMERA. - OBJETO DEL CONVENIO. </w:t>
      </w:r>
    </w:p>
    <w:p w:rsidR="007617AD" w:rsidRDefault="00EE75C8">
      <w:pPr>
        <w:ind w:left="703" w:right="62"/>
      </w:pPr>
      <w:r>
        <w:t>Es objeto del presente Convenio establecer las bases de colaboración entre el Consejo Insular de Aguas de Tenerife (CIATF) y los Ayuntamientos de Candelaria, Arafo y Güímar, para la gestión conjunta por el CIATF de las infraestructuras de depuración y vert</w:t>
      </w:r>
      <w:r>
        <w:t xml:space="preserve">ido integradas en los Sistemas Territoriales de Saneamiento del Valle de Güímar y del Polígono Industrial del Valle de Güímar, que se identifican a continuación, con el fin de garantizar el servicio público de depuración y tratamiento de aguas residuales, </w:t>
      </w:r>
      <w:r>
        <w:t>de origen urbano e industrial, procedentes de los núcleos de población identificados en la presente cláusula, y cumplir con las obligaciones medioambientales y de calidad del agua residual, dimanantes de la Directiva 271/91, del RD Ley 11/95 que la traspon</w:t>
      </w:r>
      <w:r>
        <w:t xml:space="preserve">e a nuestro ordenamiento jurídico y del Real Decreto 509/1996 que lo desarrolla: </w:t>
      </w:r>
    </w:p>
    <w:p w:rsidR="007617AD" w:rsidRDefault="00EE75C8">
      <w:pPr>
        <w:numPr>
          <w:ilvl w:val="0"/>
          <w:numId w:val="84"/>
        </w:numPr>
        <w:spacing w:after="91"/>
        <w:ind w:right="62" w:hanging="360"/>
      </w:pPr>
      <w:r>
        <w:t xml:space="preserve">EDARU:  Estación Depuradora de Aguas Residuales Urbanas. </w:t>
      </w:r>
    </w:p>
    <w:p w:rsidR="007617AD" w:rsidRDefault="00EE75C8">
      <w:pPr>
        <w:numPr>
          <w:ilvl w:val="0"/>
          <w:numId w:val="84"/>
        </w:numPr>
        <w:spacing w:after="91"/>
        <w:ind w:right="62" w:hanging="360"/>
      </w:pPr>
      <w:r>
        <w:rPr>
          <w:rFonts w:ascii="Calibri" w:eastAsia="Calibri" w:hAnsi="Calibri" w:cs="Calibri"/>
          <w:noProof/>
        </w:rPr>
        <mc:AlternateContent>
          <mc:Choice Requires="wpg">
            <w:drawing>
              <wp:anchor distT="0" distB="0" distL="114300" distR="114300" simplePos="0" relativeHeight="25181798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9200" name="Group 27920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7244" name="Rectangle 2724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7245" name="Rectangle 27245"/>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w:t>
                              </w:r>
                              <w:r>
                                <w:rPr>
                                  <w:sz w:val="12"/>
                                </w:rPr>
                                <w:t xml:space="preserve">mado electrónicamente desde la plataforma esPublico Gestiona | Página 154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9200" style="width:12.7031pt;height:280.02pt;position:absolute;mso-position-horizontal-relative:page;mso-position-horizontal:absolute;margin-left:682.278pt;mso-position-vertical-relative:page;margin-top:531.9pt;" coordsize="1613,35562">
                <v:rect id="Rectangle 2724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7245"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154 de 192 </w:t>
                        </w:r>
                      </w:p>
                    </w:txbxContent>
                  </v:textbox>
                </v:rect>
                <w10:wrap type="square"/>
              </v:group>
            </w:pict>
          </mc:Fallback>
        </mc:AlternateContent>
      </w:r>
      <w:r>
        <w:t xml:space="preserve">EDARI: Estación Depuradora de Aguas Residuales Industriales. </w:t>
      </w:r>
    </w:p>
    <w:p w:rsidR="007617AD" w:rsidRDefault="00EE75C8">
      <w:pPr>
        <w:numPr>
          <w:ilvl w:val="0"/>
          <w:numId w:val="84"/>
        </w:numPr>
        <w:ind w:right="62" w:hanging="360"/>
      </w:pPr>
      <w:r>
        <w:t xml:space="preserve">Emisario terrestre y emisario submarino del Valle de Güímar. </w:t>
      </w:r>
    </w:p>
    <w:p w:rsidR="007617AD" w:rsidRDefault="00EE75C8">
      <w:pPr>
        <w:numPr>
          <w:ilvl w:val="0"/>
          <w:numId w:val="84"/>
        </w:numPr>
        <w:spacing w:after="93"/>
        <w:ind w:right="62" w:hanging="360"/>
      </w:pPr>
      <w:r>
        <w:t>Estaciones de Bombeo, colectores y conducciones de</w:t>
      </w:r>
      <w:r>
        <w:t xml:space="preserve"> transporte de carácter supramunicipal que se determinen por la Comisión de Seguimiento durante la vigencia del convenio, cuya inclusión requerirá la modificación del convenio que deberá plasmarse en la correspondiente Adenda.</w:t>
      </w:r>
      <w:r>
        <w:rPr>
          <w:rFonts w:ascii="Times New Roman" w:eastAsia="Times New Roman" w:hAnsi="Times New Roman" w:cs="Times New Roman"/>
          <w:sz w:val="24"/>
        </w:rPr>
        <w:t xml:space="preserve"> </w:t>
      </w:r>
    </w:p>
    <w:p w:rsidR="007617AD" w:rsidRDefault="00EE75C8">
      <w:pPr>
        <w:ind w:left="703" w:right="62"/>
      </w:pPr>
      <w:r>
        <w:t>Sin perjuicio de lo anterior</w:t>
      </w:r>
      <w:r>
        <w:t>, previa conformidad de las partes, se podrá ampliar el objeto del presente convenio extendiéndolo a otras infraestructuras necesarias para la depuración y vertido de las aguas residuales generadas en el marco del presente Sistema Territorial, modificación</w:t>
      </w:r>
      <w:r>
        <w:t xml:space="preserve"> que deberá plasmarse en la correspondiente Adenda en la que se describirán las nuevas infraestructuras que se añadan. </w:t>
      </w:r>
    </w:p>
    <w:p w:rsidR="007617AD" w:rsidRDefault="00EE75C8">
      <w:pPr>
        <w:spacing w:after="203"/>
        <w:ind w:left="703" w:right="62"/>
      </w:pPr>
      <w:r>
        <w:t>A los efectos de lo señalado anteriormente, a continuación, se relacionan los núcleos de población incluidos en el ámbito del presente c</w:t>
      </w:r>
      <w:r>
        <w:t xml:space="preserve">onvenio (Anexo X del vigente PHDHT): </w:t>
      </w:r>
    </w:p>
    <w:p w:rsidR="007617AD" w:rsidRDefault="00EE75C8">
      <w:pPr>
        <w:numPr>
          <w:ilvl w:val="0"/>
          <w:numId w:val="89"/>
        </w:numPr>
        <w:spacing w:after="144"/>
        <w:ind w:right="62" w:hanging="360"/>
      </w:pPr>
      <w:r>
        <w:t xml:space="preserve">Arafo-Güímar </w:t>
      </w:r>
      <w:r>
        <w:tab/>
        <w:t xml:space="preserve">Norte-Polígono </w:t>
      </w:r>
      <w:r>
        <w:tab/>
        <w:t xml:space="preserve">Industrial </w:t>
      </w:r>
      <w:r>
        <w:tab/>
        <w:t xml:space="preserve">(Nº </w:t>
      </w:r>
      <w:r>
        <w:tab/>
        <w:t xml:space="preserve">identificativo </w:t>
      </w:r>
      <w:r>
        <w:tab/>
        <w:t xml:space="preserve">de </w:t>
      </w:r>
      <w:r>
        <w:tab/>
        <w:t xml:space="preserve">la </w:t>
      </w:r>
      <w:r>
        <w:tab/>
        <w:t>aglomeración ES5380040130834)</w:t>
      </w:r>
      <w:r>
        <w:rPr>
          <w:rFonts w:ascii="Times New Roman" w:eastAsia="Times New Roman" w:hAnsi="Times New Roman" w:cs="Times New Roman"/>
          <w:sz w:val="24"/>
        </w:rPr>
        <w:t xml:space="preserve"> </w:t>
      </w:r>
    </w:p>
    <w:p w:rsidR="007617AD" w:rsidRDefault="00EE75C8">
      <w:pPr>
        <w:numPr>
          <w:ilvl w:val="0"/>
          <w:numId w:val="89"/>
        </w:numPr>
        <w:ind w:right="62" w:hanging="360"/>
      </w:pPr>
      <w:r>
        <w:t>Güímar Sur-Puertito (Nº identificativo de la aglomeración ES5380200130835)</w:t>
      </w:r>
      <w:r>
        <w:rPr>
          <w:rFonts w:ascii="Times New Roman" w:eastAsia="Times New Roman" w:hAnsi="Times New Roman" w:cs="Times New Roman"/>
          <w:sz w:val="24"/>
        </w:rPr>
        <w:t xml:space="preserve"> </w:t>
      </w:r>
    </w:p>
    <w:p w:rsidR="007617AD" w:rsidRDefault="00EE75C8">
      <w:pPr>
        <w:numPr>
          <w:ilvl w:val="0"/>
          <w:numId w:val="89"/>
        </w:numPr>
        <w:ind w:right="62" w:hanging="360"/>
      </w:pPr>
      <w:r>
        <w:t xml:space="preserve">Candelaria - </w:t>
      </w:r>
      <w:r>
        <w:t>Caletillas (Nº identificativo de la aglomeración ES5380110130831)</w:t>
      </w:r>
      <w:r>
        <w:rPr>
          <w:rFonts w:ascii="Times New Roman" w:eastAsia="Times New Roman" w:hAnsi="Times New Roman" w:cs="Times New Roman"/>
          <w:sz w:val="24"/>
        </w:rPr>
        <w:t xml:space="preserve"> </w:t>
      </w:r>
    </w:p>
    <w:p w:rsidR="007617AD" w:rsidRDefault="00EE75C8">
      <w:pPr>
        <w:numPr>
          <w:ilvl w:val="0"/>
          <w:numId w:val="89"/>
        </w:numPr>
        <w:ind w:right="62" w:hanging="360"/>
      </w:pPr>
      <w:r>
        <w:t>Candelaria - Casco (Nº identificativo de la aglomeración ES5380110130832)</w:t>
      </w:r>
      <w:r>
        <w:rPr>
          <w:rFonts w:ascii="Times New Roman" w:eastAsia="Times New Roman" w:hAnsi="Times New Roman" w:cs="Times New Roman"/>
          <w:sz w:val="24"/>
        </w:rPr>
        <w:t xml:space="preserve"> </w:t>
      </w:r>
    </w:p>
    <w:p w:rsidR="007617AD" w:rsidRDefault="00EE75C8">
      <w:pPr>
        <w:numPr>
          <w:ilvl w:val="0"/>
          <w:numId w:val="89"/>
        </w:numPr>
        <w:ind w:right="62" w:hanging="360"/>
      </w:pPr>
      <w:r>
        <w:t>Candelaria - Punta Larga (Nº identificativo de la aglomeración ES5380110130833)</w:t>
      </w:r>
      <w:r>
        <w:rPr>
          <w:rFonts w:ascii="Times New Roman" w:eastAsia="Times New Roman" w:hAnsi="Times New Roman" w:cs="Times New Roman"/>
          <w:sz w:val="24"/>
        </w:rPr>
        <w:t xml:space="preserve"> </w:t>
      </w:r>
    </w:p>
    <w:p w:rsidR="007617AD" w:rsidRDefault="00EE75C8">
      <w:pPr>
        <w:numPr>
          <w:ilvl w:val="0"/>
          <w:numId w:val="89"/>
        </w:numPr>
        <w:spacing w:after="213"/>
        <w:ind w:right="62" w:hanging="360"/>
      </w:pPr>
      <w:r>
        <w:t>Barranco Hondo en el T.M de Cande</w:t>
      </w:r>
      <w:r>
        <w:t>laria con Nº identificativo de la aglomeración ES5380110130725)</w:t>
      </w:r>
      <w:r>
        <w:rPr>
          <w:rFonts w:ascii="Times New Roman" w:eastAsia="Times New Roman" w:hAnsi="Times New Roman" w:cs="Times New Roman"/>
          <w:sz w:val="24"/>
        </w:rPr>
        <w:t xml:space="preserve"> </w:t>
      </w:r>
    </w:p>
    <w:p w:rsidR="007617AD" w:rsidRDefault="00EE75C8">
      <w:pPr>
        <w:ind w:left="642" w:right="58"/>
      </w:pPr>
      <w:r>
        <w:rPr>
          <w:b/>
        </w:rPr>
        <w:t xml:space="preserve">SEGUNDA. -  OBLIGACIONES DEL CONSEJO INSULAR DE AGUAS DE TENERIFE. </w:t>
      </w:r>
    </w:p>
    <w:p w:rsidR="007617AD" w:rsidRDefault="00EE75C8">
      <w:pPr>
        <w:spacing w:after="137"/>
        <w:ind w:left="703" w:right="58"/>
      </w:pPr>
      <w:r>
        <w:rPr>
          <w:b/>
        </w:rPr>
        <w:t>El Consejo Insular de Aguas de Tenerife (CIATF) se compromete a gestionar, en colaboración con los Ayuntamientos de Candela</w:t>
      </w:r>
      <w:r>
        <w:rPr>
          <w:b/>
        </w:rPr>
        <w:t xml:space="preserve">ria, Arafo y Güímar, las infraestructuras identificadas en la cláusula primera integradas en los Sistemas Territoriales de depuración, regeneración y vertido del Valle de Güimar y Polígono Industrial de Güímar, y en los términos siguientes: </w:t>
      </w:r>
    </w:p>
    <w:p w:rsidR="007617AD" w:rsidRDefault="00EE75C8">
      <w:pPr>
        <w:numPr>
          <w:ilvl w:val="0"/>
          <w:numId w:val="85"/>
        </w:numPr>
        <w:spacing w:after="134"/>
        <w:ind w:right="62" w:hanging="360"/>
      </w:pPr>
      <w:r>
        <w:t>La forma de ge</w:t>
      </w:r>
      <w:r>
        <w:t>stión podrá ser, total o parcialmente, cualquiera de las previstas en la legislación vigente (por sus propios medios; celebrando contratos de servicios, suministros y obras; mediante órgano especial, convenio con otras administraciones, encomienda a medios</w:t>
      </w:r>
      <w:r>
        <w:t xml:space="preserve"> propios; etc.) </w:t>
      </w:r>
    </w:p>
    <w:p w:rsidR="007617AD" w:rsidRDefault="00EE75C8">
      <w:pPr>
        <w:numPr>
          <w:ilvl w:val="0"/>
          <w:numId w:val="85"/>
        </w:numPr>
        <w:spacing w:after="137"/>
        <w:ind w:right="62" w:hanging="360"/>
      </w:pPr>
      <w:r>
        <w:t xml:space="preserve">Todos los costes generados por el sistema, incluso gestión, control, mantenimiento, consumos, reposiciones e inversiones complementarias, serán sufragados por los perceptores.  </w:t>
      </w:r>
    </w:p>
    <w:p w:rsidR="007617AD" w:rsidRDefault="00EE75C8">
      <w:pPr>
        <w:numPr>
          <w:ilvl w:val="0"/>
          <w:numId w:val="85"/>
        </w:numPr>
        <w:spacing w:after="134"/>
        <w:ind w:right="62" w:hanging="360"/>
      </w:pPr>
      <w:r>
        <w:t>Los contratos de suministros, servicios, asistencias técnicas</w:t>
      </w:r>
      <w:r>
        <w:t xml:space="preserve"> y obras e inversiones complementarias que celebre el CIATF en relación con la gestión de este sistema y tengan repercusión en sus costes, se someterán previamente a la Comisión de Seguimiento, en los términos previstos en la estipulación sexta. </w:t>
      </w:r>
    </w:p>
    <w:p w:rsidR="007617AD" w:rsidRDefault="00EE75C8">
      <w:pPr>
        <w:numPr>
          <w:ilvl w:val="0"/>
          <w:numId w:val="85"/>
        </w:numPr>
        <w:spacing w:after="149"/>
        <w:ind w:right="62" w:hanging="360"/>
      </w:pPr>
      <w:r>
        <w:rPr>
          <w:rFonts w:ascii="Calibri" w:eastAsia="Calibri" w:hAnsi="Calibri" w:cs="Calibri"/>
          <w:noProof/>
        </w:rPr>
        <mc:AlternateContent>
          <mc:Choice Requires="wpg">
            <w:drawing>
              <wp:anchor distT="0" distB="0" distL="114300" distR="114300" simplePos="0" relativeHeight="25181900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9858" name="Group 27985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7374" name="Rectangle 2737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7375" name="Rectangle 27375"/>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155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9858" style="width:12.7031pt;height:280.02pt;position:absolute;mso-position-horizontal-relative:page;mso-position-horizontal:absolute;margin-left:682.278pt;mso-position-vertical-relative:page;margin-top:531.9pt;" coordsize="1613,35562">
                <v:rect id="Rectangle 2737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7375"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155 de 192 </w:t>
                        </w:r>
                      </w:p>
                    </w:txbxContent>
                  </v:textbox>
                </v:rect>
                <w10:wrap type="square"/>
              </v:group>
            </w:pict>
          </mc:Fallback>
        </mc:AlternateContent>
      </w:r>
      <w:r>
        <w:t>A través de sus servicios técnicos y los mecanismos de contro</w:t>
      </w:r>
      <w:r>
        <w:t xml:space="preserve">l que resulten más procedentes el CIATF procurará en todo momento garantizar que no se produzcan efectos medioambientales o sanitarios inadmisibles a tenor de la normativa vigente que sea de aplicación.  </w:t>
      </w:r>
    </w:p>
    <w:p w:rsidR="007617AD" w:rsidRDefault="00EE75C8">
      <w:pPr>
        <w:numPr>
          <w:ilvl w:val="0"/>
          <w:numId w:val="85"/>
        </w:numPr>
        <w:spacing w:after="5"/>
        <w:ind w:right="62" w:hanging="360"/>
      </w:pPr>
      <w:r>
        <w:t>El efluente regenerado procedente de la Estación De</w:t>
      </w:r>
      <w:r>
        <w:t>puradora de Aguas Residuales Urbanas (EDARu) se entregará en su totalidad a la Entidad Pública Empresarial Local Balsas de Tenerife (BALTEN) para su destino al servicio público de suministro de agua para riego gestionado por dicha entidad. Ello sin perjuic</w:t>
      </w:r>
      <w:r>
        <w:t>io de que, por parte de esta EPEL, conforme al acuerdo que se formalice con los Ayuntamientos, se entreguen</w:t>
      </w:r>
      <w:r>
        <w:rPr>
          <w:i/>
        </w:rPr>
        <w:t xml:space="preserve"> </w:t>
      </w:r>
      <w:r>
        <w:t>los caudales disponibles con destino a los usos y servicios urbanos de aguas regeneradas, cuyo reparto por municipio se realizará de acuerdo a los c</w:t>
      </w:r>
      <w:r>
        <w:t>audales aportados.</w:t>
      </w:r>
      <w:r>
        <w:rPr>
          <w:rFonts w:ascii="Times New Roman" w:eastAsia="Times New Roman" w:hAnsi="Times New Roman" w:cs="Times New Roman"/>
          <w:sz w:val="24"/>
        </w:rPr>
        <w:t xml:space="preserve"> </w:t>
      </w:r>
    </w:p>
    <w:p w:rsidR="007617AD" w:rsidRDefault="00EE75C8">
      <w:pPr>
        <w:spacing w:after="12" w:line="259" w:lineRule="auto"/>
        <w:ind w:left="1068" w:firstLine="0"/>
        <w:jc w:val="left"/>
      </w:pPr>
      <w:r>
        <w:rPr>
          <w:rFonts w:ascii="Times New Roman" w:eastAsia="Times New Roman" w:hAnsi="Times New Roman" w:cs="Times New Roman"/>
          <w:sz w:val="24"/>
        </w:rPr>
        <w:t xml:space="preserve"> </w:t>
      </w:r>
    </w:p>
    <w:p w:rsidR="007617AD" w:rsidRDefault="00EE75C8">
      <w:pPr>
        <w:numPr>
          <w:ilvl w:val="0"/>
          <w:numId w:val="85"/>
        </w:numPr>
        <w:spacing w:after="5"/>
        <w:ind w:right="62" w:hanging="360"/>
      </w:pPr>
      <w:r>
        <w:t xml:space="preserve">Salvo acuerdo expreso y unánime en contrario, la recepción de las aguas residuales brutas de </w:t>
      </w:r>
      <w:r>
        <w:rPr>
          <w:u w:val="single" w:color="000000"/>
        </w:rPr>
        <w:t>origen urbano</w:t>
      </w:r>
      <w:r>
        <w:t xml:space="preserve"> se efectuará en los puntos determinados en el plano del anexo I, así como en los nuevos puntos o estaciones de bombeo por desar</w:t>
      </w:r>
      <w:r>
        <w:t xml:space="preserve">rollar, que sean determinados previa conformidad de las partes, y que deberán plasmarse en la correspondiente Adenda, en la que se detallarán las infraestructuras. </w:t>
      </w:r>
      <w:r>
        <w:rPr>
          <w:rFonts w:ascii="Times New Roman" w:eastAsia="Times New Roman" w:hAnsi="Times New Roman" w:cs="Times New Roman"/>
          <w:sz w:val="24"/>
        </w:rPr>
        <w:t xml:space="preserve"> </w:t>
      </w:r>
    </w:p>
    <w:p w:rsidR="007617AD" w:rsidRDefault="00EE75C8">
      <w:pPr>
        <w:spacing w:after="0" w:line="259" w:lineRule="auto"/>
        <w:ind w:left="1428" w:firstLine="0"/>
        <w:jc w:val="left"/>
      </w:pPr>
      <w:r>
        <w:rPr>
          <w:rFonts w:ascii="Times New Roman" w:eastAsia="Times New Roman" w:hAnsi="Times New Roman" w:cs="Times New Roman"/>
          <w:sz w:val="24"/>
        </w:rPr>
        <w:t xml:space="preserve"> </w:t>
      </w:r>
    </w:p>
    <w:p w:rsidR="007617AD" w:rsidRDefault="00EE75C8">
      <w:pPr>
        <w:numPr>
          <w:ilvl w:val="0"/>
          <w:numId w:val="85"/>
        </w:numPr>
        <w:spacing w:after="7"/>
        <w:ind w:right="62" w:hanging="360"/>
      </w:pPr>
      <w:r>
        <w:t>Salvo acuerdo expreso y unánime en contrario, la recepción de las aguas residuales bruta</w:t>
      </w:r>
      <w:r>
        <w:t xml:space="preserve">s de </w:t>
      </w:r>
      <w:r>
        <w:rPr>
          <w:u w:val="single" w:color="000000"/>
        </w:rPr>
        <w:t>origen industrial</w:t>
      </w:r>
      <w:r>
        <w:t xml:space="preserve"> se efectuará en los puntos determinados en el plano del anexo II, así como en los nuevos puntos por desarrollar, que sean determinados previa conformidad de las partes, y que deberán plasmarse en la correspondiente Adenda, en la que </w:t>
      </w:r>
      <w:r>
        <w:t>se detallarán las infraestructuras. A tal efecto el volumen de caudal que corresponda a cada Ayuntamiento, vendrá determinado por las lecturas de los caudalímetros a implantar. Transitoriamente, hasta la instalación de estos caudalímetros, los volúmenes se</w:t>
      </w:r>
      <w:r>
        <w:t xml:space="preserve">rán estimados por el CIATF de acuerdo con los Ayuntamientos. </w:t>
      </w:r>
      <w:r>
        <w:rPr>
          <w:rFonts w:ascii="Times New Roman" w:eastAsia="Times New Roman" w:hAnsi="Times New Roman" w:cs="Times New Roman"/>
          <w:sz w:val="24"/>
        </w:rPr>
        <w:t xml:space="preserve"> </w:t>
      </w:r>
    </w:p>
    <w:p w:rsidR="007617AD" w:rsidRDefault="00EE75C8">
      <w:pPr>
        <w:spacing w:after="0" w:line="259" w:lineRule="auto"/>
        <w:ind w:left="1428" w:firstLine="0"/>
        <w:jc w:val="left"/>
      </w:pPr>
      <w:r>
        <w:rPr>
          <w:rFonts w:ascii="Times New Roman" w:eastAsia="Times New Roman" w:hAnsi="Times New Roman" w:cs="Times New Roman"/>
          <w:sz w:val="24"/>
        </w:rPr>
        <w:t xml:space="preserve"> </w:t>
      </w:r>
    </w:p>
    <w:p w:rsidR="007617AD" w:rsidRDefault="00EE75C8">
      <w:pPr>
        <w:numPr>
          <w:ilvl w:val="0"/>
          <w:numId w:val="85"/>
        </w:numPr>
        <w:spacing w:after="5"/>
        <w:ind w:right="62" w:hanging="360"/>
      </w:pPr>
      <w:r>
        <w:t>El servicio de control de vertidos al Sistema se incluirá entre sus costes mediante el correspondiente contrato específico que se formalizará una vez se disponga de los datos de explotación d</w:t>
      </w:r>
      <w:r>
        <w:t xml:space="preserve">e la Estación Depuradora de Aguas Residuales Industriales (EDARi) durante el período de un año. La elaboración de los criterios de control privilegiará la trazabilidad de los posibles incumplimientos a través de las lecturas de los sensores especializados </w:t>
      </w:r>
      <w:r>
        <w:t xml:space="preserve">que se dispondrán en la línea de proceso y de los diagnósticos que se operarán en las redes municipales. </w:t>
      </w:r>
      <w:r>
        <w:rPr>
          <w:rFonts w:ascii="Times New Roman" w:eastAsia="Times New Roman" w:hAnsi="Times New Roman" w:cs="Times New Roman"/>
          <w:sz w:val="24"/>
        </w:rPr>
        <w:t xml:space="preserve"> </w:t>
      </w:r>
    </w:p>
    <w:p w:rsidR="007617AD" w:rsidRDefault="00EE75C8">
      <w:pPr>
        <w:spacing w:after="0" w:line="259" w:lineRule="auto"/>
        <w:ind w:left="1428" w:firstLine="0"/>
        <w:jc w:val="left"/>
      </w:pPr>
      <w:r>
        <w:rPr>
          <w:color w:val="00B050"/>
        </w:rPr>
        <w:t xml:space="preserve"> </w:t>
      </w:r>
      <w:r>
        <w:rPr>
          <w:rFonts w:ascii="Times New Roman" w:eastAsia="Times New Roman" w:hAnsi="Times New Roman" w:cs="Times New Roman"/>
          <w:sz w:val="24"/>
        </w:rPr>
        <w:t xml:space="preserve"> </w:t>
      </w:r>
    </w:p>
    <w:p w:rsidR="007617AD" w:rsidRDefault="00EE75C8">
      <w:pPr>
        <w:numPr>
          <w:ilvl w:val="0"/>
          <w:numId w:val="85"/>
        </w:numPr>
        <w:spacing w:after="0"/>
        <w:ind w:right="62" w:hanging="360"/>
      </w:pPr>
      <w:r>
        <w:t>Una vez que cada una de las Estaciones Depuradoras sea recibida para su normal funcionamiento y entre en operación, de conformidad con las Fases t</w:t>
      </w:r>
      <w:r>
        <w:t xml:space="preserve">emporales reguladas en la cláusula séptima, el Consejo Insular de Aguas, emitirá mensualmente a cada Ayuntamiento las correspondientes notas de cargo con los gastos que correspondan de cada una de las dos estaciones con el criterio siguiente: </w:t>
      </w:r>
    </w:p>
    <w:p w:rsidR="007617AD" w:rsidRDefault="00EE75C8">
      <w:pPr>
        <w:spacing w:after="29" w:line="259" w:lineRule="auto"/>
        <w:ind w:left="1560" w:firstLine="0"/>
        <w:jc w:val="left"/>
      </w:pPr>
      <w:r>
        <w:t xml:space="preserve"> </w:t>
      </w:r>
    </w:p>
    <w:p w:rsidR="007617AD" w:rsidRDefault="00EE75C8">
      <w:pPr>
        <w:numPr>
          <w:ilvl w:val="2"/>
          <w:numId w:val="86"/>
        </w:numPr>
        <w:spacing w:after="0"/>
        <w:ind w:right="62" w:hanging="139"/>
      </w:pPr>
      <w:r>
        <w:t xml:space="preserve">Los </w:t>
      </w:r>
      <w:r>
        <w:rPr>
          <w:b/>
        </w:rPr>
        <w:t>gastos fijos</w:t>
      </w:r>
      <w:r>
        <w:t xml:space="preserve"> se distribuirán teniendo en cuenta la cuota de tratamiento asignada para cada municipio. Con carácter indicativo el reparto previsto es el que se determina en el expositivo octavo.</w:t>
      </w:r>
      <w:r>
        <w:rPr>
          <w:rFonts w:ascii="Times New Roman" w:eastAsia="Times New Roman" w:hAnsi="Times New Roman" w:cs="Times New Roman"/>
          <w:sz w:val="24"/>
        </w:rPr>
        <w:t xml:space="preserve"> </w:t>
      </w:r>
    </w:p>
    <w:p w:rsidR="007617AD" w:rsidRDefault="00EE75C8">
      <w:pPr>
        <w:spacing w:after="29" w:line="259" w:lineRule="auto"/>
        <w:ind w:left="2268" w:firstLine="0"/>
        <w:jc w:val="left"/>
      </w:pPr>
      <w:r>
        <w:t xml:space="preserve"> </w:t>
      </w:r>
    </w:p>
    <w:p w:rsidR="007617AD" w:rsidRDefault="00EE75C8">
      <w:pPr>
        <w:numPr>
          <w:ilvl w:val="2"/>
          <w:numId w:val="86"/>
        </w:numPr>
        <w:spacing w:after="0"/>
        <w:ind w:right="62" w:hanging="139"/>
      </w:pPr>
      <w:r>
        <w:rPr>
          <w:rFonts w:ascii="Calibri" w:eastAsia="Calibri" w:hAnsi="Calibri" w:cs="Calibri"/>
          <w:noProof/>
        </w:rPr>
        <mc:AlternateContent>
          <mc:Choice Requires="wpg">
            <w:drawing>
              <wp:anchor distT="0" distB="0" distL="114300" distR="114300" simplePos="0" relativeHeight="25182003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9403" name="Group 279403"/>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7509" name="Rectangle 2750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7510" name="Rectangle 27510"/>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156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9403" style="width:12.7031pt;height:280.02pt;position:absolute;mso-position-horizontal-relative:page;mso-position-horizontal:absolute;margin-left:682.278pt;mso-position-vertical-relative:page;margin-top:531.9pt;" coordsize="1613,35562">
                <v:rect id="Rectangle 2750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7510"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156 de 192 </w:t>
                        </w:r>
                      </w:p>
                    </w:txbxContent>
                  </v:textbox>
                </v:rect>
                <w10:wrap type="square"/>
              </v:group>
            </w:pict>
          </mc:Fallback>
        </mc:AlternateContent>
      </w:r>
      <w:r>
        <w:t xml:space="preserve">Los </w:t>
      </w:r>
      <w:r>
        <w:rPr>
          <w:b/>
        </w:rPr>
        <w:t>gastos variables</w:t>
      </w:r>
      <w:r>
        <w:t xml:space="preserve"> se aplicarán en base a los volúmenes rea</w:t>
      </w:r>
      <w:r>
        <w:t xml:space="preserve">lmente aportados por cada Ayuntamiento al sistema, según reflejen las lecturas de los equipos de medida (contadores) dispuestos para este fin. </w:t>
      </w:r>
      <w:r>
        <w:rPr>
          <w:rFonts w:ascii="Times New Roman" w:eastAsia="Times New Roman" w:hAnsi="Times New Roman" w:cs="Times New Roman"/>
          <w:sz w:val="24"/>
        </w:rPr>
        <w:t xml:space="preserve"> </w:t>
      </w:r>
    </w:p>
    <w:p w:rsidR="007617AD" w:rsidRDefault="00EE75C8">
      <w:pPr>
        <w:spacing w:after="100" w:line="259" w:lineRule="auto"/>
        <w:ind w:left="708" w:firstLine="0"/>
        <w:jc w:val="left"/>
      </w:pPr>
      <w:r>
        <w:rPr>
          <w:color w:val="00B050"/>
        </w:rPr>
        <w:t xml:space="preserve"> </w:t>
      </w:r>
    </w:p>
    <w:p w:rsidR="007617AD" w:rsidRDefault="00EE75C8">
      <w:pPr>
        <w:numPr>
          <w:ilvl w:val="0"/>
          <w:numId w:val="85"/>
        </w:numPr>
        <w:ind w:right="62" w:hanging="360"/>
      </w:pPr>
      <w:r>
        <w:t>Impulsar y desarrollar las inversiones de ámbito supramunicipal que se describen en el Anexo III de forma que</w:t>
      </w:r>
      <w:r>
        <w:t xml:space="preserve"> se garantice el cumplimiento de las obligaciones de recogida y/o tratamiento de las aguas residuales urbanas establecidas en la Directiva 91/271/CEE del Consejo, de 21 de mayo de 1991, sobre el tratamiento de las aguas residuales urbanas. </w:t>
      </w:r>
    </w:p>
    <w:p w:rsidR="007617AD" w:rsidRDefault="00EE75C8">
      <w:pPr>
        <w:spacing w:after="96" w:line="259" w:lineRule="auto"/>
        <w:ind w:left="708" w:firstLine="0"/>
        <w:jc w:val="left"/>
      </w:pPr>
      <w:r>
        <w:rPr>
          <w:color w:val="00B050"/>
        </w:rPr>
        <w:t xml:space="preserve"> </w:t>
      </w:r>
    </w:p>
    <w:p w:rsidR="007617AD" w:rsidRDefault="00EE75C8">
      <w:pPr>
        <w:ind w:left="703" w:right="58"/>
      </w:pPr>
      <w:r>
        <w:rPr>
          <w:b/>
        </w:rPr>
        <w:t>TERCERA. - OB</w:t>
      </w:r>
      <w:r>
        <w:rPr>
          <w:b/>
        </w:rPr>
        <w:t xml:space="preserve">LIGACIONES DE LOS AYUNTAMIENTOS.   </w:t>
      </w:r>
    </w:p>
    <w:p w:rsidR="007617AD" w:rsidRDefault="00EE75C8">
      <w:pPr>
        <w:ind w:left="703" w:right="62"/>
      </w:pPr>
      <w:r>
        <w:t xml:space="preserve">Los Ayuntamientos de Candelaria, Arafo y Güímar, se comprometen a colaborar, con el Consejo Insular de Aguas de Tenerife, en la gestión conjunta de las infraestructuras identificadas en la cláusula primera integradas en </w:t>
      </w:r>
      <w:r>
        <w:t>los Sistemas Territoriales de Saneamiento del Valle de Güímar y Polígono Industrial de Valle de Güímar, en los términos siguientes:</w:t>
      </w:r>
      <w:r>
        <w:rPr>
          <w:rFonts w:ascii="Times New Roman" w:eastAsia="Times New Roman" w:hAnsi="Times New Roman" w:cs="Times New Roman"/>
          <w:sz w:val="24"/>
        </w:rPr>
        <w:t xml:space="preserve"> </w:t>
      </w:r>
    </w:p>
    <w:p w:rsidR="007617AD" w:rsidRDefault="00EE75C8">
      <w:pPr>
        <w:numPr>
          <w:ilvl w:val="0"/>
          <w:numId w:val="88"/>
        </w:numPr>
        <w:ind w:right="62" w:hanging="360"/>
      </w:pPr>
      <w:r>
        <w:t xml:space="preserve">Participarán de forma activa y efectiva en la Comisión de Seguimiento que se regula en la cláusula quinta. </w:t>
      </w:r>
      <w:r>
        <w:rPr>
          <w:rFonts w:ascii="Times New Roman" w:eastAsia="Times New Roman" w:hAnsi="Times New Roman" w:cs="Times New Roman"/>
          <w:sz w:val="24"/>
        </w:rPr>
        <w:t xml:space="preserve"> </w:t>
      </w:r>
    </w:p>
    <w:p w:rsidR="007617AD" w:rsidRDefault="00EE75C8">
      <w:pPr>
        <w:numPr>
          <w:ilvl w:val="0"/>
          <w:numId w:val="88"/>
        </w:numPr>
        <w:ind w:right="62" w:hanging="360"/>
      </w:pPr>
      <w:r>
        <w:t>Entregarán sus aguas residuales brutas de origen urbano e industrial en los puntos inicialmente previstos al efecto en la cláusula anterior.</w:t>
      </w:r>
      <w:r>
        <w:rPr>
          <w:rFonts w:ascii="Times New Roman" w:eastAsia="Times New Roman" w:hAnsi="Times New Roman" w:cs="Times New Roman"/>
          <w:sz w:val="24"/>
        </w:rPr>
        <w:t xml:space="preserve"> </w:t>
      </w:r>
    </w:p>
    <w:p w:rsidR="007617AD" w:rsidRDefault="00EE75C8">
      <w:pPr>
        <w:numPr>
          <w:ilvl w:val="0"/>
          <w:numId w:val="88"/>
        </w:numPr>
        <w:ind w:right="62" w:hanging="360"/>
      </w:pPr>
      <w:r>
        <w:t xml:space="preserve">Velarán por que el </w:t>
      </w:r>
      <w:r>
        <w:rPr>
          <w:b/>
        </w:rPr>
        <w:t>contenido de dichas aguas brutas</w:t>
      </w:r>
      <w:r>
        <w:t xml:space="preserve"> tanto urbanas como industriales cumplan la normativa aplicable</w:t>
      </w:r>
      <w:r>
        <w:t xml:space="preserve"> en los Reglamentos de Alcantarillado, Depuración y Vertido vigentes.   </w:t>
      </w:r>
      <w:r>
        <w:rPr>
          <w:rFonts w:ascii="Times New Roman" w:eastAsia="Times New Roman" w:hAnsi="Times New Roman" w:cs="Times New Roman"/>
          <w:sz w:val="24"/>
        </w:rPr>
        <w:t xml:space="preserve"> </w:t>
      </w:r>
    </w:p>
    <w:p w:rsidR="007617AD" w:rsidRDefault="00EE75C8">
      <w:pPr>
        <w:numPr>
          <w:ilvl w:val="0"/>
          <w:numId w:val="88"/>
        </w:numPr>
        <w:ind w:right="62" w:hanging="360"/>
      </w:pPr>
      <w:r>
        <w:t xml:space="preserve">Adoptarán las medidas de </w:t>
      </w:r>
      <w:r>
        <w:rPr>
          <w:b/>
        </w:rPr>
        <w:t>policía de vertidos</w:t>
      </w:r>
      <w:r>
        <w:t xml:space="preserve"> pertinentes en el ámbito municipal respectivo prestando especial interés en evitar los vertidos al alcantarillado de productos tóxicos, g</w:t>
      </w:r>
      <w:r>
        <w:t>rasas y aguas de salinidad excesiva.</w:t>
      </w:r>
      <w:r>
        <w:rPr>
          <w:rFonts w:ascii="Times New Roman" w:eastAsia="Times New Roman" w:hAnsi="Times New Roman" w:cs="Times New Roman"/>
          <w:sz w:val="24"/>
        </w:rPr>
        <w:t xml:space="preserve"> </w:t>
      </w:r>
    </w:p>
    <w:p w:rsidR="007617AD" w:rsidRDefault="00EE75C8">
      <w:pPr>
        <w:numPr>
          <w:ilvl w:val="0"/>
          <w:numId w:val="88"/>
        </w:numPr>
        <w:spacing w:after="146"/>
        <w:ind w:right="62" w:hanging="360"/>
      </w:pPr>
      <w:r>
        <w:t>Impulsar y desarrollar las inversiones de ámbito municipal que se describen en el Anexo III de forma que se garantice el cumplimiento de las obligaciones de recogida de las aguas residuales urbanas establecidas en la D</w:t>
      </w:r>
      <w:r>
        <w:t xml:space="preserve">irectiva 91/271/CEE del Consejo, de 21 de mayo de 1991, sobre el tratamiento de las aguas residuales urbanas. </w:t>
      </w:r>
    </w:p>
    <w:p w:rsidR="007617AD" w:rsidRDefault="00EE75C8">
      <w:pPr>
        <w:numPr>
          <w:ilvl w:val="0"/>
          <w:numId w:val="88"/>
        </w:numPr>
        <w:ind w:right="62" w:hanging="360"/>
      </w:pPr>
      <w:r>
        <w:t>Cumplirán las obligaciones económicas que se definen en la cláusula cuarta una vez recibidas las notas de cargo que emitidas por el CIATF.</w:t>
      </w:r>
      <w:r>
        <w:rPr>
          <w:rFonts w:ascii="Times New Roman" w:eastAsia="Times New Roman" w:hAnsi="Times New Roman" w:cs="Times New Roman"/>
          <w:sz w:val="24"/>
        </w:rPr>
        <w:t xml:space="preserve"> </w:t>
      </w:r>
    </w:p>
    <w:p w:rsidR="007617AD" w:rsidRDefault="00EE75C8">
      <w:pPr>
        <w:numPr>
          <w:ilvl w:val="0"/>
          <w:numId w:val="88"/>
        </w:numPr>
        <w:ind w:right="62" w:hanging="360"/>
      </w:pPr>
      <w:r>
        <w:t>Asumi</w:t>
      </w:r>
      <w:r>
        <w:t>rán los costes provocados por un vertido incontrolado proveniente del municipio en cuestión, previa tramitación del expediente correspondiente.</w:t>
      </w:r>
      <w:r>
        <w:rPr>
          <w:rFonts w:ascii="Times New Roman" w:eastAsia="Times New Roman" w:hAnsi="Times New Roman" w:cs="Times New Roman"/>
          <w:sz w:val="24"/>
        </w:rPr>
        <w:t xml:space="preserve"> </w:t>
      </w:r>
    </w:p>
    <w:p w:rsidR="007617AD" w:rsidRDefault="00EE75C8">
      <w:pPr>
        <w:spacing w:after="112" w:line="259" w:lineRule="auto"/>
        <w:ind w:left="708" w:firstLine="0"/>
        <w:jc w:val="left"/>
      </w:pPr>
      <w:r>
        <w:rPr>
          <w:b/>
        </w:rPr>
        <w:t xml:space="preserve"> </w:t>
      </w:r>
    </w:p>
    <w:p w:rsidR="007617AD" w:rsidRDefault="00EE75C8">
      <w:pPr>
        <w:spacing w:after="91"/>
        <w:ind w:left="703" w:right="58"/>
      </w:pPr>
      <w:r>
        <w:rPr>
          <w:b/>
        </w:rPr>
        <w:t>CUARTA. -OBLIGACIONES ECONÓMICAS.</w:t>
      </w:r>
      <w:r>
        <w:rPr>
          <w:rFonts w:ascii="Times New Roman" w:eastAsia="Times New Roman" w:hAnsi="Times New Roman" w:cs="Times New Roman"/>
          <w:sz w:val="24"/>
        </w:rPr>
        <w:t xml:space="preserve"> </w:t>
      </w:r>
    </w:p>
    <w:p w:rsidR="007617AD" w:rsidRDefault="00EE75C8">
      <w:pPr>
        <w:ind w:left="703" w:right="58"/>
      </w:pPr>
      <w:r>
        <w:rPr>
          <w:b/>
        </w:rPr>
        <w:t>Para el cumplimiento de las obligaciones económicas derivadas de este Conv</w:t>
      </w:r>
      <w:r>
        <w:rPr>
          <w:b/>
        </w:rPr>
        <w:t>enio se establecen las condiciones siguientes:</w:t>
      </w:r>
      <w:r>
        <w:rPr>
          <w:rFonts w:ascii="Calibri" w:eastAsia="Calibri" w:hAnsi="Calibri" w:cs="Calibri"/>
          <w:sz w:val="24"/>
        </w:rPr>
        <w:t xml:space="preserve"> </w:t>
      </w:r>
    </w:p>
    <w:p w:rsidR="007617AD" w:rsidRDefault="00EE75C8">
      <w:pPr>
        <w:ind w:left="1428" w:right="62" w:hanging="360"/>
      </w:pPr>
      <w:r>
        <w:rPr>
          <w:rFonts w:ascii="Calibri" w:eastAsia="Calibri" w:hAnsi="Calibri" w:cs="Calibri"/>
          <w:noProof/>
        </w:rPr>
        <mc:AlternateContent>
          <mc:Choice Requires="wpg">
            <w:drawing>
              <wp:anchor distT="0" distB="0" distL="114300" distR="114300" simplePos="0" relativeHeight="25182105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9748" name="Group 27974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7642" name="Rectangle 2764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7643" name="Rectangle 27643"/>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157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9748" style="width:12.7031pt;height:280.02pt;position:absolute;mso-position-horizontal-relative:page;mso-position-horizontal:absolute;margin-left:682.278pt;mso-position-vertical-relative:page;margin-top:531.9pt;" coordsize="1613,35562">
                <v:rect id="Rectangle 2764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7643"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157 de 192 </w:t>
                        </w:r>
                      </w:p>
                    </w:txbxContent>
                  </v:textbox>
                </v:rect>
                <w10:wrap type="square"/>
              </v:group>
            </w:pict>
          </mc:Fallback>
        </mc:AlternateContent>
      </w:r>
      <w:r>
        <w:rPr>
          <w:rFonts w:ascii="Times New Roman" w:eastAsia="Times New Roman" w:hAnsi="Times New Roman" w:cs="Times New Roman"/>
          <w:sz w:val="24"/>
        </w:rPr>
        <w:t>s)</w:t>
      </w:r>
      <w:r>
        <w:rPr>
          <w:sz w:val="24"/>
        </w:rPr>
        <w:t xml:space="preserve"> </w:t>
      </w:r>
      <w:r>
        <w:t>El CIAT</w:t>
      </w:r>
      <w:r>
        <w:t xml:space="preserve">F realizará las actuaciones necesarias para la operación y mantenimiento del Sistema de Saneamiento y Depuración, a través de la licitación y adjudicación de los contratos correspondientes, previa generación y aprobación del crédito necesario con cargo al </w:t>
      </w:r>
      <w:r>
        <w:t xml:space="preserve">compromiso de ingreso de los Ayuntamientos derivado del presente convenio tras su formalización. A tal efecto el importe total estimado del convenio incluidos los costes fijos y variables asciende a </w:t>
      </w:r>
      <w:r>
        <w:rPr>
          <w:b/>
        </w:rPr>
        <w:t xml:space="preserve">3.953.601,06 euros </w:t>
      </w:r>
      <w:r>
        <w:t>del cual:</w:t>
      </w:r>
      <w:r>
        <w:rPr>
          <w:rFonts w:ascii="Times New Roman" w:eastAsia="Times New Roman" w:hAnsi="Times New Roman" w:cs="Times New Roman"/>
          <w:sz w:val="24"/>
        </w:rPr>
        <w:t xml:space="preserve"> </w:t>
      </w:r>
    </w:p>
    <w:p w:rsidR="007617AD" w:rsidRDefault="00EE75C8">
      <w:pPr>
        <w:numPr>
          <w:ilvl w:val="1"/>
          <w:numId w:val="85"/>
        </w:numPr>
        <w:ind w:right="62" w:hanging="360"/>
      </w:pPr>
      <w:r>
        <w:t xml:space="preserve">El importe total estimativo que será repercutido a los Ayuntamientos correspondiente a los </w:t>
      </w:r>
      <w:r>
        <w:rPr>
          <w:b/>
          <w:u w:val="single" w:color="000000"/>
        </w:rPr>
        <w:t>costes fijos</w:t>
      </w:r>
      <w:r>
        <w:rPr>
          <w:b/>
        </w:rPr>
        <w:t xml:space="preserve"> </w:t>
      </w:r>
      <w:r>
        <w:t>en los que se incurre necesariamente para la operación y mantenimiento del Sistema, descritos en los expositivos séptimo y octavo, asciende durante todo</w:t>
      </w:r>
      <w:r>
        <w:t xml:space="preserve"> el período de vigencia del convenio a </w:t>
      </w:r>
      <w:r>
        <w:rPr>
          <w:b/>
        </w:rPr>
        <w:t xml:space="preserve">2.365.839,69 euros </w:t>
      </w:r>
      <w:r>
        <w:t>de acuerdo al desglose por Subsistema, anualidades y Ayuntamiento que se recogen en Anexo IV del presente convenio atendiendo a la entrada en vigor escalonada que se regula en la cláusula séptima.</w:t>
      </w:r>
      <w:r>
        <w:rPr>
          <w:rFonts w:ascii="Times New Roman" w:eastAsia="Times New Roman" w:hAnsi="Times New Roman" w:cs="Times New Roman"/>
          <w:sz w:val="24"/>
        </w:rPr>
        <w:t xml:space="preserve"> </w:t>
      </w:r>
    </w:p>
    <w:p w:rsidR="007617AD" w:rsidRDefault="00EE75C8">
      <w:pPr>
        <w:numPr>
          <w:ilvl w:val="1"/>
          <w:numId w:val="85"/>
        </w:numPr>
        <w:spacing w:after="93"/>
        <w:ind w:right="62" w:hanging="360"/>
      </w:pPr>
      <w:r>
        <w:t xml:space="preserve">En relación a los </w:t>
      </w:r>
      <w:r>
        <w:rPr>
          <w:b/>
          <w:u w:val="single" w:color="000000"/>
        </w:rPr>
        <w:t>costes variables</w:t>
      </w:r>
      <w:r>
        <w:rPr>
          <w:b/>
        </w:rPr>
        <w:t xml:space="preserve"> </w:t>
      </w:r>
      <w:r>
        <w:t xml:space="preserve">el importe total estimativo a repercutir asciende a la cantidad de </w:t>
      </w:r>
      <w:r>
        <w:rPr>
          <w:b/>
        </w:rPr>
        <w:t>1.587.761,60 euros</w:t>
      </w:r>
      <w:r>
        <w:t>, de acuerdo al desglose por Subsistema, anualidades y Ayuntamiento que se recoge en Anexo IV del presente convenio atendiendo a la entr</w:t>
      </w:r>
      <w:r>
        <w:t>ada en vigor escalonada que se regula en la cláusula séptima y considerando el volumen de caudal estimado para cada Ayuntamiento incluido en el cronograma de inversiones que figura en Anexo III.</w:t>
      </w:r>
      <w:r>
        <w:rPr>
          <w:rFonts w:ascii="Times New Roman" w:eastAsia="Times New Roman" w:hAnsi="Times New Roman" w:cs="Times New Roman"/>
          <w:sz w:val="24"/>
        </w:rPr>
        <w:t xml:space="preserve"> </w:t>
      </w:r>
    </w:p>
    <w:p w:rsidR="007617AD" w:rsidRDefault="00EE75C8">
      <w:pPr>
        <w:numPr>
          <w:ilvl w:val="0"/>
          <w:numId w:val="87"/>
        </w:numPr>
        <w:spacing w:after="145"/>
        <w:ind w:right="62" w:hanging="360"/>
      </w:pPr>
      <w:r>
        <w:t>Mensualmente el CIATF extenderá las correspondientes notas d</w:t>
      </w:r>
      <w:r>
        <w:t>e cargo a los Ayuntamientos, según el modelo que defina la Comisión de Seguimiento, que deberán estar desglosadas de manera separada de acuerdo a los epígrafes de costes establecidos en el expositivo décimo en relación al coste de cada servicio de depuraci</w:t>
      </w:r>
      <w:r>
        <w:t xml:space="preserve">ón del agua residual, tanto urbana como industrial.  </w:t>
      </w:r>
    </w:p>
    <w:p w:rsidR="007617AD" w:rsidRDefault="00EE75C8">
      <w:pPr>
        <w:numPr>
          <w:ilvl w:val="0"/>
          <w:numId w:val="87"/>
        </w:numPr>
        <w:ind w:right="62" w:hanging="360"/>
      </w:pPr>
      <w:r>
        <w:t>Recibidas las notas de cargo por cada Ayuntamiento, éste deberá hacer efectivo el pago de su importe al CIATF en el plazo máximo de dos (2) meses, contados a partir de la fecha de recepción.</w:t>
      </w:r>
      <w:r>
        <w:rPr>
          <w:rFonts w:ascii="Times New Roman" w:eastAsia="Times New Roman" w:hAnsi="Times New Roman" w:cs="Times New Roman"/>
          <w:sz w:val="24"/>
        </w:rPr>
        <w:t xml:space="preserve"> </w:t>
      </w:r>
    </w:p>
    <w:p w:rsidR="007617AD" w:rsidRDefault="00EE75C8">
      <w:pPr>
        <w:numPr>
          <w:ilvl w:val="0"/>
          <w:numId w:val="87"/>
        </w:numPr>
        <w:spacing w:after="134"/>
        <w:ind w:right="62" w:hanging="360"/>
      </w:pPr>
      <w:r>
        <w:t>Caso de qu</w:t>
      </w:r>
      <w:r>
        <w:t xml:space="preserve">e se supere dicho plazo y permaneciese </w:t>
      </w:r>
      <w:r>
        <w:rPr>
          <w:b/>
        </w:rPr>
        <w:t>la situación de impago de alguna nota de cargo</w:t>
      </w:r>
      <w:r>
        <w:t>, el CIATF queda facultado para recabar su cobro a través del Cabildo Insular de Tenerife, con cargo a los ingresos que proceda efectuar a dicho Ayuntamiento en concepto d</w:t>
      </w:r>
      <w:r>
        <w:t xml:space="preserve">e </w:t>
      </w:r>
      <w:r>
        <w:rPr>
          <w:b/>
        </w:rPr>
        <w:t>carta municipal</w:t>
      </w:r>
      <w:r>
        <w:t xml:space="preserve"> o por la recaudación de tasas, gravámenes y precios públicos municipales a través del </w:t>
      </w:r>
      <w:r>
        <w:rPr>
          <w:b/>
        </w:rPr>
        <w:t>Consorcio de Tributos</w:t>
      </w:r>
      <w:r>
        <w:t>.</w:t>
      </w:r>
      <w:r>
        <w:rPr>
          <w:rFonts w:ascii="Times New Roman" w:eastAsia="Times New Roman" w:hAnsi="Times New Roman" w:cs="Times New Roman"/>
          <w:sz w:val="24"/>
        </w:rPr>
        <w:t xml:space="preserve"> </w:t>
      </w:r>
    </w:p>
    <w:p w:rsidR="007617AD" w:rsidRDefault="00EE75C8">
      <w:pPr>
        <w:numPr>
          <w:ilvl w:val="0"/>
          <w:numId w:val="87"/>
        </w:numPr>
        <w:ind w:right="62" w:hanging="360"/>
      </w:pPr>
      <w:r>
        <w:t xml:space="preserve">Los </w:t>
      </w:r>
      <w:r>
        <w:rPr>
          <w:b/>
        </w:rPr>
        <w:t>costes financieros</w:t>
      </w:r>
      <w:r>
        <w:t xml:space="preserve"> que acarreen las demoras en los pagos por parte de alguno de los Ayuntamientos firmantes podrán ser recla</w:t>
      </w:r>
      <w:r>
        <w:t>mados, previa instrucción del correspondiente procedimiento, a aquél que los causare.</w:t>
      </w:r>
      <w:r>
        <w:rPr>
          <w:rFonts w:ascii="Times New Roman" w:eastAsia="Times New Roman" w:hAnsi="Times New Roman" w:cs="Times New Roman"/>
          <w:sz w:val="24"/>
        </w:rPr>
        <w:t xml:space="preserve"> </w:t>
      </w:r>
    </w:p>
    <w:p w:rsidR="007617AD" w:rsidRDefault="00EE75C8">
      <w:pPr>
        <w:numPr>
          <w:ilvl w:val="0"/>
          <w:numId w:val="87"/>
        </w:numPr>
        <w:spacing w:after="93"/>
        <w:ind w:right="62" w:hanging="360"/>
      </w:pPr>
      <w:r>
        <w:t xml:space="preserve">Los Ayuntamientos deberán realizar las aportaciones necesarias al </w:t>
      </w:r>
      <w:r>
        <w:rPr>
          <w:b/>
        </w:rPr>
        <w:t>fondo de inversión</w:t>
      </w:r>
      <w:r>
        <w:t xml:space="preserve"> destinado a las reposiciones, ampliaciones y mejoras del sistema de saneamiento y de</w:t>
      </w:r>
      <w:r>
        <w:t>puración que se determinen por la Comisión de Seguimiento.</w:t>
      </w:r>
      <w:r>
        <w:rPr>
          <w:rFonts w:ascii="Times New Roman" w:eastAsia="Times New Roman" w:hAnsi="Times New Roman" w:cs="Times New Roman"/>
          <w:sz w:val="24"/>
        </w:rPr>
        <w:t xml:space="preserve"> </w:t>
      </w:r>
    </w:p>
    <w:p w:rsidR="007617AD" w:rsidRDefault="00EE75C8">
      <w:pPr>
        <w:spacing w:after="98" w:line="259" w:lineRule="auto"/>
        <w:ind w:left="1428" w:firstLine="0"/>
        <w:jc w:val="left"/>
      </w:pPr>
      <w:r>
        <w:t xml:space="preserve"> </w:t>
      </w:r>
    </w:p>
    <w:p w:rsidR="007617AD" w:rsidRDefault="00EE75C8">
      <w:pPr>
        <w:spacing w:after="11"/>
        <w:ind w:left="703" w:right="58"/>
      </w:pPr>
      <w:r>
        <w:rPr>
          <w:b/>
        </w:rPr>
        <w:t>QUINTA. - COMISIÓN DE SEGUIMIENTO DEL CONVENIO DE COLABORACIÓN.</w:t>
      </w:r>
      <w:r>
        <w:rPr>
          <w:rFonts w:ascii="Calibri" w:eastAsia="Calibri" w:hAnsi="Calibri" w:cs="Calibri"/>
          <w:sz w:val="24"/>
        </w:rPr>
        <w:t xml:space="preserve"> </w:t>
      </w:r>
    </w:p>
    <w:p w:rsidR="007617AD" w:rsidRDefault="00EE75C8">
      <w:pPr>
        <w:spacing w:after="0" w:line="259" w:lineRule="auto"/>
        <w:ind w:left="708" w:firstLine="0"/>
        <w:jc w:val="left"/>
      </w:pPr>
      <w:r>
        <w:t xml:space="preserve"> </w:t>
      </w:r>
    </w:p>
    <w:p w:rsidR="007617AD" w:rsidRDefault="00EE75C8">
      <w:pPr>
        <w:spacing w:after="0"/>
        <w:ind w:left="703" w:right="62"/>
      </w:pPr>
      <w:r>
        <w:t xml:space="preserve">Para el seguimiento de este Convenio y una real y efectiva coordinación y participación de las partes en su ejecución, se crea </w:t>
      </w:r>
      <w:r>
        <w:t xml:space="preserve">una Comisión paritaria de seguimiento.  </w:t>
      </w:r>
    </w:p>
    <w:p w:rsidR="007617AD" w:rsidRDefault="00EE75C8">
      <w:pPr>
        <w:spacing w:after="5" w:line="259" w:lineRule="auto"/>
        <w:ind w:left="708" w:firstLine="0"/>
        <w:jc w:val="left"/>
      </w:pPr>
      <w:r>
        <w:t xml:space="preserve"> </w:t>
      </w:r>
    </w:p>
    <w:p w:rsidR="007617AD" w:rsidRDefault="00EE75C8">
      <w:pPr>
        <w:numPr>
          <w:ilvl w:val="0"/>
          <w:numId w:val="90"/>
        </w:numPr>
        <w:spacing w:after="0"/>
        <w:ind w:right="62" w:hanging="360"/>
      </w:pPr>
      <w:r>
        <w:rPr>
          <w:b/>
        </w:rPr>
        <w:t>Competencias</w:t>
      </w:r>
      <w:r>
        <w:t xml:space="preserve">: Interpretar las dudas que pudieran suscitarse con motivo de la aplicación del presente Convenio. </w:t>
      </w:r>
      <w:r>
        <w:rPr>
          <w:rFonts w:ascii="Times New Roman" w:eastAsia="Times New Roman" w:hAnsi="Times New Roman" w:cs="Times New Roman"/>
          <w:sz w:val="24"/>
        </w:rPr>
        <w:t xml:space="preserve"> </w:t>
      </w:r>
    </w:p>
    <w:p w:rsidR="007617AD" w:rsidRDefault="00EE75C8">
      <w:pPr>
        <w:spacing w:after="5" w:line="259" w:lineRule="auto"/>
        <w:ind w:left="708" w:firstLine="0"/>
        <w:jc w:val="left"/>
      </w:pPr>
      <w:r>
        <w:t xml:space="preserve"> </w:t>
      </w:r>
    </w:p>
    <w:p w:rsidR="007617AD" w:rsidRDefault="00EE75C8">
      <w:pPr>
        <w:numPr>
          <w:ilvl w:val="0"/>
          <w:numId w:val="90"/>
        </w:numPr>
        <w:spacing w:after="0"/>
        <w:ind w:right="62" w:hanging="360"/>
      </w:pPr>
      <w:r>
        <w:rPr>
          <w:rFonts w:ascii="Calibri" w:eastAsia="Calibri" w:hAnsi="Calibri" w:cs="Calibri"/>
          <w:noProof/>
        </w:rPr>
        <mc:AlternateContent>
          <mc:Choice Requires="wpg">
            <w:drawing>
              <wp:anchor distT="0" distB="0" distL="114300" distR="114300" simplePos="0" relativeHeight="25182208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79916" name="Group 27991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7783" name="Rectangle 27783"/>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7784" name="Rectangle 27784"/>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158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79916" style="width:12.7031pt;height:280.02pt;position:absolute;mso-position-horizontal-relative:page;mso-position-horizontal:absolute;margin-left:682.278pt;mso-position-vertical-relative:page;margin-top:531.9pt;" coordsize="1613,35562">
                <v:rect id="Rectangle 27783"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7784"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158 de 192 </w:t>
                        </w:r>
                      </w:p>
                    </w:txbxContent>
                  </v:textbox>
                </v:rect>
                <w10:wrap type="square"/>
              </v:group>
            </w:pict>
          </mc:Fallback>
        </mc:AlternateContent>
      </w:r>
      <w:r>
        <w:rPr>
          <w:b/>
        </w:rPr>
        <w:t>Composición:</w:t>
      </w:r>
      <w:r>
        <w:t xml:space="preserve"> La Comisión paritaria estará constituida por och</w:t>
      </w:r>
      <w:r>
        <w:t>o (8) vocales, correspondiendo designar dos (2) vocales a cada una de las Administraciones Públicas firmantes. La designación de estos vocales se efectuará en el momento de la firma de este Convenio o, subsidiariamente, en un plazo máximo de un (1) mes des</w:t>
      </w:r>
      <w:r>
        <w:t xml:space="preserve">de la misma. </w:t>
      </w:r>
      <w:r>
        <w:rPr>
          <w:rFonts w:ascii="Times New Roman" w:eastAsia="Times New Roman" w:hAnsi="Times New Roman" w:cs="Times New Roman"/>
          <w:sz w:val="24"/>
        </w:rPr>
        <w:t xml:space="preserve"> </w:t>
      </w:r>
    </w:p>
    <w:p w:rsidR="007617AD" w:rsidRDefault="00EE75C8">
      <w:pPr>
        <w:spacing w:after="0"/>
        <w:ind w:left="1426" w:right="62"/>
      </w:pPr>
      <w:r>
        <w:t>La Presidencia de la Comisión corresponderá a uno de los vocales designados por el Consejo Insular de Aguas y la Vicepresidencia será alternativa, por años, entre los representantes de los Ayuntamientos. Los miembros de la Comisión podrán venir asistidos d</w:t>
      </w:r>
      <w:r>
        <w:t xml:space="preserve">e Técnicos asesores, que tendrán voz, pero no voto.  </w:t>
      </w:r>
    </w:p>
    <w:p w:rsidR="007617AD" w:rsidRDefault="00EE75C8">
      <w:pPr>
        <w:spacing w:after="2" w:line="259" w:lineRule="auto"/>
        <w:ind w:left="1416" w:firstLine="0"/>
        <w:jc w:val="left"/>
      </w:pPr>
      <w:r>
        <w:t xml:space="preserve"> </w:t>
      </w:r>
    </w:p>
    <w:p w:rsidR="007617AD" w:rsidRDefault="00EE75C8">
      <w:pPr>
        <w:numPr>
          <w:ilvl w:val="0"/>
          <w:numId w:val="90"/>
        </w:numPr>
        <w:spacing w:after="0"/>
        <w:ind w:right="62" w:hanging="360"/>
      </w:pPr>
      <w:r>
        <w:rPr>
          <w:b/>
        </w:rPr>
        <w:t>Lugar de celebración:</w:t>
      </w:r>
      <w:r>
        <w:t xml:space="preserve"> las Comisiones se celebran en el lugar que en cada caso designe la Presidencia.</w:t>
      </w:r>
      <w:r>
        <w:rPr>
          <w:rFonts w:ascii="Times New Roman" w:eastAsia="Times New Roman" w:hAnsi="Times New Roman" w:cs="Times New Roman"/>
          <w:sz w:val="24"/>
        </w:rPr>
        <w:t xml:space="preserve"> </w:t>
      </w:r>
    </w:p>
    <w:p w:rsidR="007617AD" w:rsidRDefault="00EE75C8">
      <w:pPr>
        <w:spacing w:after="5" w:line="259" w:lineRule="auto"/>
        <w:ind w:left="1428" w:firstLine="0"/>
        <w:jc w:val="left"/>
      </w:pPr>
      <w:r>
        <w:t xml:space="preserve"> </w:t>
      </w:r>
    </w:p>
    <w:p w:rsidR="007617AD" w:rsidRDefault="00EE75C8">
      <w:pPr>
        <w:numPr>
          <w:ilvl w:val="0"/>
          <w:numId w:val="90"/>
        </w:numPr>
        <w:spacing w:after="0"/>
        <w:ind w:right="62" w:hanging="360"/>
      </w:pPr>
      <w:r>
        <w:rPr>
          <w:b/>
        </w:rPr>
        <w:t>Secretaría y Actas:</w:t>
      </w:r>
      <w:r>
        <w:t xml:space="preserve"> la Secretaría de la Comisión será desempeñada por un Técnico de Administrac</w:t>
      </w:r>
      <w:r>
        <w:t>ión General designado por el CIATF de entre los que desempeñan el trabajo en dicho Organismo. De cada sesión de la Comisión se levantará acta por dicha Secretaría, que será aprobada, si procede, en la siguiente sesión que la comisión celebre.</w:t>
      </w:r>
      <w:r>
        <w:rPr>
          <w:rFonts w:ascii="Times New Roman" w:eastAsia="Times New Roman" w:hAnsi="Times New Roman" w:cs="Times New Roman"/>
          <w:sz w:val="24"/>
        </w:rPr>
        <w:t xml:space="preserve"> </w:t>
      </w:r>
    </w:p>
    <w:p w:rsidR="007617AD" w:rsidRDefault="00EE75C8">
      <w:pPr>
        <w:spacing w:after="5" w:line="259" w:lineRule="auto"/>
        <w:ind w:left="1416" w:firstLine="0"/>
        <w:jc w:val="left"/>
      </w:pPr>
      <w:r>
        <w:t xml:space="preserve"> </w:t>
      </w:r>
    </w:p>
    <w:p w:rsidR="007617AD" w:rsidRDefault="00EE75C8">
      <w:pPr>
        <w:numPr>
          <w:ilvl w:val="0"/>
          <w:numId w:val="90"/>
        </w:numPr>
        <w:spacing w:after="0"/>
        <w:ind w:right="62" w:hanging="360"/>
      </w:pPr>
      <w:r>
        <w:rPr>
          <w:b/>
        </w:rPr>
        <w:t>Régimen de adopción de acuerdos:</w:t>
      </w:r>
      <w:r>
        <w:t xml:space="preserve"> Los Acuerdos de la Comisión de Seguimiento habrán de ser tomados por unanimidad y, en caso de que sea necesario, serán elevados a los órganos de gobierno de las respectivas administraciones para su aprobación definitiva.</w:t>
      </w:r>
      <w:r>
        <w:rPr>
          <w:rFonts w:ascii="Times New Roman" w:eastAsia="Times New Roman" w:hAnsi="Times New Roman" w:cs="Times New Roman"/>
          <w:sz w:val="24"/>
        </w:rPr>
        <w:t xml:space="preserve"> </w:t>
      </w:r>
    </w:p>
    <w:p w:rsidR="007617AD" w:rsidRDefault="00EE75C8">
      <w:pPr>
        <w:spacing w:after="2" w:line="259" w:lineRule="auto"/>
        <w:ind w:left="1416" w:firstLine="0"/>
        <w:jc w:val="left"/>
      </w:pPr>
      <w:r>
        <w:t xml:space="preserve"> </w:t>
      </w:r>
    </w:p>
    <w:p w:rsidR="007617AD" w:rsidRDefault="00EE75C8">
      <w:pPr>
        <w:numPr>
          <w:ilvl w:val="0"/>
          <w:numId w:val="90"/>
        </w:numPr>
        <w:spacing w:after="0"/>
        <w:ind w:right="62" w:hanging="360"/>
      </w:pPr>
      <w:r>
        <w:rPr>
          <w:b/>
        </w:rPr>
        <w:t xml:space="preserve">Régimen jurídico: </w:t>
      </w:r>
      <w:r>
        <w:t>el funcionamiento de la Comisión, en todo lo no previsto por esta norma, se regirá por las normas establecidas en la Ley 40/2015, de 1 de octubre, para el funcionamiento de los órganos colegiados.</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ind w:left="703" w:right="58"/>
      </w:pPr>
      <w:r>
        <w:rPr>
          <w:b/>
        </w:rPr>
        <w:t>SEXTA. -  MODIFICACIÓN Y RESOLUCIÓN</w:t>
      </w:r>
      <w:r>
        <w:rPr>
          <w:b/>
        </w:rPr>
        <w:t xml:space="preserve"> DEL CONVENIO.</w:t>
      </w:r>
      <w:r>
        <w:rPr>
          <w:rFonts w:ascii="Times New Roman" w:eastAsia="Times New Roman" w:hAnsi="Times New Roman" w:cs="Times New Roman"/>
          <w:sz w:val="24"/>
        </w:rPr>
        <w:t xml:space="preserve"> </w:t>
      </w:r>
    </w:p>
    <w:p w:rsidR="007617AD" w:rsidRDefault="00EE75C8">
      <w:pPr>
        <w:ind w:left="703" w:right="62"/>
      </w:pPr>
      <w:r>
        <w:t>Cualquiera de las partes podrá promover la revisión del Convenio para incorporar aspectos no previstos, modificarlo o ampliarlo en su alcance y contenido, debiendo comunicarlo con un plazo mínimo de antelación de dos meses.</w:t>
      </w:r>
      <w:r>
        <w:rPr>
          <w:b/>
        </w:rPr>
        <w:t xml:space="preserve"> </w:t>
      </w:r>
      <w:r>
        <w:rPr>
          <w:rFonts w:ascii="Times New Roman" w:eastAsia="Times New Roman" w:hAnsi="Times New Roman" w:cs="Times New Roman"/>
          <w:sz w:val="24"/>
        </w:rPr>
        <w:t xml:space="preserve"> </w:t>
      </w:r>
    </w:p>
    <w:p w:rsidR="007617AD" w:rsidRDefault="00EE75C8">
      <w:pPr>
        <w:ind w:left="703" w:right="62"/>
      </w:pPr>
      <w:r>
        <w:t>El presente Co</w:t>
      </w:r>
      <w:r>
        <w:t xml:space="preserve">nvenio se extinguirá por terminación de su plazo o si concurriesen las causas de resolución a que se refiere el art. 51.2 de la Ley 40/2015, de 1 de octubre. </w:t>
      </w:r>
      <w:r>
        <w:rPr>
          <w:rFonts w:ascii="Times New Roman" w:eastAsia="Times New Roman" w:hAnsi="Times New Roman" w:cs="Times New Roman"/>
          <w:sz w:val="24"/>
        </w:rPr>
        <w:t xml:space="preserve"> </w:t>
      </w:r>
    </w:p>
    <w:p w:rsidR="007617AD" w:rsidRDefault="00EE75C8">
      <w:pPr>
        <w:ind w:left="703" w:right="62"/>
      </w:pPr>
      <w:r>
        <w:t>En caso de resolución del Convenio, las partes quedan obligadas al cumplimiento de sus respectiv</w:t>
      </w:r>
      <w:r>
        <w:t>os compromisos hasta la fecha en que ésta se produzca. Los efectos de la resolución se adecuarán a lo establecido por el artículo 52 de la Ley 40/2015, de 1 de octubre.</w:t>
      </w:r>
      <w:r>
        <w:rPr>
          <w:b/>
        </w:rPr>
        <w:t xml:space="preserve"> </w:t>
      </w:r>
      <w:r>
        <w:rPr>
          <w:rFonts w:ascii="Times New Roman" w:eastAsia="Times New Roman" w:hAnsi="Times New Roman" w:cs="Times New Roman"/>
          <w:sz w:val="24"/>
        </w:rPr>
        <w:t xml:space="preserve"> </w:t>
      </w:r>
    </w:p>
    <w:p w:rsidR="007617AD" w:rsidRDefault="00EE75C8">
      <w:pPr>
        <w:spacing w:after="0" w:line="259" w:lineRule="auto"/>
        <w:ind w:left="699" w:firstLine="0"/>
        <w:jc w:val="left"/>
      </w:pPr>
      <w:r>
        <w:rPr>
          <w:b/>
        </w:rPr>
        <w:t xml:space="preserve"> </w:t>
      </w:r>
    </w:p>
    <w:p w:rsidR="007617AD" w:rsidRDefault="00EE75C8">
      <w:pPr>
        <w:ind w:left="703" w:right="58"/>
      </w:pPr>
      <w:r>
        <w:rPr>
          <w:b/>
        </w:rPr>
        <w:t xml:space="preserve">SÉPTIMA. - VIGENCIA. </w:t>
      </w:r>
    </w:p>
    <w:p w:rsidR="007617AD" w:rsidRDefault="00EE75C8">
      <w:pPr>
        <w:ind w:left="703" w:right="62"/>
      </w:pPr>
      <w:r>
        <w:t xml:space="preserve">El presente Convenio tendrá una vigencia de </w:t>
      </w:r>
      <w:r>
        <w:rPr>
          <w:b/>
        </w:rPr>
        <w:t>cuatro (4) años,</w:t>
      </w:r>
      <w:r>
        <w:t xml:space="preserve"> </w:t>
      </w:r>
      <w:r>
        <w:t>a contar desde el día de su firma,</w:t>
      </w:r>
      <w:r>
        <w:rPr>
          <w:b/>
        </w:rPr>
        <w:t xml:space="preserve"> </w:t>
      </w:r>
      <w:r>
        <w:t xml:space="preserve">prorrogables a otros cuatro (4) años más. </w:t>
      </w:r>
      <w:r>
        <w:rPr>
          <w:rFonts w:ascii="Times New Roman" w:eastAsia="Times New Roman" w:hAnsi="Times New Roman" w:cs="Times New Roman"/>
          <w:sz w:val="24"/>
        </w:rPr>
        <w:t xml:space="preserve"> </w:t>
      </w:r>
    </w:p>
    <w:p w:rsidR="007617AD" w:rsidRDefault="00EE75C8">
      <w:pPr>
        <w:spacing w:after="134"/>
        <w:ind w:left="703" w:right="62"/>
      </w:pPr>
      <w:r>
        <w:t xml:space="preserve">No obstante, se establecen las siguientes Fases para la aplicación efectiva de los compromisos económicos regulados en la cláusula cuarta: </w:t>
      </w:r>
    </w:p>
    <w:p w:rsidR="007617AD" w:rsidRDefault="00EE75C8">
      <w:pPr>
        <w:spacing w:after="137"/>
        <w:ind w:left="703" w:right="58"/>
      </w:pPr>
      <w:r>
        <w:rPr>
          <w:b/>
        </w:rPr>
        <w:t xml:space="preserve">FASE I: Desde la fecha de firma del presente convenio hasta la fecha de recepción de la EDARI (prevista para el mes de enero de 2023). </w:t>
      </w:r>
    </w:p>
    <w:p w:rsidR="007617AD" w:rsidRDefault="00EE75C8">
      <w:pPr>
        <w:spacing w:after="137"/>
        <w:ind w:left="703" w:right="62"/>
      </w:pPr>
      <w:r>
        <w:rPr>
          <w:rFonts w:ascii="Calibri" w:eastAsia="Calibri" w:hAnsi="Calibri" w:cs="Calibri"/>
          <w:noProof/>
        </w:rPr>
        <mc:AlternateContent>
          <mc:Choice Requires="wpg">
            <w:drawing>
              <wp:anchor distT="0" distB="0" distL="114300" distR="114300" simplePos="0" relativeHeight="25182310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0489" name="Group 28048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7890" name="Rectangle 2789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7891" name="Rectangle 27891"/>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w:t>
                              </w:r>
                              <w:r>
                                <w:rPr>
                                  <w:sz w:val="12"/>
                                </w:rPr>
                                <w:t xml:space="preserve"> electrónicamente desde la plataforma esPublico Gestiona | Página 159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0489" style="width:12.7031pt;height:280.02pt;position:absolute;mso-position-horizontal-relative:page;mso-position-horizontal:absolute;margin-left:682.278pt;mso-position-vertical-relative:page;margin-top:531.9pt;" coordsize="1613,35562">
                <v:rect id="Rectangle 2789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7891"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159 de 192 </w:t>
                        </w:r>
                      </w:p>
                    </w:txbxContent>
                  </v:textbox>
                </v:rect>
                <w10:wrap type="square"/>
              </v:group>
            </w:pict>
          </mc:Fallback>
        </mc:AlternateContent>
      </w:r>
      <w:r>
        <w:t>El CIATF no emitirá notas de cargo a los Ayuntamientos asumiendo con cargo a su presupuesto los costes derivados del tratamiento secundario y físico químico de los caudales de la</w:t>
      </w:r>
      <w:r>
        <w:t xml:space="preserve"> EDARI. </w:t>
      </w:r>
    </w:p>
    <w:p w:rsidR="007617AD" w:rsidRDefault="00EE75C8">
      <w:pPr>
        <w:spacing w:after="134"/>
        <w:ind w:left="703" w:right="58"/>
      </w:pPr>
      <w:r>
        <w:rPr>
          <w:b/>
        </w:rPr>
        <w:t xml:space="preserve">FASE II: Desde la fecha de recepción de la EDARI hasta la fecha de puesta en funcionamiento de la EDARU (prevista para el mes de enero de 2025). </w:t>
      </w:r>
    </w:p>
    <w:p w:rsidR="007617AD" w:rsidRDefault="00EE75C8">
      <w:pPr>
        <w:spacing w:after="137"/>
        <w:ind w:left="703" w:right="62"/>
      </w:pPr>
      <w:r>
        <w:t>El CIATF emitirá a partir de la recepción de la EDARI (prevista para el mes de enero de 2023) las not</w:t>
      </w:r>
      <w:r>
        <w:t xml:space="preserve">as de cargo correspondientes a la operación y mantenimiento de la EDARI de acuerdo a lo regulado en la cláusula cuarta incluyendo los costes en que se haya incurrido desde la puesta en funcionamiento del servicio tras la recepción de las obras. </w:t>
      </w:r>
    </w:p>
    <w:p w:rsidR="007617AD" w:rsidRDefault="00EE75C8">
      <w:pPr>
        <w:spacing w:after="134"/>
        <w:ind w:left="703" w:right="58"/>
      </w:pPr>
      <w:r>
        <w:rPr>
          <w:b/>
        </w:rPr>
        <w:t xml:space="preserve">FASE III: </w:t>
      </w:r>
      <w:r>
        <w:rPr>
          <w:b/>
        </w:rPr>
        <w:t xml:space="preserve">Desde la fecha de puesta en funcionamiento de la EDARU (prevista para el mes de enero de 2025). </w:t>
      </w:r>
    </w:p>
    <w:p w:rsidR="007617AD" w:rsidRDefault="00EE75C8">
      <w:pPr>
        <w:spacing w:after="134"/>
        <w:ind w:left="703" w:right="62"/>
      </w:pPr>
      <w:r>
        <w:t>El CIATF emitirá a partir del mes de enero de 2025 las notas de cargo correspondientes a la operación y mantenimiento de la EDARI y de la EDARU de acuerdo a lo</w:t>
      </w:r>
      <w:r>
        <w:t xml:space="preserve"> regulado en la cláusula cuarta. </w:t>
      </w:r>
    </w:p>
    <w:p w:rsidR="007617AD" w:rsidRDefault="00EE75C8">
      <w:pPr>
        <w:ind w:left="703" w:right="62"/>
      </w:pPr>
      <w:r>
        <w:t>Las fechas señaladas tienen carácter indicativo pudiendo verse modificadas atendiendo al cronograma de ejecución de las obras, lo cual requerirá la correspondiente modificación y reajuste de anualidades que deberá ser apro</w:t>
      </w:r>
      <w:r>
        <w:t xml:space="preserve">bada por las Administraciones firmantes y formalizada en la correspondiente Adenda. </w:t>
      </w:r>
    </w:p>
    <w:p w:rsidR="007617AD" w:rsidRDefault="00EE75C8">
      <w:pPr>
        <w:ind w:left="703" w:right="58"/>
      </w:pPr>
      <w:r>
        <w:rPr>
          <w:b/>
        </w:rPr>
        <w:t>OCTAVA. - RÉGIMEN JURÍDICO, SOLUCIÓN DE CONTROVERSIAS Y JURISDICCIÓN.</w:t>
      </w:r>
      <w:r>
        <w:rPr>
          <w:rFonts w:ascii="Times New Roman" w:eastAsia="Times New Roman" w:hAnsi="Times New Roman" w:cs="Times New Roman"/>
          <w:sz w:val="24"/>
        </w:rPr>
        <w:t xml:space="preserve"> </w:t>
      </w:r>
    </w:p>
    <w:p w:rsidR="007617AD" w:rsidRDefault="00EE75C8">
      <w:pPr>
        <w:spacing w:after="17"/>
        <w:ind w:left="703" w:right="62"/>
      </w:pPr>
      <w:r>
        <w:t xml:space="preserve">El presente convenio tiene naturaleza administrativa y está excluido del ámbito de aplicación de la Ley 9/2017, de Contratos del Sector Público conforme a lo establecido en el apartado 2 de su art. </w:t>
      </w:r>
    </w:p>
    <w:p w:rsidR="007617AD" w:rsidRDefault="00EE75C8">
      <w:pPr>
        <w:ind w:left="703" w:right="62"/>
      </w:pPr>
      <w:r>
        <w:t>6. Todo ello sin perjuicio de la aplicación de los princi</w:t>
      </w:r>
      <w:r>
        <w:t>pios de la citada norma para resolver las dudas y lagunas que pudieran presentarse, según dispone su artículo 4.</w:t>
      </w:r>
      <w:r>
        <w:rPr>
          <w:rFonts w:ascii="Times New Roman" w:eastAsia="Times New Roman" w:hAnsi="Times New Roman" w:cs="Times New Roman"/>
          <w:sz w:val="24"/>
        </w:rPr>
        <w:t xml:space="preserve"> </w:t>
      </w:r>
    </w:p>
    <w:p w:rsidR="007617AD" w:rsidRDefault="00EE75C8">
      <w:pPr>
        <w:spacing w:after="137"/>
        <w:ind w:left="703" w:right="62"/>
      </w:pPr>
      <w:r>
        <w:t>Las partes, interpretarán, desarrollarán y ejecutarán el contenido del presente convenio teniendo en cuenta los fines que con el mismo se pers</w:t>
      </w:r>
      <w:r>
        <w:t xml:space="preserve">iguen, comprometiéndose a resolver de buena fe y común acuerdo todas las cuestiones que puedan surgir en relación con su interpretación y ejecución. </w:t>
      </w:r>
    </w:p>
    <w:p w:rsidR="007617AD" w:rsidRDefault="00EE75C8">
      <w:pPr>
        <w:spacing w:after="134"/>
        <w:ind w:left="703" w:right="62"/>
      </w:pPr>
      <w:r>
        <w:t xml:space="preserve">En defecto de acuerdo cualquiera de las partes podrá recabar la tutela de los Tribunales. A tales efectos </w:t>
      </w:r>
      <w:r>
        <w:t>para cualquier divergencia o litigio que pueda surgir o derivarse de este convenio, las partes se someten voluntariamente a la jurisdicción contencioso-administrativa de los Jueces y Tribunales de Santa Cruz de Tenerife, conforme a lo establecido en la nor</w:t>
      </w:r>
      <w:r>
        <w:t xml:space="preserve">mativa de aplicación. </w:t>
      </w:r>
    </w:p>
    <w:p w:rsidR="007617AD" w:rsidRDefault="00EE75C8">
      <w:pPr>
        <w:spacing w:after="95" w:line="248" w:lineRule="auto"/>
        <w:ind w:left="703" w:right="34"/>
        <w:jc w:val="left"/>
      </w:pPr>
      <w:r>
        <w:t>En todo lo no previsto en el presente convenio se estará a lo dispuesto en la Ley 40/2015, de 1 de octubre de Régimen Jurídico del Sector Público, y cualquier otra disposición normativa que por su naturaleza pudiera resultar de aplicación.</w:t>
      </w:r>
      <w:r>
        <w:rPr>
          <w:b/>
        </w:rPr>
        <w:t xml:space="preserve"> </w:t>
      </w:r>
      <w:r>
        <w:rPr>
          <w:rFonts w:ascii="Times New Roman" w:eastAsia="Times New Roman" w:hAnsi="Times New Roman" w:cs="Times New Roman"/>
          <w:sz w:val="24"/>
        </w:rPr>
        <w:t xml:space="preserve"> </w:t>
      </w:r>
    </w:p>
    <w:p w:rsidR="007617AD" w:rsidRDefault="00EE75C8">
      <w:pPr>
        <w:spacing w:after="119" w:line="259" w:lineRule="auto"/>
        <w:ind w:left="708" w:firstLine="0"/>
        <w:jc w:val="left"/>
      </w:pPr>
      <w:r>
        <w:t xml:space="preserve"> </w:t>
      </w:r>
    </w:p>
    <w:p w:rsidR="007617AD" w:rsidRDefault="00EE75C8">
      <w:pPr>
        <w:ind w:left="703" w:right="62"/>
      </w:pPr>
      <w:r>
        <w:t>Y para que a</w:t>
      </w:r>
      <w:r>
        <w:t xml:space="preserve">sí conste, en prueba de conformidad, las Partes firman el presente documento, por cuadruplicado ejemplar y a un solo efecto. </w:t>
      </w:r>
    </w:p>
    <w:p w:rsidR="007617AD" w:rsidRDefault="00EE75C8">
      <w:pPr>
        <w:spacing w:after="0" w:line="259" w:lineRule="auto"/>
        <w:ind w:left="708" w:firstLine="0"/>
        <w:jc w:val="left"/>
      </w:pPr>
      <w:r>
        <w:rPr>
          <w:b/>
        </w:rPr>
        <w:t xml:space="preserve"> </w:t>
      </w:r>
    </w:p>
    <w:p w:rsidR="007617AD" w:rsidRDefault="00EE75C8">
      <w:pPr>
        <w:spacing w:after="11"/>
        <w:ind w:left="826" w:right="1335"/>
      </w:pPr>
      <w:r>
        <w:rPr>
          <w:rFonts w:ascii="Calibri" w:eastAsia="Calibri" w:hAnsi="Calibri" w:cs="Calibri"/>
          <w:noProof/>
        </w:rPr>
        <mc:AlternateContent>
          <mc:Choice Requires="wpg">
            <w:drawing>
              <wp:anchor distT="0" distB="0" distL="114300" distR="114300" simplePos="0" relativeHeight="25182412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0187" name="Group 28018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8028" name="Rectangle 2802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8029" name="Rectangle 28029"/>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 electró</w:t>
                              </w:r>
                              <w:r>
                                <w:rPr>
                                  <w:sz w:val="12"/>
                                </w:rPr>
                                <w:t xml:space="preserve">nicamente desde la plataforma esPublico Gestiona | Página 160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0187" style="width:12.7031pt;height:280.02pt;position:absolute;mso-position-horizontal-relative:page;mso-position-horizontal:absolute;margin-left:682.278pt;mso-position-vertical-relative:page;margin-top:531.9pt;" coordsize="1613,35562">
                <v:rect id="Rectangle 2802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8029"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160 de 192 </w:t>
                        </w:r>
                      </w:p>
                    </w:txbxContent>
                  </v:textbox>
                </v:rect>
                <w10:wrap type="square"/>
              </v:group>
            </w:pict>
          </mc:Fallback>
        </mc:AlternateContent>
      </w:r>
      <w:r>
        <w:rPr>
          <w:b/>
        </w:rPr>
        <w:t xml:space="preserve">                    El Presidente  </w:t>
      </w:r>
      <w:r>
        <w:rPr>
          <w:b/>
        </w:rPr>
        <w:tab/>
        <w:t xml:space="preserve">La Alcaldesa-Presidenta  del Consejo Insular de Aguas de Tenerife </w:t>
      </w:r>
      <w:r>
        <w:rPr>
          <w:b/>
        </w:rPr>
        <w:tab/>
        <w:t xml:space="preserve">del Ayuntamiento de Candelaria </w:t>
      </w:r>
    </w:p>
    <w:tbl>
      <w:tblPr>
        <w:tblStyle w:val="TableGrid"/>
        <w:tblW w:w="8973" w:type="dxa"/>
        <w:tblInd w:w="708" w:type="dxa"/>
        <w:tblCellMar>
          <w:top w:w="0" w:type="dxa"/>
          <w:left w:w="0" w:type="dxa"/>
          <w:bottom w:w="0" w:type="dxa"/>
          <w:right w:w="0" w:type="dxa"/>
        </w:tblCellMar>
        <w:tblLook w:val="04A0" w:firstRow="1" w:lastRow="0" w:firstColumn="1" w:lastColumn="0" w:noHBand="0" w:noVBand="1"/>
      </w:tblPr>
      <w:tblGrid>
        <w:gridCol w:w="5072"/>
        <w:gridCol w:w="3901"/>
      </w:tblGrid>
      <w:tr w:rsidR="007617AD">
        <w:trPr>
          <w:trHeight w:val="758"/>
        </w:trPr>
        <w:tc>
          <w:tcPr>
            <w:tcW w:w="8973" w:type="dxa"/>
            <w:gridSpan w:val="2"/>
            <w:tcBorders>
              <w:top w:val="nil"/>
              <w:left w:val="nil"/>
              <w:bottom w:val="nil"/>
              <w:right w:val="nil"/>
            </w:tcBorders>
          </w:tcPr>
          <w:p w:rsidR="007617AD" w:rsidRDefault="00EE75C8">
            <w:pPr>
              <w:spacing w:after="0" w:line="259" w:lineRule="auto"/>
              <w:ind w:left="0" w:right="52" w:firstLine="0"/>
              <w:jc w:val="center"/>
            </w:pPr>
            <w:r>
              <w:rPr>
                <w:b/>
              </w:rPr>
              <w:t xml:space="preserve"> </w:t>
            </w:r>
            <w:r>
              <w:rPr>
                <w:b/>
              </w:rPr>
              <w:tab/>
              <w:t xml:space="preserve"> </w:t>
            </w:r>
          </w:p>
          <w:p w:rsidR="007617AD" w:rsidRDefault="00EE75C8">
            <w:pPr>
              <w:spacing w:after="0" w:line="259" w:lineRule="auto"/>
              <w:ind w:left="108" w:firstLine="0"/>
              <w:jc w:val="left"/>
            </w:pPr>
            <w:r>
              <w:rPr>
                <w:b/>
              </w:rPr>
              <w:t xml:space="preserve"> </w:t>
            </w:r>
            <w:r>
              <w:rPr>
                <w:b/>
              </w:rPr>
              <w:tab/>
              <w:t xml:space="preserve"> </w:t>
            </w:r>
          </w:p>
          <w:p w:rsidR="007617AD" w:rsidRDefault="00EE75C8">
            <w:pPr>
              <w:tabs>
                <w:tab w:val="center" w:pos="2267"/>
                <w:tab w:val="center" w:pos="6593"/>
              </w:tabs>
              <w:spacing w:after="0" w:line="259" w:lineRule="auto"/>
              <w:ind w:left="0" w:firstLine="0"/>
              <w:jc w:val="left"/>
            </w:pPr>
            <w:r>
              <w:rPr>
                <w:rFonts w:ascii="Calibri" w:eastAsia="Calibri" w:hAnsi="Calibri" w:cs="Calibri"/>
              </w:rPr>
              <w:tab/>
            </w:r>
            <w:r>
              <w:t xml:space="preserve">D. Pedro M. Martín Domínguez </w:t>
            </w:r>
            <w:r>
              <w:tab/>
            </w:r>
            <w:r>
              <w:t xml:space="preserve">Dª Maria Concepción Brito Núñez </w:t>
            </w:r>
          </w:p>
        </w:tc>
      </w:tr>
      <w:tr w:rsidR="007617AD">
        <w:trPr>
          <w:trHeight w:val="250"/>
        </w:trPr>
        <w:tc>
          <w:tcPr>
            <w:tcW w:w="5072" w:type="dxa"/>
            <w:tcBorders>
              <w:top w:val="nil"/>
              <w:left w:val="nil"/>
              <w:bottom w:val="nil"/>
              <w:right w:val="nil"/>
            </w:tcBorders>
          </w:tcPr>
          <w:p w:rsidR="007617AD" w:rsidRDefault="00EE75C8">
            <w:pPr>
              <w:spacing w:after="0" w:line="259" w:lineRule="auto"/>
              <w:ind w:left="108" w:firstLine="0"/>
              <w:jc w:val="left"/>
            </w:pPr>
            <w:r>
              <w:rPr>
                <w:b/>
              </w:rPr>
              <w:t xml:space="preserve"> </w:t>
            </w:r>
          </w:p>
        </w:tc>
        <w:tc>
          <w:tcPr>
            <w:tcW w:w="3901" w:type="dxa"/>
            <w:tcBorders>
              <w:top w:val="nil"/>
              <w:left w:val="nil"/>
              <w:bottom w:val="nil"/>
              <w:right w:val="nil"/>
            </w:tcBorders>
          </w:tcPr>
          <w:p w:rsidR="007617AD" w:rsidRDefault="007617AD">
            <w:pPr>
              <w:spacing w:after="160" w:line="259" w:lineRule="auto"/>
              <w:ind w:left="0" w:firstLine="0"/>
              <w:jc w:val="left"/>
            </w:pPr>
          </w:p>
        </w:tc>
      </w:tr>
      <w:tr w:rsidR="007617AD">
        <w:trPr>
          <w:trHeight w:val="2278"/>
        </w:trPr>
        <w:tc>
          <w:tcPr>
            <w:tcW w:w="5072" w:type="dxa"/>
            <w:tcBorders>
              <w:top w:val="nil"/>
              <w:left w:val="nil"/>
              <w:bottom w:val="nil"/>
              <w:right w:val="nil"/>
            </w:tcBorders>
          </w:tcPr>
          <w:p w:rsidR="007617AD" w:rsidRDefault="00EE75C8">
            <w:pPr>
              <w:spacing w:after="2" w:line="238" w:lineRule="auto"/>
              <w:ind w:left="878" w:right="1243" w:firstLine="266"/>
            </w:pPr>
            <w:r>
              <w:rPr>
                <w:b/>
              </w:rPr>
              <w:t xml:space="preserve">El Alcalde-Presidente  del Ayuntamiento de Arafo </w:t>
            </w:r>
          </w:p>
          <w:p w:rsidR="007617AD" w:rsidRDefault="00EE75C8">
            <w:pPr>
              <w:spacing w:after="0" w:line="259" w:lineRule="auto"/>
              <w:ind w:left="108" w:firstLine="0"/>
              <w:jc w:val="left"/>
            </w:pPr>
            <w:r>
              <w:rPr>
                <w:b/>
              </w:rPr>
              <w:t xml:space="preserve"> </w:t>
            </w:r>
          </w:p>
          <w:p w:rsidR="007617AD" w:rsidRDefault="00EE75C8">
            <w:pPr>
              <w:spacing w:after="0" w:line="259" w:lineRule="auto"/>
              <w:ind w:left="108" w:firstLine="0"/>
              <w:jc w:val="left"/>
            </w:pPr>
            <w:r>
              <w:rPr>
                <w:b/>
              </w:rPr>
              <w:t xml:space="preserve"> </w:t>
            </w:r>
            <w:r>
              <w:rPr>
                <w:b/>
              </w:rPr>
              <w:tab/>
              <w:t xml:space="preserve"> </w:t>
            </w:r>
          </w:p>
          <w:p w:rsidR="007617AD" w:rsidRDefault="00EE75C8">
            <w:pPr>
              <w:spacing w:after="0" w:line="259" w:lineRule="auto"/>
              <w:ind w:left="850" w:firstLine="0"/>
              <w:jc w:val="left"/>
            </w:pPr>
            <w:r>
              <w:t xml:space="preserve">D. José Ramón Martín Pérez </w:t>
            </w:r>
          </w:p>
          <w:p w:rsidR="007617AD" w:rsidRDefault="00EE75C8">
            <w:pPr>
              <w:spacing w:after="0" w:line="259" w:lineRule="auto"/>
              <w:ind w:left="0" w:right="366" w:firstLine="0"/>
              <w:jc w:val="right"/>
            </w:pPr>
            <w:r>
              <w:rPr>
                <w:b/>
              </w:rPr>
              <w:t xml:space="preserve"> </w:t>
            </w:r>
          </w:p>
          <w:p w:rsidR="007617AD" w:rsidRDefault="00EE75C8">
            <w:pPr>
              <w:spacing w:after="0" w:line="259" w:lineRule="auto"/>
              <w:ind w:left="0" w:right="231" w:firstLine="0"/>
              <w:jc w:val="right"/>
            </w:pPr>
            <w:r>
              <w:rPr>
                <w:b/>
              </w:rPr>
              <w:t xml:space="preserve"> </w:t>
            </w:r>
          </w:p>
          <w:p w:rsidR="007617AD" w:rsidRDefault="00EE75C8">
            <w:pPr>
              <w:spacing w:after="0" w:line="259" w:lineRule="auto"/>
              <w:ind w:left="0" w:firstLine="0"/>
              <w:jc w:val="left"/>
            </w:pPr>
            <w:r>
              <w:rPr>
                <w:b/>
              </w:rPr>
              <w:t xml:space="preserve"> </w:t>
            </w:r>
          </w:p>
          <w:p w:rsidR="007617AD" w:rsidRDefault="00EE75C8">
            <w:pPr>
              <w:spacing w:after="0" w:line="259" w:lineRule="auto"/>
              <w:ind w:left="0" w:firstLine="0"/>
              <w:jc w:val="left"/>
            </w:pPr>
            <w:r>
              <w:rPr>
                <w:b/>
              </w:rPr>
              <w:t xml:space="preserve"> </w:t>
            </w:r>
          </w:p>
        </w:tc>
        <w:tc>
          <w:tcPr>
            <w:tcW w:w="3901" w:type="dxa"/>
            <w:tcBorders>
              <w:top w:val="nil"/>
              <w:left w:val="nil"/>
              <w:bottom w:val="nil"/>
              <w:right w:val="nil"/>
            </w:tcBorders>
          </w:tcPr>
          <w:p w:rsidR="007617AD" w:rsidRDefault="00EE75C8">
            <w:pPr>
              <w:spacing w:after="2" w:line="238" w:lineRule="auto"/>
              <w:ind w:left="0" w:right="859" w:firstLine="399"/>
              <w:jc w:val="left"/>
            </w:pPr>
            <w:r>
              <w:rPr>
                <w:b/>
              </w:rPr>
              <w:t xml:space="preserve">El Alcalde-Presidente  del Ayuntamiento de Güímar </w:t>
            </w:r>
          </w:p>
          <w:p w:rsidR="007617AD" w:rsidRDefault="00EE75C8">
            <w:pPr>
              <w:spacing w:after="232" w:line="259" w:lineRule="auto"/>
              <w:ind w:left="281" w:firstLine="0"/>
              <w:jc w:val="left"/>
            </w:pPr>
            <w:r>
              <w:rPr>
                <w:b/>
              </w:rPr>
              <w:t xml:space="preserve"> </w:t>
            </w:r>
          </w:p>
          <w:p w:rsidR="007617AD" w:rsidRDefault="00EE75C8">
            <w:pPr>
              <w:spacing w:after="0" w:line="259" w:lineRule="auto"/>
              <w:ind w:left="310" w:firstLine="0"/>
              <w:jc w:val="left"/>
            </w:pPr>
            <w:r>
              <w:t xml:space="preserve">D. Gustavo Pérez Martín </w:t>
            </w:r>
          </w:p>
        </w:tc>
      </w:tr>
      <w:tr w:rsidR="007617AD">
        <w:trPr>
          <w:trHeight w:val="1016"/>
        </w:trPr>
        <w:tc>
          <w:tcPr>
            <w:tcW w:w="5072" w:type="dxa"/>
            <w:tcBorders>
              <w:top w:val="nil"/>
              <w:left w:val="nil"/>
              <w:bottom w:val="nil"/>
              <w:right w:val="nil"/>
            </w:tcBorders>
          </w:tcPr>
          <w:p w:rsidR="007617AD" w:rsidRDefault="00EE75C8">
            <w:pPr>
              <w:spacing w:after="0" w:line="259" w:lineRule="auto"/>
              <w:ind w:left="1198" w:firstLine="0"/>
              <w:jc w:val="left"/>
            </w:pPr>
            <w:r>
              <w:rPr>
                <w:b/>
              </w:rPr>
              <w:t xml:space="preserve">La Secretaria Delegada Acctal. </w:t>
            </w:r>
          </w:p>
          <w:p w:rsidR="007617AD" w:rsidRDefault="00EE75C8">
            <w:pPr>
              <w:spacing w:after="0" w:line="259" w:lineRule="auto"/>
              <w:ind w:left="0" w:right="100" w:firstLine="0"/>
              <w:jc w:val="right"/>
            </w:pPr>
            <w:r>
              <w:rPr>
                <w:b/>
              </w:rPr>
              <w:t xml:space="preserve"> </w:t>
            </w:r>
            <w:r>
              <w:rPr>
                <w:b/>
              </w:rPr>
              <w:t xml:space="preserve">del Consejo Insular de Aguas de Tenerife </w:t>
            </w:r>
          </w:p>
          <w:p w:rsidR="007617AD" w:rsidRDefault="00EE75C8">
            <w:pPr>
              <w:spacing w:after="0" w:line="259" w:lineRule="auto"/>
              <w:ind w:left="566" w:firstLine="0"/>
              <w:jc w:val="left"/>
            </w:pPr>
            <w:r>
              <w:rPr>
                <w:b/>
              </w:rPr>
              <w:t xml:space="preserve"> </w:t>
            </w:r>
          </w:p>
          <w:p w:rsidR="007617AD" w:rsidRDefault="00EE75C8">
            <w:pPr>
              <w:spacing w:after="0" w:line="259" w:lineRule="auto"/>
              <w:ind w:left="1358" w:firstLine="0"/>
              <w:jc w:val="left"/>
            </w:pPr>
            <w:r>
              <w:t xml:space="preserve">Dª Mª de la O González León </w:t>
            </w:r>
          </w:p>
        </w:tc>
        <w:tc>
          <w:tcPr>
            <w:tcW w:w="3901" w:type="dxa"/>
            <w:tcBorders>
              <w:top w:val="nil"/>
              <w:left w:val="nil"/>
              <w:bottom w:val="nil"/>
              <w:right w:val="nil"/>
            </w:tcBorders>
          </w:tcPr>
          <w:p w:rsidR="007617AD" w:rsidRDefault="00EE75C8">
            <w:pPr>
              <w:spacing w:after="0" w:line="238" w:lineRule="auto"/>
              <w:ind w:left="382" w:right="183" w:firstLine="523"/>
            </w:pPr>
            <w:r>
              <w:rPr>
                <w:b/>
              </w:rPr>
              <w:t xml:space="preserve"> El Secretario General  del Ayuntamiento de Candelaria </w:t>
            </w:r>
          </w:p>
          <w:p w:rsidR="007617AD" w:rsidRDefault="00EE75C8">
            <w:pPr>
              <w:spacing w:after="0" w:line="259" w:lineRule="auto"/>
              <w:ind w:left="173" w:firstLine="0"/>
              <w:jc w:val="left"/>
            </w:pPr>
            <w:r>
              <w:rPr>
                <w:b/>
              </w:rPr>
              <w:t xml:space="preserve"> </w:t>
            </w:r>
          </w:p>
          <w:p w:rsidR="007617AD" w:rsidRDefault="00EE75C8">
            <w:pPr>
              <w:spacing w:after="0" w:line="259" w:lineRule="auto"/>
              <w:ind w:left="0" w:right="59" w:firstLine="0"/>
              <w:jc w:val="right"/>
            </w:pPr>
            <w:r>
              <w:t>D. Octavio M. Fernández Hernández</w:t>
            </w:r>
            <w:r>
              <w:rPr>
                <w:rFonts w:ascii="Times New Roman" w:eastAsia="Times New Roman" w:hAnsi="Times New Roman" w:cs="Times New Roman"/>
                <w:sz w:val="24"/>
              </w:rPr>
              <w:t xml:space="preserve"> </w:t>
            </w:r>
          </w:p>
        </w:tc>
      </w:tr>
      <w:tr w:rsidR="007617AD">
        <w:trPr>
          <w:trHeight w:val="1536"/>
        </w:trPr>
        <w:tc>
          <w:tcPr>
            <w:tcW w:w="5072" w:type="dxa"/>
            <w:tcBorders>
              <w:top w:val="nil"/>
              <w:left w:val="nil"/>
              <w:bottom w:val="nil"/>
              <w:right w:val="nil"/>
            </w:tcBorders>
          </w:tcPr>
          <w:p w:rsidR="007617AD" w:rsidRDefault="00EE75C8">
            <w:pPr>
              <w:spacing w:after="0" w:line="259" w:lineRule="auto"/>
              <w:ind w:left="583" w:firstLine="0"/>
              <w:jc w:val="center"/>
            </w:pPr>
            <w:r>
              <w:rPr>
                <w:b/>
              </w:rPr>
              <w:t xml:space="preserve"> </w:t>
            </w:r>
          </w:p>
          <w:p w:rsidR="007617AD" w:rsidRDefault="00EE75C8">
            <w:pPr>
              <w:spacing w:after="0" w:line="259" w:lineRule="auto"/>
              <w:ind w:left="583" w:firstLine="0"/>
              <w:jc w:val="center"/>
            </w:pPr>
            <w:r>
              <w:rPr>
                <w:b/>
              </w:rPr>
              <w:t xml:space="preserve"> </w:t>
            </w:r>
          </w:p>
          <w:p w:rsidR="007617AD" w:rsidRDefault="00EE75C8">
            <w:pPr>
              <w:spacing w:after="5" w:line="238" w:lineRule="auto"/>
              <w:ind w:left="1409" w:right="862" w:firstLine="0"/>
              <w:jc w:val="center"/>
            </w:pPr>
            <w:r>
              <w:rPr>
                <w:b/>
              </w:rPr>
              <w:t xml:space="preserve">La Secretaria General  del Ayuntamiento de Arafo </w:t>
            </w:r>
          </w:p>
          <w:p w:rsidR="007617AD" w:rsidRDefault="00EE75C8">
            <w:pPr>
              <w:spacing w:after="0" w:line="259" w:lineRule="auto"/>
              <w:ind w:left="566" w:firstLine="0"/>
              <w:jc w:val="left"/>
            </w:pPr>
            <w:r>
              <w:t xml:space="preserve"> </w:t>
            </w:r>
          </w:p>
          <w:p w:rsidR="007617AD" w:rsidRDefault="00EE75C8">
            <w:pPr>
              <w:spacing w:after="0" w:line="259" w:lineRule="auto"/>
              <w:ind w:left="1106" w:firstLine="0"/>
              <w:jc w:val="left"/>
            </w:pPr>
            <w:r>
              <w:t>Dª Ruth Cristina Arteaga González</w:t>
            </w:r>
            <w:r>
              <w:t xml:space="preserve"> </w:t>
            </w:r>
          </w:p>
        </w:tc>
        <w:tc>
          <w:tcPr>
            <w:tcW w:w="3901" w:type="dxa"/>
            <w:tcBorders>
              <w:top w:val="nil"/>
              <w:left w:val="nil"/>
              <w:bottom w:val="nil"/>
              <w:right w:val="nil"/>
            </w:tcBorders>
          </w:tcPr>
          <w:p w:rsidR="007617AD" w:rsidRDefault="00EE75C8">
            <w:pPr>
              <w:spacing w:after="0" w:line="259" w:lineRule="auto"/>
              <w:ind w:left="173" w:firstLine="0"/>
              <w:jc w:val="left"/>
            </w:pPr>
            <w:r>
              <w:rPr>
                <w:b/>
              </w:rPr>
              <w:t xml:space="preserve"> </w:t>
            </w:r>
          </w:p>
          <w:p w:rsidR="007617AD" w:rsidRDefault="00EE75C8">
            <w:pPr>
              <w:spacing w:after="0" w:line="259" w:lineRule="auto"/>
              <w:ind w:left="173" w:firstLine="0"/>
              <w:jc w:val="left"/>
            </w:pPr>
            <w:r>
              <w:rPr>
                <w:b/>
              </w:rPr>
              <w:t xml:space="preserve"> </w:t>
            </w:r>
          </w:p>
          <w:p w:rsidR="007617AD" w:rsidRDefault="00EE75C8">
            <w:pPr>
              <w:spacing w:after="27" w:line="238" w:lineRule="auto"/>
              <w:ind w:left="560" w:right="281" w:firstLine="358"/>
            </w:pPr>
            <w:r>
              <w:rPr>
                <w:b/>
              </w:rPr>
              <w:t xml:space="preserve">La Secretaria General  del Ayuntamiento de Güímar </w:t>
            </w:r>
          </w:p>
          <w:p w:rsidR="007617AD" w:rsidRDefault="00EE75C8">
            <w:pPr>
              <w:spacing w:after="0" w:line="259" w:lineRule="auto"/>
              <w:ind w:left="881" w:firstLine="0"/>
              <w:jc w:val="left"/>
            </w:pPr>
            <w:r>
              <w:rPr>
                <w:b/>
              </w:rPr>
              <w:t xml:space="preserve">   </w:t>
            </w:r>
            <w:r>
              <w:rPr>
                <w:rFonts w:ascii="Times New Roman" w:eastAsia="Times New Roman" w:hAnsi="Times New Roman" w:cs="Times New Roman"/>
                <w:sz w:val="24"/>
              </w:rPr>
              <w:t xml:space="preserve"> </w:t>
            </w:r>
          </w:p>
          <w:p w:rsidR="007617AD" w:rsidRDefault="00EE75C8">
            <w:pPr>
              <w:spacing w:after="0" w:line="259" w:lineRule="auto"/>
              <w:ind w:left="122" w:firstLine="0"/>
              <w:jc w:val="center"/>
            </w:pPr>
            <w:r>
              <w:t xml:space="preserve">Dª María Isabel Santos </w:t>
            </w:r>
          </w:p>
        </w:tc>
      </w:tr>
    </w:tbl>
    <w:p w:rsidR="007617AD" w:rsidRDefault="00EE75C8">
      <w:pPr>
        <w:spacing w:after="6" w:line="252" w:lineRule="auto"/>
        <w:ind w:left="2313"/>
        <w:jc w:val="center"/>
      </w:pPr>
      <w:r>
        <w:t xml:space="preserve">García"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117" w:line="259" w:lineRule="auto"/>
        <w:ind w:left="708" w:firstLine="0"/>
        <w:jc w:val="left"/>
      </w:pPr>
      <w:r>
        <w:t xml:space="preserve"> </w:t>
      </w:r>
    </w:p>
    <w:p w:rsidR="007617AD" w:rsidRDefault="00EE75C8">
      <w:pPr>
        <w:spacing w:after="101" w:line="241" w:lineRule="auto"/>
        <w:ind w:left="703" w:right="56"/>
      </w:pPr>
      <w:r>
        <w:rPr>
          <w:b/>
          <w:sz w:val="24"/>
        </w:rPr>
        <w:t>6.- Expediente 1304/2019. Propuesta de la Alcaldesa-</w:t>
      </w:r>
      <w:r>
        <w:rPr>
          <w:b/>
          <w:sz w:val="24"/>
        </w:rPr>
        <w:t>Presidenta de fecha 22 de junio de 2022 al Pleno para la modificación de los plazos contemplados en el “Plan de Etapas” en el</w:t>
      </w:r>
      <w:r>
        <w:rPr>
          <w:sz w:val="24"/>
        </w:rPr>
        <w:t xml:space="preserve"> </w:t>
      </w:r>
      <w:r>
        <w:rPr>
          <w:b/>
          <w:sz w:val="24"/>
        </w:rPr>
        <w:t>marco del expediente 2017/11106 relativo al Emisario del Polígono Industrial del Valle de Güimar.</w:t>
      </w:r>
      <w:r>
        <w:t xml:space="preserve"> </w:t>
      </w:r>
    </w:p>
    <w:p w:rsidR="007617AD" w:rsidRDefault="00EE75C8">
      <w:pPr>
        <w:spacing w:after="98" w:line="259" w:lineRule="auto"/>
        <w:ind w:left="708" w:firstLine="0"/>
        <w:jc w:val="left"/>
      </w:pPr>
      <w:r>
        <w:rPr>
          <w:b/>
        </w:rPr>
        <w:t xml:space="preserve"> </w:t>
      </w:r>
    </w:p>
    <w:p w:rsidR="007617AD" w:rsidRDefault="00EE75C8">
      <w:pPr>
        <w:ind w:left="703" w:right="58"/>
      </w:pPr>
      <w:r>
        <w:rPr>
          <w:b/>
        </w:rPr>
        <w:t>Consta en el expediente Informe Jurídico emitido por Don Octavio Manuel Fernández Hernández, que desempeña el puesto de trabajo de Secretario General, de 22 de junio de 2022, del siguiente tenor literal:</w:t>
      </w:r>
      <w:r>
        <w:t xml:space="preserve"> </w:t>
      </w:r>
    </w:p>
    <w:p w:rsidR="007617AD" w:rsidRDefault="00EE75C8">
      <w:pPr>
        <w:spacing w:after="136" w:line="259" w:lineRule="auto"/>
        <w:ind w:left="708" w:firstLine="0"/>
        <w:jc w:val="left"/>
      </w:pPr>
      <w:r>
        <w:rPr>
          <w:b/>
        </w:rPr>
        <w:t xml:space="preserve"> </w:t>
      </w:r>
    </w:p>
    <w:p w:rsidR="007617AD" w:rsidRDefault="00EE75C8">
      <w:pPr>
        <w:spacing w:after="95" w:line="265" w:lineRule="auto"/>
        <w:ind w:left="905" w:right="262"/>
        <w:jc w:val="center"/>
      </w:pPr>
      <w:r>
        <w:t xml:space="preserve">      </w:t>
      </w:r>
      <w:r>
        <w:rPr>
          <w:b/>
        </w:rPr>
        <w:t>“INFORME JURÍDICO DEL SECRETARIO GENERAL</w:t>
      </w:r>
      <w:r>
        <w:t xml:space="preserve"> </w:t>
      </w:r>
    </w:p>
    <w:p w:rsidR="007617AD" w:rsidRDefault="00EE75C8">
      <w:pPr>
        <w:tabs>
          <w:tab w:val="center" w:pos="708"/>
          <w:tab w:val="right" w:pos="10342"/>
        </w:tabs>
        <w:ind w:left="0" w:firstLine="0"/>
        <w:jc w:val="left"/>
      </w:pPr>
      <w:r>
        <w:rPr>
          <w:rFonts w:ascii="Calibri" w:eastAsia="Calibri" w:hAnsi="Calibri" w:cs="Calibri"/>
        </w:rPr>
        <w:tab/>
      </w:r>
      <w:r>
        <w:rPr>
          <w:b/>
        </w:rPr>
        <w:t xml:space="preserve"> </w:t>
      </w:r>
      <w:r>
        <w:rPr>
          <w:b/>
        </w:rPr>
        <w:tab/>
        <w:t xml:space="preserve">Visto el expediente antedicho el Secretario General emite el siguiente informe jurídico: </w:t>
      </w:r>
    </w:p>
    <w:p w:rsidR="007617AD" w:rsidRDefault="00EE75C8">
      <w:pPr>
        <w:spacing w:after="98" w:line="259" w:lineRule="auto"/>
        <w:ind w:left="708" w:firstLine="0"/>
        <w:jc w:val="left"/>
      </w:pPr>
      <w:r>
        <w:t xml:space="preserve"> </w:t>
      </w:r>
    </w:p>
    <w:p w:rsidR="007617AD" w:rsidRDefault="00EE75C8">
      <w:pPr>
        <w:pStyle w:val="Ttulo4"/>
        <w:ind w:left="905" w:right="259"/>
      </w:pPr>
      <w:r>
        <w:t xml:space="preserve">ANTECEDENTES DE HECHO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82515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0478" name="Group 28047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8152" name="Rectangle 2815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8153" name="Rectangle 28153"/>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w:t>
                              </w:r>
                              <w:r>
                                <w:rPr>
                                  <w:sz w:val="12"/>
                                </w:rPr>
                                <w:t xml:space="preserve">esde la plataforma esPublico Gestiona | Página 161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0478" style="width:12.7031pt;height:280.02pt;position:absolute;mso-position-horizontal-relative:page;mso-position-horizontal:absolute;margin-left:682.278pt;mso-position-vertical-relative:page;margin-top:531.9pt;" coordsize="1613,35562">
                <v:rect id="Rectangle 2815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8153"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161 de 192 </w:t>
                        </w:r>
                      </w:p>
                    </w:txbxContent>
                  </v:textbox>
                </v:rect>
                <w10:wrap type="square"/>
              </v:group>
            </w:pict>
          </mc:Fallback>
        </mc:AlternateContent>
      </w:r>
      <w:r>
        <w:rPr>
          <w:b/>
        </w:rPr>
        <w:t xml:space="preserve"> PRIMERO.-</w:t>
      </w:r>
      <w:r>
        <w:t xml:space="preserve"> Consta en el expediente Convenio entre el Cabildo Insular de Tenerife, el Consejo Insular de Aguas de Tenerife y los Ayuntamientos de Arafo, Candelaria y Güimar formalizado el 31 de juli</w:t>
      </w:r>
      <w:r>
        <w:t>o de 2017 para la tramitación de la autorización administrativa de vertido al mar y la concesión de la ocupación de los bienes del dominio público marítimo terrestre con destino a un emisario submarino en el Polígono Industrial del Valle de Güimar por el q</w:t>
      </w:r>
      <w:r>
        <w:t xml:space="preserve">ue se encomienda al CIATF a elaborar la documentación técnica requerida para dicha autorización.  </w:t>
      </w:r>
    </w:p>
    <w:p w:rsidR="007617AD" w:rsidRDefault="00EE75C8">
      <w:pPr>
        <w:ind w:left="703" w:right="62"/>
      </w:pPr>
      <w:r>
        <w:t xml:space="preserve"> </w:t>
      </w:r>
      <w:r>
        <w:rPr>
          <w:b/>
        </w:rPr>
        <w:t>SEGUNDO. -</w:t>
      </w:r>
      <w:r>
        <w:t xml:space="preserve"> Consta en el expediente acuerdo del Pleno del Ayuntamiento de Candelaria de 6 de septiembre de 2018 por el que se aprueba el Plan de Etapas en el</w:t>
      </w:r>
      <w:r>
        <w:t xml:space="preserve"> marco del expediente 2017/11106 relativo al emisario del Polígono Industrial del Valle de Güimar En dicho Plan de Etapas consta un cronograma de actuación que fija el plazo de las obras de la forma siguiente:  </w:t>
      </w:r>
    </w:p>
    <w:p w:rsidR="007617AD" w:rsidRDefault="00EE75C8">
      <w:pPr>
        <w:ind w:left="703" w:right="62"/>
      </w:pPr>
      <w:r>
        <w:t>-</w:t>
      </w:r>
      <w:r>
        <w:t xml:space="preserve">Inicio previsto de las obras: mayo de 2019.  </w:t>
      </w:r>
    </w:p>
    <w:p w:rsidR="007617AD" w:rsidRDefault="00EE75C8">
      <w:pPr>
        <w:ind w:left="703" w:right="62"/>
      </w:pPr>
      <w:r>
        <w:t xml:space="preserve">-Fin previsto de las obras: septiembre 2020.  </w:t>
      </w:r>
    </w:p>
    <w:p w:rsidR="007617AD" w:rsidRDefault="00EE75C8">
      <w:pPr>
        <w:ind w:left="703" w:right="62"/>
      </w:pPr>
      <w:r>
        <w:t xml:space="preserve"> </w:t>
      </w:r>
      <w:r>
        <w:rPr>
          <w:b/>
        </w:rPr>
        <w:t>TERCERO. -</w:t>
      </w:r>
      <w:r>
        <w:t xml:space="preserve"> </w:t>
      </w:r>
      <w:r>
        <w:t>Mediante Resolución de la Viceconsejería de Lucha Contra el Cambio Climático número 33 de 18 de septiembre de 2018 se autorizó al Ayuntamiento de Arafo, en su propio nombre y en representación de los Ayuntamientos de Candelaria y Güimar, al vertido de agua</w:t>
      </w:r>
      <w:r>
        <w:t xml:space="preserve">s residuales urbanas e industriales depuradas a través del emisario submarino del polígono industrial del Valle de Güimar, la cual se otorga con sujeción al plan de etapas referido con anterioridad.  </w:t>
      </w:r>
    </w:p>
    <w:p w:rsidR="007617AD" w:rsidRDefault="00EE75C8">
      <w:pPr>
        <w:ind w:left="703" w:right="62"/>
      </w:pPr>
      <w:r>
        <w:t xml:space="preserve"> Esta autorización en su condicionante técnico segundo </w:t>
      </w:r>
      <w:r>
        <w:t xml:space="preserve">establece que la misma se otorga con sujeción al siguiente hito temporal: “el fin previsto de las obras se ha fijado en septiembre de 2020. La no finalización de las obras en el plazo aprobado supondrá el vencimiento de la AVM”  </w:t>
      </w:r>
      <w:r>
        <w:rPr>
          <w:b/>
        </w:rPr>
        <w:t>CUARTO. -</w:t>
      </w:r>
      <w:r>
        <w:t xml:space="preserve"> Consta en el expe</w:t>
      </w:r>
      <w:r>
        <w:t>diente convenio de colaboración entre el CIATF, el Cabildo Insular de Tenerife y los Ayuntamientos de Arafo, Candelaria y Güimar aprobado por el Ayuntamiento de Candelaria en el Pleno ordinario de 27 de marzo de 2019 y por los Ayuntamientos de Arafo y Güim</w:t>
      </w:r>
      <w:r>
        <w:t xml:space="preserve">ar en el mes de mayo de 2019 y formalizado por todas las partes intervinientes el día 10 de junio de 2019 por el cual se establece los derechos y obligaciones de las partes firmantes.  </w:t>
      </w:r>
    </w:p>
    <w:p w:rsidR="007617AD" w:rsidRDefault="00EE75C8">
      <w:pPr>
        <w:ind w:left="703" w:right="58"/>
      </w:pPr>
      <w:r>
        <w:t xml:space="preserve"> </w:t>
      </w:r>
      <w:r>
        <w:rPr>
          <w:b/>
        </w:rPr>
        <w:t>QUINTO. -</w:t>
      </w:r>
      <w:r>
        <w:t xml:space="preserve"> </w:t>
      </w:r>
      <w:r>
        <w:rPr>
          <w:b/>
        </w:rPr>
        <w:t xml:space="preserve">Consta en el expediente los acuerdos plenarios relativos a </w:t>
      </w:r>
      <w:r>
        <w:rPr>
          <w:b/>
        </w:rPr>
        <w:t>las modificaciones del Plan de Etapas debido a los retrasos en la ejecución de las obras siendo los últimos acuerdos plenarios adoptados los siguientes:</w:t>
      </w:r>
      <w:r>
        <w:t xml:space="preserve"> </w:t>
      </w:r>
    </w:p>
    <w:p w:rsidR="007617AD" w:rsidRDefault="00EE75C8">
      <w:pPr>
        <w:ind w:left="703" w:right="62"/>
      </w:pPr>
      <w:r>
        <w:t xml:space="preserve">1.- Acuerdo del pleno de 31 de julio de 2021. </w:t>
      </w:r>
    </w:p>
    <w:p w:rsidR="007617AD" w:rsidRDefault="00EE75C8">
      <w:pPr>
        <w:ind w:left="703" w:right="62"/>
      </w:pPr>
      <w:r>
        <w:t xml:space="preserve">2.- Acuerdo del pleno de 24 de febrero de 2022. </w:t>
      </w:r>
    </w:p>
    <w:p w:rsidR="007617AD" w:rsidRDefault="00EE75C8">
      <w:pPr>
        <w:ind w:left="703" w:right="62"/>
      </w:pPr>
      <w:r>
        <w:t>3.- Ac</w:t>
      </w:r>
      <w:r>
        <w:t xml:space="preserve">uerdo del pleno de 28 de febrero de 2022. </w:t>
      </w:r>
    </w:p>
    <w:p w:rsidR="007617AD" w:rsidRDefault="00EE75C8">
      <w:pPr>
        <w:ind w:left="703" w:right="58"/>
      </w:pPr>
      <w:r>
        <w:t xml:space="preserve"> </w:t>
      </w:r>
      <w:r>
        <w:rPr>
          <w:b/>
        </w:rPr>
        <w:t>SEXTO. -</w:t>
      </w:r>
      <w:r>
        <w:t xml:space="preserve"> </w:t>
      </w:r>
      <w:r>
        <w:rPr>
          <w:b/>
        </w:rPr>
        <w:t>Consta en el expediente acuerdo plenario relativo a la última modificación del Plan de Etapas debido a los retrasos en la ejecución de las obras siendo el último acuerdo plenario adoptado el del día 28 d</w:t>
      </w:r>
      <w:r>
        <w:rPr>
          <w:b/>
        </w:rPr>
        <w:t>e febrero de 2022 en cuya parte resolutiva dice:</w:t>
      </w:r>
      <w:r>
        <w:t xml:space="preserve"> </w:t>
      </w:r>
    </w:p>
    <w:p w:rsidR="007617AD" w:rsidRDefault="00EE75C8">
      <w:pPr>
        <w:spacing w:after="110" w:line="248" w:lineRule="auto"/>
        <w:ind w:left="703" w:right="59"/>
      </w:pPr>
      <w:r>
        <w:rPr>
          <w:i/>
        </w:rPr>
        <w:t xml:space="preserve">PRIMERO.- Tomar conocimiento del nuevo informe del Consejo Insular de Aguas de Tenerife con fecha de registro de entrada en el Ayuntamiento de Candelaria de 28 de febrero de 2022 transcrito precedentemente </w:t>
      </w:r>
      <w:r>
        <w:rPr>
          <w:i/>
        </w:rPr>
        <w:t>en el que se contiene el nuevo cronograma del Plan de Etapas en el marco del Expediente 2017/11106 relativo al Emisario del Polígono Industrial del Valle de Güimar y las mejoras en calidad del vertido que se proponen en el mismo a los efectos de cumplir co</w:t>
      </w:r>
      <w:r>
        <w:rPr>
          <w:i/>
        </w:rPr>
        <w:t xml:space="preserve">n el requerimiento del Gobierno de Canarias remitido con RE en el Ayuntamiento de Candelaria de 21 de febrero de 2022 y del que el Ayuntamiento de Arafo ha solicitado la ampliación del plazo hasta el día 28 de febrero de 2022.  </w:t>
      </w:r>
    </w:p>
    <w:p w:rsidR="007617AD" w:rsidRDefault="00EE75C8">
      <w:pPr>
        <w:spacing w:after="110" w:line="248" w:lineRule="auto"/>
        <w:ind w:left="703" w:right="59"/>
      </w:pPr>
      <w:r>
        <w:rPr>
          <w:rFonts w:ascii="Calibri" w:eastAsia="Calibri" w:hAnsi="Calibri" w:cs="Calibri"/>
          <w:noProof/>
        </w:rPr>
        <mc:AlternateContent>
          <mc:Choice Requires="wpg">
            <w:drawing>
              <wp:anchor distT="0" distB="0" distL="114300" distR="114300" simplePos="0" relativeHeight="25182617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0646" name="Group 28064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8292" name="Rectangle 2829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w:t>
                              </w:r>
                              <w:r>
                                <w:rPr>
                                  <w:sz w:val="12"/>
                                </w:rPr>
                                <w:t xml:space="preserve">GJD4WS6MQ5AJX5N2EM | Verificación: https://candelaria.sedelectronica.es/ </w:t>
                              </w:r>
                            </w:p>
                          </w:txbxContent>
                        </wps:txbx>
                        <wps:bodyPr horzOverflow="overflow" vert="horz" lIns="0" tIns="0" rIns="0" bIns="0" rtlCol="0">
                          <a:noAutofit/>
                        </wps:bodyPr>
                      </wps:wsp>
                      <wps:wsp>
                        <wps:cNvPr id="28293" name="Rectangle 28293"/>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162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0646" style="width:12.7031pt;height:280.02pt;position:absolute;mso-position-horizontal-relative:page;mso-position-horizontal:absolute;margin-left:682.278pt;mso-position-vertical-relative:page;margin-top:531.9pt;" coordsize="1613,35562">
                <v:rect id="Rectangle 2829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8293"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162 de 192 </w:t>
                        </w:r>
                      </w:p>
                    </w:txbxContent>
                  </v:textbox>
                </v:rect>
                <w10:wrap type="square"/>
              </v:group>
            </w:pict>
          </mc:Fallback>
        </mc:AlternateContent>
      </w:r>
      <w:r>
        <w:rPr>
          <w:i/>
        </w:rPr>
        <w:t>SEGUNDO.- Aprobar por el Ayuntamiento de Candelaria la modificación de los plazos con</w:t>
      </w:r>
      <w:r>
        <w:rPr>
          <w:i/>
        </w:rPr>
        <w:t>templados en el "Plan de Etapas" en el marco del Expediente 2017/11106 relativo al Emisario del Polígono Industrial del Valle de Güimar actualizado y que ha sido remitido por el Consejo Insular de Aguas de Tenerife con fecha 28 de febrero de 2022, toda vez</w:t>
      </w:r>
      <w:r>
        <w:rPr>
          <w:i/>
        </w:rPr>
        <w:t xml:space="preserve"> que prolonga la duración de la situación intermedia a los efectos de subsanar la nueva solicitud presentada por el Ayuntamiento de Arafo "Autorización de vertido desde tierra al mar de aguas residuales urbanas e industriales depuradas a través del emisari</w:t>
      </w:r>
      <w:r>
        <w:rPr>
          <w:i/>
        </w:rPr>
        <w:t xml:space="preserve">o submarino del Polígono Industrial del Güímar" (AVM), a la Viceconsejería de Lucha contra el Cambio Climático y Transición Ecológica del Gobierno de Canarias, quedando como sigue en formato texto y en el cronograma:  </w:t>
      </w:r>
    </w:p>
    <w:p w:rsidR="007617AD" w:rsidRDefault="00EE75C8">
      <w:pPr>
        <w:spacing w:after="110" w:line="248" w:lineRule="auto"/>
        <w:ind w:left="703" w:right="59"/>
      </w:pPr>
      <w:r>
        <w:rPr>
          <w:i/>
        </w:rPr>
        <w:t xml:space="preserve">1.- Del 1 de marzo al 27 de marzo de </w:t>
      </w:r>
      <w:r>
        <w:rPr>
          <w:i/>
        </w:rPr>
        <w:t xml:space="preserve">2022: Situación intermedia III: pretratamiento y evacuación parcial con cubas.  </w:t>
      </w:r>
    </w:p>
    <w:p w:rsidR="007617AD" w:rsidRDefault="00EE75C8">
      <w:pPr>
        <w:spacing w:after="110" w:line="248" w:lineRule="auto"/>
        <w:ind w:left="703" w:right="59"/>
      </w:pPr>
      <w:r>
        <w:rPr>
          <w:i/>
        </w:rPr>
        <w:t xml:space="preserve">2.- 28 marzo de 2022 al 25 de mayo de 2022: Situación intermedia IV: Tratamiento secundario de caudales vertidos por ES.  </w:t>
      </w:r>
    </w:p>
    <w:p w:rsidR="007617AD" w:rsidRDefault="00EE75C8">
      <w:pPr>
        <w:spacing w:after="59" w:line="296" w:lineRule="auto"/>
        <w:ind w:left="703" w:right="59"/>
      </w:pPr>
      <w:r>
        <w:rPr>
          <w:i/>
        </w:rPr>
        <w:t>3.- 26 de mayo de 2022 al 30 de noviembre de 2022: F</w:t>
      </w:r>
      <w:r>
        <w:rPr>
          <w:i/>
        </w:rPr>
        <w:t xml:space="preserve">uncionamiento de la EDARI: puesta en marcha de la EDARI y prueba de instalaciones.  4.- diciembre de 2022. Recepción de las obras. </w:t>
      </w:r>
    </w:p>
    <w:p w:rsidR="007617AD" w:rsidRDefault="00EE75C8">
      <w:pPr>
        <w:ind w:left="693" w:right="58" w:firstLine="708"/>
      </w:pPr>
      <w:r>
        <w:rPr>
          <w:b/>
        </w:rPr>
        <w:t xml:space="preserve">SÉPTIMO.- </w:t>
      </w:r>
      <w:r>
        <w:rPr>
          <w:b/>
        </w:rPr>
        <w:t>El Consejo Insular de Aguas y los Ayuntamientos de Arafo, Candelaria y Güimar van a aprobar en el mes de junio de 2022 el convenio de cooperación interadministrativa entre el Consejo Insular de Aguas de Tenerife y los Ayuntamientos de Candelaria, Arafo y G</w:t>
      </w:r>
      <w:r>
        <w:rPr>
          <w:b/>
        </w:rPr>
        <w:t xml:space="preserve">üimar para la gestión de las infraestructuras de depuración y vertido de aguas residuales, urbanas e industriales, de los sistemas territoriales del Valle de Güimar y Polígono Industrial del Valle de Güimar en virtud del cual </w:t>
      </w:r>
      <w:r>
        <w:rPr>
          <w:b/>
          <w:u w:val="single" w:color="000000"/>
        </w:rPr>
        <w:t>se producen modificaciones en</w:t>
      </w:r>
      <w:r>
        <w:rPr>
          <w:b/>
        </w:rPr>
        <w:t xml:space="preserve"> </w:t>
      </w:r>
      <w:r>
        <w:rPr>
          <w:b/>
          <w:u w:val="single" w:color="000000"/>
        </w:rPr>
        <w:t>el último cronograma del Plan de Etapas aprobado por las Administraciones Públicas</w:t>
      </w:r>
      <w:r>
        <w:rPr>
          <w:b/>
        </w:rPr>
        <w:t xml:space="preserve"> </w:t>
      </w:r>
      <w:r>
        <w:rPr>
          <w:b/>
          <w:u w:val="single" w:color="000000"/>
        </w:rPr>
        <w:t>intervinientes quedando como sigue:</w:t>
      </w:r>
      <w:r>
        <w:t xml:space="preserve"> </w:t>
      </w:r>
    </w:p>
    <w:p w:rsidR="007617AD" w:rsidRDefault="00EE75C8">
      <w:pPr>
        <w:spacing w:after="0" w:line="259" w:lineRule="auto"/>
        <w:ind w:left="1841" w:firstLine="0"/>
        <w:jc w:val="left"/>
      </w:pPr>
      <w:r>
        <w:t xml:space="preserve"> </w:t>
      </w:r>
    </w:p>
    <w:p w:rsidR="007617AD" w:rsidRDefault="00EE75C8">
      <w:pPr>
        <w:ind w:left="693" w:right="62" w:firstLine="1133"/>
      </w:pPr>
      <w:r>
        <w:t xml:space="preserve">1.- Del 26 de mayo a diciembre de 2022: Situación Intermedia V: Funcionamiento de la EDARI y prueba de instalaciones. </w:t>
      </w:r>
    </w:p>
    <w:p w:rsidR="007617AD" w:rsidRDefault="00EE75C8">
      <w:pPr>
        <w:tabs>
          <w:tab w:val="center" w:pos="708"/>
          <w:tab w:val="center" w:pos="3540"/>
        </w:tabs>
        <w:ind w:left="0" w:firstLine="0"/>
        <w:jc w:val="left"/>
      </w:pPr>
      <w:r>
        <w:rPr>
          <w:rFonts w:ascii="Calibri" w:eastAsia="Calibri" w:hAnsi="Calibri" w:cs="Calibri"/>
        </w:rPr>
        <w:tab/>
      </w:r>
      <w:r>
        <w:t xml:space="preserve"> </w:t>
      </w:r>
      <w:r>
        <w:tab/>
        <w:t>2.- Enero de</w:t>
      </w:r>
      <w:r>
        <w:t xml:space="preserve"> 2023: Recepción de las obras. </w:t>
      </w:r>
    </w:p>
    <w:p w:rsidR="007617AD" w:rsidRDefault="00EE75C8">
      <w:pPr>
        <w:ind w:left="703" w:right="62"/>
      </w:pPr>
      <w:r>
        <w:t xml:space="preserve"> 3.- Febrero de 2023: Solicitud CIATF cambio de titularidad AVM y transmisión de la concesión DPMT. </w:t>
      </w:r>
    </w:p>
    <w:p w:rsidR="007617AD" w:rsidRDefault="00EE75C8">
      <w:pPr>
        <w:spacing w:after="110" w:line="259" w:lineRule="auto"/>
        <w:ind w:left="708" w:firstLine="0"/>
        <w:jc w:val="left"/>
      </w:pPr>
      <w:r>
        <w:rPr>
          <w:rFonts w:ascii="Calibri" w:eastAsia="Calibri" w:hAnsi="Calibri" w:cs="Calibri"/>
          <w:noProof/>
        </w:rPr>
        <mc:AlternateContent>
          <mc:Choice Requires="wpg">
            <w:drawing>
              <wp:anchor distT="0" distB="0" distL="114300" distR="114300" simplePos="0" relativeHeight="25182720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0354" name="Group 28035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8370" name="Rectangle 2837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8371" name="Rectangle 28371"/>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 el</w:t>
                              </w:r>
                              <w:r>
                                <w:rPr>
                                  <w:sz w:val="12"/>
                                </w:rPr>
                                <w:t xml:space="preserve">ectrónicamente desde la plataforma esPublico Gestiona | Página 163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0354" style="width:12.7031pt;height:280.02pt;position:absolute;mso-position-horizontal-relative:page;mso-position-horizontal:absolute;margin-left:682.278pt;mso-position-vertical-relative:page;margin-top:531.9pt;" coordsize="1613,35562">
                <v:rect id="Rectangle 2837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8371"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163 de 192 </w:t>
                        </w:r>
                      </w:p>
                    </w:txbxContent>
                  </v:textbox>
                </v:rect>
                <w10:wrap type="square"/>
              </v:group>
            </w:pict>
          </mc:Fallback>
        </mc:AlternateContent>
      </w:r>
      <w:r>
        <w:t xml:space="preserve"> </w:t>
      </w:r>
    </w:p>
    <w:p w:rsidR="007617AD" w:rsidRDefault="00EE75C8">
      <w:pPr>
        <w:spacing w:after="0" w:line="259" w:lineRule="auto"/>
        <w:ind w:left="0" w:right="536" w:firstLine="0"/>
        <w:jc w:val="right"/>
      </w:pPr>
      <w:r>
        <w:rPr>
          <w:noProof/>
        </w:rPr>
        <w:drawing>
          <wp:inline distT="0" distB="0" distL="0" distR="0">
            <wp:extent cx="5739385" cy="4271772"/>
            <wp:effectExtent l="0" t="0" r="0" b="0"/>
            <wp:docPr id="28367" name="Picture 28367"/>
            <wp:cNvGraphicFramePr/>
            <a:graphic xmlns:a="http://schemas.openxmlformats.org/drawingml/2006/main">
              <a:graphicData uri="http://schemas.openxmlformats.org/drawingml/2006/picture">
                <pic:pic xmlns:pic="http://schemas.openxmlformats.org/drawingml/2006/picture">
                  <pic:nvPicPr>
                    <pic:cNvPr id="28367" name="Picture 28367"/>
                    <pic:cNvPicPr/>
                  </pic:nvPicPr>
                  <pic:blipFill>
                    <a:blip r:embed="rId17"/>
                    <a:stretch>
                      <a:fillRect/>
                    </a:stretch>
                  </pic:blipFill>
                  <pic:spPr>
                    <a:xfrm>
                      <a:off x="0" y="0"/>
                      <a:ext cx="5739385" cy="4271772"/>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spacing w:after="98" w:line="259" w:lineRule="auto"/>
        <w:ind w:left="4110" w:firstLine="0"/>
        <w:jc w:val="left"/>
      </w:pPr>
      <w:r>
        <w:t xml:space="preserve"> </w:t>
      </w:r>
    </w:p>
    <w:p w:rsidR="007617AD" w:rsidRDefault="00EE75C8">
      <w:pPr>
        <w:spacing w:after="95" w:line="259" w:lineRule="auto"/>
        <w:ind w:left="708" w:firstLine="0"/>
        <w:jc w:val="left"/>
      </w:pPr>
      <w:r>
        <w:t xml:space="preserve"> </w:t>
      </w:r>
    </w:p>
    <w:p w:rsidR="007617AD" w:rsidRDefault="00EE75C8">
      <w:pPr>
        <w:pStyle w:val="Ttulo4"/>
        <w:ind w:left="905" w:right="912"/>
      </w:pPr>
      <w:r>
        <w:t>FUNDAMENTOS DE DERECHO</w:t>
      </w:r>
      <w:r>
        <w:rPr>
          <w:b w:val="0"/>
        </w:rPr>
        <w:t xml:space="preserve"> </w:t>
      </w:r>
    </w:p>
    <w:p w:rsidR="007617AD" w:rsidRDefault="00EE75C8">
      <w:pPr>
        <w:ind w:left="703" w:right="58"/>
      </w:pPr>
      <w:r>
        <w:rPr>
          <w:b/>
        </w:rPr>
        <w:t xml:space="preserve"> ÚNICO. - LA INELUDIBLE COORDINACIÓN QUE DEBE EXISTIR ENTRE EL CONSEJO INSULAR DE AGUAS Y LOS AYUNTAMIENTOS DE ARAFO, CANDELARIA Y GÜIMAR.  </w:t>
      </w:r>
    </w:p>
    <w:p w:rsidR="007617AD" w:rsidRDefault="00EE75C8">
      <w:pPr>
        <w:spacing w:after="155"/>
        <w:ind w:left="703" w:right="58"/>
      </w:pPr>
      <w:r>
        <w:rPr>
          <w:b/>
        </w:rPr>
        <w:t xml:space="preserve"> </w:t>
      </w:r>
      <w:r>
        <w:rPr>
          <w:b/>
        </w:rPr>
        <w:t xml:space="preserve">A tal efecto conviene recordar lo que el auto judicial de 13 de junio de 2017 del Juzgado de lo Contencioso-Administrativo número 4 que estableció: A tal efecto destacamos el contenido del auto lo siguiente que dice literalmente:  </w:t>
      </w:r>
    </w:p>
    <w:p w:rsidR="007617AD" w:rsidRDefault="00EE75C8">
      <w:pPr>
        <w:spacing w:after="0" w:line="248" w:lineRule="auto"/>
        <w:ind w:left="703" w:right="59"/>
      </w:pPr>
      <w:r>
        <w:t xml:space="preserve"> </w:t>
      </w:r>
      <w:r>
        <w:rPr>
          <w:i/>
        </w:rPr>
        <w:t xml:space="preserve">(…) Tengamos en cuenta </w:t>
      </w:r>
      <w:r>
        <w:rPr>
          <w:i/>
        </w:rPr>
        <w:t xml:space="preserve">que las Administraciones públicas tienen el deber legal de actuar conforme a los principios generales del artículo 3.1 de la Ley 40/2015, de 1 de octubre, del Régimen </w:t>
      </w:r>
    </w:p>
    <w:p w:rsidR="007617AD" w:rsidRDefault="00EE75C8">
      <w:pPr>
        <w:spacing w:after="110" w:line="248" w:lineRule="auto"/>
        <w:ind w:left="703" w:right="59"/>
      </w:pPr>
      <w:r>
        <w:rPr>
          <w:i/>
        </w:rPr>
        <w:t>Jurídico del Sector Público, es decir, sirviendo con objetividad los intereses generales</w:t>
      </w:r>
      <w:r>
        <w:rPr>
          <w:i/>
        </w:rPr>
        <w:t xml:space="preserve"> y actuando con los principios de eficacia, jerarquía, descentralización, desconcentración y coordinación, con sometimiento pleno a la Constitución, a la Ley y al Derecho. Una actuación descoordinada y desconectada de las Administraciones concurrentes, cad</w:t>
      </w:r>
      <w:r>
        <w:rPr>
          <w:i/>
        </w:rPr>
        <w:t>a uno con una visión en el ámbito de sus competencias limitadas supone merma del principio de eficacia e insatisfacción de los intereses generales. Este precepto no sólo es de aplicación a los Ayuntamientos, Administración insular y de cuenca y Administrac</w:t>
      </w:r>
      <w:r>
        <w:rPr>
          <w:i/>
        </w:rPr>
        <w:t xml:space="preserve">ión Autonómica, sino que también es de aplicación a la Asociación Mixta de Compensación del Polígono Industrial del Valle de Güimar en calidad de administración urbanizadora. En la comparecencia puse de manifiesto que el presente recurso contencioso no va </w:t>
      </w:r>
      <w:r>
        <w:rPr>
          <w:i/>
        </w:rPr>
        <w:t>a resolver la ineludible necesidad de dar solución al problema de fondo de depurar debidamente los vertidos y ajustarlos a la legalidad, así como controlar y disciplinar individualmente a cada empresa por lo que vierta. Esa solución sólo puede venir dada p</w:t>
      </w:r>
      <w:r>
        <w:rPr>
          <w:i/>
        </w:rPr>
        <w:t xml:space="preserve">or la actuación diligente, decidida y coordinada de las Administraciones cuyas competencias y cotitularidades concurren. (…)” </w:t>
      </w:r>
      <w:r>
        <w:t xml:space="preserve">  A tal efecto se han celebrado reuniones en el Ayuntamiento de Güimar de fecha 16 de febrero de 2022 y en el Consejo Insular de A</w:t>
      </w:r>
      <w:r>
        <w:t xml:space="preserve">guas de Tenerife para llegar a un acuerdo sobre la modificación del plan de etapas y la documentación técnica a presentar para que el Gobierno de Canarias conceda la autorización de vertidos de tierra al mar hasta la finalización de las obras. </w:t>
      </w:r>
    </w:p>
    <w:p w:rsidR="007617AD" w:rsidRDefault="00EE75C8">
      <w:pPr>
        <w:spacing w:after="98" w:line="259" w:lineRule="auto"/>
        <w:ind w:left="708" w:firstLine="0"/>
        <w:jc w:val="left"/>
      </w:pPr>
      <w:r>
        <w:t xml:space="preserve"> </w:t>
      </w:r>
    </w:p>
    <w:p w:rsidR="007617AD" w:rsidRDefault="00EE75C8">
      <w:pPr>
        <w:spacing w:after="105" w:line="259" w:lineRule="auto"/>
        <w:ind w:left="708" w:firstLine="0"/>
        <w:jc w:val="left"/>
      </w:pPr>
      <w:r>
        <w:rPr>
          <w:rFonts w:ascii="Calibri" w:eastAsia="Calibri" w:hAnsi="Calibri" w:cs="Calibri"/>
          <w:noProof/>
        </w:rPr>
        <mc:AlternateContent>
          <mc:Choice Requires="wpg">
            <w:drawing>
              <wp:anchor distT="0" distB="0" distL="114300" distR="114300" simplePos="0" relativeHeight="25182822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0925" name="Group 280925"/>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8470" name="Rectangle 2847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8471" name="Rectangle 28471"/>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164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0925" style="width:12.7031pt;height:280.02pt;position:absolute;mso-position-horizontal-relative:page;mso-position-horizontal:absolute;margin-left:682.278pt;mso-position-vertical-relative:page;margin-top:531.9pt;" coordsize="1613,35562">
                <v:rect id="Rectangle 2847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8471"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164 de 192 </w:t>
                        </w:r>
                      </w:p>
                    </w:txbxContent>
                  </v:textbox>
                </v:rect>
                <w10:wrap type="square"/>
              </v:group>
            </w:pict>
          </mc:Fallback>
        </mc:AlternateContent>
      </w:r>
      <w:r>
        <w:t xml:space="preserve"> </w:t>
      </w:r>
      <w:r>
        <w:tab/>
        <w:t xml:space="preserve"> </w:t>
      </w:r>
      <w:r>
        <w:tab/>
        <w:t xml:space="preserve"> </w:t>
      </w:r>
    </w:p>
    <w:p w:rsidR="007617AD" w:rsidRDefault="00EE75C8">
      <w:pPr>
        <w:tabs>
          <w:tab w:val="center" w:pos="708"/>
          <w:tab w:val="center" w:pos="1416"/>
          <w:tab w:val="center" w:pos="4846"/>
        </w:tabs>
        <w:ind w:left="0" w:firstLine="0"/>
        <w:jc w:val="left"/>
      </w:pPr>
      <w:r>
        <w:rPr>
          <w:rFonts w:ascii="Calibri" w:eastAsia="Calibri" w:hAnsi="Calibri" w:cs="Calibri"/>
        </w:rPr>
        <w:tab/>
      </w:r>
      <w:r>
        <w:rPr>
          <w:b/>
        </w:rPr>
        <w:t xml:space="preserve"> </w:t>
      </w:r>
      <w:r>
        <w:rPr>
          <w:b/>
        </w:rPr>
        <w:tab/>
        <w:t xml:space="preserve"> </w:t>
      </w:r>
      <w:r>
        <w:rPr>
          <w:b/>
        </w:rPr>
        <w:tab/>
        <w:t xml:space="preserve">                       PROPUESTA DE ACUERDO AL PLE</w:t>
      </w:r>
      <w:r>
        <w:rPr>
          <w:b/>
        </w:rPr>
        <w:t>NO</w:t>
      </w:r>
      <w:r>
        <w:t xml:space="preserve"> </w:t>
      </w:r>
    </w:p>
    <w:p w:rsidR="007617AD" w:rsidRDefault="00EE75C8">
      <w:pPr>
        <w:ind w:left="703" w:right="58"/>
      </w:pPr>
      <w:r>
        <w:rPr>
          <w:b/>
        </w:rPr>
        <w:t xml:space="preserve"> PRIMERO.- Aprobar por el Ayuntamiento de Candelaria la modificación de los plazos contemplados en el "Plan de Etapas" en el marco del Expediente 2017/11106 relativo al Emisario del Polígono Industrial del Valle de Güimar actualizado al objeto de adecu</w:t>
      </w:r>
      <w:r>
        <w:rPr>
          <w:b/>
        </w:rPr>
        <w:t>arlo al convenio de cooperación interadministrativa entre el Consejo Insular de Aguas de Tenerife y los Ayuntamientos de Candelaria, Arafo y Güimar para la gestión de las infraestructuras de depuración y vertido de aguas residuales, urbanas e industriales,</w:t>
      </w:r>
      <w:r>
        <w:rPr>
          <w:b/>
        </w:rPr>
        <w:t xml:space="preserve"> de los sistemas territoriales del Valle de Güimar y Polígono Industrial del</w:t>
      </w:r>
      <w:r>
        <w:t xml:space="preserve"> </w:t>
      </w:r>
      <w:r>
        <w:rPr>
          <w:b/>
        </w:rPr>
        <w:t>Valle de Güimar quedando como sigue en formato texto y en el cronograma:</w:t>
      </w:r>
      <w:r>
        <w:t xml:space="preserve"> </w:t>
      </w:r>
    </w:p>
    <w:p w:rsidR="007617AD" w:rsidRDefault="00EE75C8">
      <w:pPr>
        <w:ind w:left="693" w:right="62" w:firstLine="1133"/>
      </w:pPr>
      <w:r>
        <w:t>1.- Del 26 de mayo a diciembre de 2022: Situación Intermedia V: Funcionamiento de la EDARI y prueba de in</w:t>
      </w:r>
      <w:r>
        <w:t xml:space="preserve">stalaciones. </w:t>
      </w:r>
    </w:p>
    <w:p w:rsidR="007617AD" w:rsidRDefault="00EE75C8">
      <w:pPr>
        <w:tabs>
          <w:tab w:val="center" w:pos="708"/>
          <w:tab w:val="center" w:pos="3540"/>
        </w:tabs>
        <w:ind w:left="0" w:firstLine="0"/>
        <w:jc w:val="left"/>
      </w:pPr>
      <w:r>
        <w:rPr>
          <w:rFonts w:ascii="Calibri" w:eastAsia="Calibri" w:hAnsi="Calibri" w:cs="Calibri"/>
        </w:rPr>
        <w:tab/>
      </w:r>
      <w:r>
        <w:t xml:space="preserve"> </w:t>
      </w:r>
      <w:r>
        <w:tab/>
        <w:t xml:space="preserve">2.- Enero de 2023: Recepción de las obras. </w:t>
      </w:r>
    </w:p>
    <w:p w:rsidR="007617AD" w:rsidRDefault="00EE75C8">
      <w:pPr>
        <w:ind w:left="703" w:right="62"/>
      </w:pPr>
      <w:r>
        <w:t xml:space="preserve"> 3.- Febrero de 2023: Solicitud CIATF cambio de titularidad AVM y transmisión de la concesión DPMT. </w:t>
      </w:r>
    </w:p>
    <w:p w:rsidR="007617AD" w:rsidRDefault="00EE75C8">
      <w:pPr>
        <w:spacing w:after="0" w:line="259" w:lineRule="auto"/>
        <w:ind w:left="708" w:firstLine="0"/>
        <w:jc w:val="left"/>
      </w:pPr>
      <w:r>
        <w:t xml:space="preserve"> </w:t>
      </w:r>
    </w:p>
    <w:p w:rsidR="007617AD" w:rsidRDefault="00EE75C8">
      <w:pPr>
        <w:spacing w:after="50" w:line="259" w:lineRule="auto"/>
        <w:ind w:left="0" w:right="534" w:firstLine="0"/>
        <w:jc w:val="right"/>
      </w:pPr>
      <w:r>
        <w:rPr>
          <w:noProof/>
        </w:rPr>
        <w:drawing>
          <wp:inline distT="0" distB="0" distL="0" distR="0">
            <wp:extent cx="5739385" cy="4271772"/>
            <wp:effectExtent l="0" t="0" r="0" b="0"/>
            <wp:docPr id="28525" name="Picture 28525"/>
            <wp:cNvGraphicFramePr/>
            <a:graphic xmlns:a="http://schemas.openxmlformats.org/drawingml/2006/main">
              <a:graphicData uri="http://schemas.openxmlformats.org/drawingml/2006/picture">
                <pic:pic xmlns:pic="http://schemas.openxmlformats.org/drawingml/2006/picture">
                  <pic:nvPicPr>
                    <pic:cNvPr id="28525" name="Picture 28525"/>
                    <pic:cNvPicPr/>
                  </pic:nvPicPr>
                  <pic:blipFill>
                    <a:blip r:embed="rId17"/>
                    <a:stretch>
                      <a:fillRect/>
                    </a:stretch>
                  </pic:blipFill>
                  <pic:spPr>
                    <a:xfrm>
                      <a:off x="0" y="0"/>
                      <a:ext cx="5739385" cy="4271772"/>
                    </a:xfrm>
                    <a:prstGeom prst="rect">
                      <a:avLst/>
                    </a:prstGeom>
                  </pic:spPr>
                </pic:pic>
              </a:graphicData>
            </a:graphic>
          </wp:inline>
        </w:drawing>
      </w:r>
      <w:r>
        <w:t xml:space="preserve"> </w:t>
      </w:r>
    </w:p>
    <w:p w:rsidR="007617AD" w:rsidRDefault="00EE75C8">
      <w:pPr>
        <w:ind w:left="693" w:right="58" w:firstLine="1133"/>
      </w:pPr>
      <w:r>
        <w:rPr>
          <w:b/>
        </w:rPr>
        <w:t>Segundo. - Notificar el presente acuerdo a la Consejería de Transición Ecológica, Lucha c</w:t>
      </w:r>
      <w:r>
        <w:rPr>
          <w:b/>
        </w:rPr>
        <w:t xml:space="preserve">ontra el Cambio Climático y Planificación Territorial del Gobierno de Canarias, al Consejo Insular de Aguas de Tenerife y a los Ayuntamientos de Arafo y Güimar. </w:t>
      </w:r>
    </w:p>
    <w:p w:rsidR="007617AD" w:rsidRDefault="00EE75C8">
      <w:pPr>
        <w:spacing w:after="100" w:line="259" w:lineRule="auto"/>
        <w:ind w:left="2976" w:firstLine="0"/>
        <w:jc w:val="left"/>
      </w:pPr>
      <w:r>
        <w:rPr>
          <w:b/>
        </w:rPr>
        <w:t xml:space="preserve"> </w:t>
      </w:r>
    </w:p>
    <w:p w:rsidR="007617AD" w:rsidRDefault="00EE75C8">
      <w:pPr>
        <w:spacing w:after="13"/>
        <w:ind w:left="703" w:right="58"/>
      </w:pPr>
      <w:r>
        <w:rPr>
          <w:b/>
        </w:rPr>
        <w:t>Consta en el expediente propuesta de la Alcaldesa-</w:t>
      </w:r>
      <w:r>
        <w:rPr>
          <w:b/>
        </w:rPr>
        <w:t xml:space="preserve">Presidenta, de fecha 22 de junio de 2022, cuyo tenor literal es el siguiente: </w:t>
      </w:r>
    </w:p>
    <w:p w:rsidR="007617AD" w:rsidRDefault="00EE75C8">
      <w:pPr>
        <w:spacing w:after="0" w:line="259" w:lineRule="auto"/>
        <w:ind w:left="708" w:firstLine="0"/>
        <w:jc w:val="left"/>
      </w:pPr>
      <w:r>
        <w:rPr>
          <w:rFonts w:ascii="Times New Roman" w:eastAsia="Times New Roman" w:hAnsi="Times New Roman" w:cs="Times New Roman"/>
          <w:b/>
          <w:sz w:val="24"/>
        </w:rPr>
        <w:t xml:space="preserve"> </w:t>
      </w:r>
    </w:p>
    <w:p w:rsidR="007617AD" w:rsidRDefault="00EE75C8">
      <w:pPr>
        <w:spacing w:after="0" w:line="259" w:lineRule="auto"/>
        <w:ind w:left="708" w:firstLine="0"/>
        <w:jc w:val="left"/>
      </w:pPr>
      <w:r>
        <w:rPr>
          <w:rFonts w:ascii="Times New Roman" w:eastAsia="Times New Roman" w:hAnsi="Times New Roman" w:cs="Times New Roman"/>
          <w:b/>
          <w:sz w:val="24"/>
        </w:rPr>
        <w:t xml:space="preserve"> </w:t>
      </w:r>
    </w:p>
    <w:p w:rsidR="007617AD" w:rsidRDefault="00EE75C8">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82924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0774" name="Group 28077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8528" name="Rectangle 28528"/>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8529" name="Rectangle 28529"/>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165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0774" style="width:12.7031pt;height:280.02pt;position:absolute;mso-position-horizontal-relative:page;mso-position-horizontal:absolute;margin-left:682.278pt;mso-position-vertical-relative:page;margin-top:531.9pt;" coordsize="1613,35562">
                <v:rect id="Rectangle 28528"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8529"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165 de 192 </w:t>
                        </w:r>
                      </w:p>
                    </w:txbxContent>
                  </v:textbox>
                </v:rect>
                <w10:wrap type="square"/>
              </v:group>
            </w:pict>
          </mc:Fallback>
        </mc:AlternateContent>
      </w:r>
      <w:r>
        <w:rPr>
          <w:rFonts w:ascii="Times New Roman" w:eastAsia="Times New Roman" w:hAnsi="Times New Roman" w:cs="Times New Roman"/>
          <w:b/>
          <w:sz w:val="24"/>
        </w:rPr>
        <w:t xml:space="preserve"> </w:t>
      </w:r>
    </w:p>
    <w:p w:rsidR="007617AD" w:rsidRDefault="00EE75C8">
      <w:pPr>
        <w:pStyle w:val="Ttulo4"/>
        <w:ind w:left="905" w:right="259"/>
      </w:pPr>
      <w:r>
        <w:t xml:space="preserve">“PROPUESTA DE LA ALCALDESA-PRESIDENTA AL PLENO DE LA CORPORACIÓN </w:t>
      </w:r>
    </w:p>
    <w:p w:rsidR="007617AD" w:rsidRDefault="00EE75C8">
      <w:pPr>
        <w:ind w:left="703" w:right="58"/>
      </w:pPr>
      <w:r>
        <w:rPr>
          <w:b/>
        </w:rPr>
        <w:t>Visto el informe jurídico de la Secretaría General de fecha 22 de junio de 2022 que transcrit</w:t>
      </w:r>
      <w:r>
        <w:rPr>
          <w:b/>
        </w:rPr>
        <w:t xml:space="preserve">o literalmente dice: </w:t>
      </w:r>
    </w:p>
    <w:p w:rsidR="007617AD" w:rsidRDefault="00EE75C8">
      <w:pPr>
        <w:spacing w:after="100" w:line="259" w:lineRule="auto"/>
        <w:ind w:left="708" w:firstLine="0"/>
        <w:jc w:val="left"/>
      </w:pPr>
      <w:r>
        <w:rPr>
          <w:b/>
        </w:rPr>
        <w:t xml:space="preserve"> </w:t>
      </w:r>
    </w:p>
    <w:p w:rsidR="007617AD" w:rsidRDefault="00EE75C8">
      <w:pPr>
        <w:spacing w:after="107" w:line="252" w:lineRule="auto"/>
        <w:ind w:left="993" w:right="347"/>
        <w:jc w:val="center"/>
      </w:pPr>
      <w:r>
        <w:t xml:space="preserve">INFORME JURÍDICO DEL SECRETARIO GENERAL </w:t>
      </w:r>
    </w:p>
    <w:p w:rsidR="007617AD" w:rsidRDefault="00EE75C8">
      <w:pPr>
        <w:tabs>
          <w:tab w:val="center" w:pos="708"/>
          <w:tab w:val="center" w:pos="5619"/>
        </w:tabs>
        <w:ind w:left="0" w:firstLine="0"/>
        <w:jc w:val="left"/>
      </w:pPr>
      <w:r>
        <w:rPr>
          <w:rFonts w:ascii="Calibri" w:eastAsia="Calibri" w:hAnsi="Calibri" w:cs="Calibri"/>
        </w:rPr>
        <w:tab/>
      </w:r>
      <w:r>
        <w:t xml:space="preserve"> </w:t>
      </w:r>
      <w:r>
        <w:tab/>
        <w:t xml:space="preserve">Visto el expediente antedicho el Secretario General emite el siguiente informe jurídico: </w:t>
      </w:r>
    </w:p>
    <w:p w:rsidR="007617AD" w:rsidRDefault="00EE75C8">
      <w:pPr>
        <w:spacing w:after="98"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107" w:line="252" w:lineRule="auto"/>
        <w:ind w:left="993" w:right="344"/>
        <w:jc w:val="center"/>
      </w:pPr>
      <w:r>
        <w:t xml:space="preserve">ANTECEDENTES DE HECHO </w:t>
      </w:r>
    </w:p>
    <w:p w:rsidR="007617AD" w:rsidRDefault="00EE75C8">
      <w:pPr>
        <w:ind w:left="703" w:right="62"/>
      </w:pPr>
      <w:r>
        <w:t xml:space="preserve"> PRIMERO.- </w:t>
      </w:r>
      <w:r>
        <w:t>Consta en el expediente Convenio entre el Cabildo Insular de Tenerife, el Consejo Insular de Aguas de Tenerife y los Ayuntamientos de Arafo, Candelaria y Güimar formalizado el 31 de julio de 2017 para la tramitación de la autorización administrativa de ver</w:t>
      </w:r>
      <w:r>
        <w:t>tido al mar y la concesión de la ocupación de los bienes del dominio público marítimo terrestre con destino a un emisario submarino en el Polígono Industrial del Valle de Güimar por el que se encomienda al CIATF a elaborar la documentación técnica requerid</w:t>
      </w:r>
      <w:r>
        <w:t xml:space="preserve">a para dicha autorización.  </w:t>
      </w:r>
    </w:p>
    <w:p w:rsidR="007617AD" w:rsidRDefault="00EE75C8">
      <w:pPr>
        <w:ind w:left="703" w:right="62"/>
      </w:pPr>
      <w:r>
        <w:t xml:space="preserve"> SEGUNDO. - Consta en el expediente acuerdo del Pleno del Ayuntamiento de Candelaria de 6 de septiembre de 2018 por el que se aprueba el Plan de Etapas en el marco del expediente 2017/11106 relativo al emisario del Polígono Ind</w:t>
      </w:r>
      <w:r>
        <w:t xml:space="preserve">ustrial del Valle de Güimar En dicho Plan de Etapas consta un cronograma de actuación que fija el plazo de las obras de la forma siguiente:  </w:t>
      </w:r>
    </w:p>
    <w:p w:rsidR="007617AD" w:rsidRDefault="00EE75C8">
      <w:pPr>
        <w:ind w:left="703" w:right="62"/>
      </w:pPr>
      <w:r>
        <w:t xml:space="preserve">-Inicio previsto de las obras: mayo de 2019.  </w:t>
      </w:r>
    </w:p>
    <w:p w:rsidR="007617AD" w:rsidRDefault="00EE75C8">
      <w:pPr>
        <w:ind w:left="703" w:right="62"/>
      </w:pPr>
      <w:r>
        <w:t xml:space="preserve">-Fin previsto de las obras: septiembre 2020.  </w:t>
      </w:r>
    </w:p>
    <w:p w:rsidR="007617AD" w:rsidRDefault="00EE75C8">
      <w:pPr>
        <w:ind w:left="703" w:right="62"/>
      </w:pPr>
      <w:r>
        <w:t xml:space="preserve"> TERCERO. - Mediante</w:t>
      </w:r>
      <w:r>
        <w:t xml:space="preserve"> Resolución de la Viceconsejería de Lucha Contra el Cambio Climático número 33 de 18 de septiembre de 2018 se autorizó al Ayuntamiento de Arafo, en su propio nombre y en representación de los Ayuntamientos de Candelaria y Güimar, al vertido de aguas residu</w:t>
      </w:r>
      <w:r>
        <w:t xml:space="preserve">ales urbanas e industriales depuradas a través del emisario submarino del polígono industrial del Valle de Güimar, la cual se otorga con sujeción al plan de etapas referido con anterioridad.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83027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1840" name="Group 28184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8660" name="Rectangle 2866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Verificación: h</w:t>
                              </w:r>
                              <w:r>
                                <w:rPr>
                                  <w:sz w:val="12"/>
                                </w:rPr>
                                <w:t xml:space="preserve">ttps://candelaria.sedelectronica.es/ </w:t>
                              </w:r>
                            </w:p>
                          </w:txbxContent>
                        </wps:txbx>
                        <wps:bodyPr horzOverflow="overflow" vert="horz" lIns="0" tIns="0" rIns="0" bIns="0" rtlCol="0">
                          <a:noAutofit/>
                        </wps:bodyPr>
                      </wps:wsp>
                      <wps:wsp>
                        <wps:cNvPr id="28661" name="Rectangle 28661"/>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166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1840" style="width:12.7031pt;height:280.02pt;position:absolute;mso-position-horizontal-relative:page;mso-position-horizontal:absolute;margin-left:682.278pt;mso-position-vertical-relative:page;margin-top:531.9pt;" coordsize="1613,35562">
                <v:rect id="Rectangle 2866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8661"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166 de 192 </w:t>
                        </w:r>
                      </w:p>
                    </w:txbxContent>
                  </v:textbox>
                </v:rect>
                <w10:wrap type="square"/>
              </v:group>
            </w:pict>
          </mc:Fallback>
        </mc:AlternateContent>
      </w:r>
      <w:r>
        <w:t xml:space="preserve"> Esta autorización en su condicionante técnico segundo establece que la misma se otorga con sujeción al siguiente hito te</w:t>
      </w:r>
      <w:r>
        <w:t xml:space="preserve">mporal: “el fin previsto de las obras se ha fijado en septiembre de 2020. La no finalización de las obras en el plazo aprobado supondrá el vencimiento de la AVM” </w:t>
      </w:r>
    </w:p>
    <w:p w:rsidR="007617AD" w:rsidRDefault="00EE75C8">
      <w:pPr>
        <w:ind w:left="703" w:right="62"/>
      </w:pPr>
      <w:r>
        <w:t xml:space="preserve"> CUARTO. - Consta en el expediente convenio de colaboración entre el CIATF, el Cabildo Insula</w:t>
      </w:r>
      <w:r>
        <w:t>r de Tenerife y los Ayuntamientos de Arafo, Candelaria y Güimar aprobado por el Ayuntamiento de Candelaria en el Pleno ordinario de 27 de marzo de 2019 y por los Ayuntamientos de Arafo y Güimar en el mes de mayo de 2019 y formalizado por todas las partes i</w:t>
      </w:r>
      <w:r>
        <w:t xml:space="preserve">ntervinientes el día 10 de junio de 2019 por el cual se establece los derechos y obligaciones de las partes firmantes.  </w:t>
      </w:r>
    </w:p>
    <w:p w:rsidR="007617AD" w:rsidRDefault="00EE75C8">
      <w:pPr>
        <w:ind w:left="703" w:right="62"/>
      </w:pPr>
      <w:r>
        <w:t xml:space="preserve"> QUINTO. - </w:t>
      </w:r>
      <w:r>
        <w:t xml:space="preserve">Consta en el expediente los acuerdos plenarios relativos a la modificaciones del Plan de Etapas debido a los retrasos en la ejecución de las obras siendo los últimos acuerdos plenarios adoptados los siguientes: </w:t>
      </w:r>
    </w:p>
    <w:p w:rsidR="007617AD" w:rsidRDefault="00EE75C8">
      <w:pPr>
        <w:ind w:left="703" w:right="62"/>
      </w:pPr>
      <w:r>
        <w:t>1.- Acuerdo del pleno de 31 de julio de 2021</w:t>
      </w:r>
      <w:r>
        <w:t xml:space="preserve">. </w:t>
      </w:r>
    </w:p>
    <w:p w:rsidR="007617AD" w:rsidRDefault="00EE75C8">
      <w:pPr>
        <w:ind w:left="703" w:right="62"/>
      </w:pPr>
      <w:r>
        <w:t xml:space="preserve">2.- Acuerdo del pleno de 24 de febrero de 2022. </w:t>
      </w:r>
    </w:p>
    <w:p w:rsidR="007617AD" w:rsidRDefault="00EE75C8">
      <w:pPr>
        <w:ind w:left="703" w:right="62"/>
      </w:pPr>
      <w:r>
        <w:t xml:space="preserve">3.- Acuerdo del pleno de 28 de febrero de 2022. </w:t>
      </w:r>
    </w:p>
    <w:p w:rsidR="007617AD" w:rsidRDefault="00EE75C8">
      <w:pPr>
        <w:spacing w:after="98" w:line="259" w:lineRule="auto"/>
        <w:ind w:left="708" w:firstLine="0"/>
        <w:jc w:val="left"/>
      </w:pPr>
      <w:r>
        <w:t xml:space="preserve"> </w:t>
      </w:r>
    </w:p>
    <w:p w:rsidR="007617AD" w:rsidRDefault="00EE75C8">
      <w:pPr>
        <w:ind w:left="703" w:right="62"/>
      </w:pPr>
      <w:r>
        <w:t xml:space="preserve"> SEXTO. - Consta en el expediente acuerdo plenario relativo a la última modificación del Plan de Etapas debido a los retrasos en la ejecución de las obra</w:t>
      </w:r>
      <w:r>
        <w:t xml:space="preserve">s siendo el último acuerdo plenario adoptado el del día 28 de febrero de 2022 en cuya parte resolutiva dice: </w:t>
      </w:r>
    </w:p>
    <w:p w:rsidR="007617AD" w:rsidRDefault="00EE75C8">
      <w:pPr>
        <w:spacing w:after="110" w:line="248" w:lineRule="auto"/>
        <w:ind w:left="703" w:right="59"/>
      </w:pPr>
      <w:r>
        <w:rPr>
          <w:i/>
        </w:rPr>
        <w:t>PRIMERO.- Tomar conocimiento del nuevo informe del Consejo Insular de Aguas de Tenerife con fecha de registro de entrada en el Ayuntamiento de Can</w:t>
      </w:r>
      <w:r>
        <w:rPr>
          <w:i/>
        </w:rPr>
        <w:t>delaria de 28 de febrero de 2022 transcrito precedentemente en el que se contiene el nuevo cronograma del Plan de Etapas en el marco del Expediente 2017/11106 relativo al Emisario del Polígono Industrial del Valle de Güimar y las mejoras en calidad del ver</w:t>
      </w:r>
      <w:r>
        <w:rPr>
          <w:i/>
        </w:rPr>
        <w:t>tido que se proponen en el mismo a los efectos de cumplir con el requerimiento del Gobierno de Canarias remitido con RE en el Ayuntamiento de Candelaria de 21 de febrero de 2022 y del que el Ayuntamiento de Arafo ha solicitado la ampliación del plazo hasta</w:t>
      </w:r>
      <w:r>
        <w:rPr>
          <w:i/>
        </w:rPr>
        <w:t xml:space="preserve"> el día 28 de febrero de 2022.  </w:t>
      </w:r>
    </w:p>
    <w:p w:rsidR="007617AD" w:rsidRDefault="00EE75C8">
      <w:pPr>
        <w:spacing w:after="100" w:line="259" w:lineRule="auto"/>
        <w:ind w:left="708" w:firstLine="0"/>
        <w:jc w:val="left"/>
      </w:pPr>
      <w:r>
        <w:t xml:space="preserve"> </w:t>
      </w:r>
    </w:p>
    <w:p w:rsidR="007617AD" w:rsidRDefault="00EE75C8">
      <w:pPr>
        <w:spacing w:after="110" w:line="248" w:lineRule="auto"/>
        <w:ind w:left="703" w:right="59"/>
      </w:pPr>
      <w:r>
        <w:rPr>
          <w:i/>
        </w:rPr>
        <w:t xml:space="preserve">SEGUNDO.- Aprobar por el Ayuntamiento de Candelaria la modificación de los plazos contemplados en el "Plan de Etapas" en el marco del Expediente 2017/11106 relativo al Emisario del Polígono Industrial del Valle de Güimar </w:t>
      </w:r>
      <w:r>
        <w:rPr>
          <w:i/>
        </w:rPr>
        <w:t>actualizado y que ha sido remitido por el Consejo Insular de Aguas de Tenerife con fecha 28 de febrero de 2022, toda vez que prolonga la duración de la situación intermedia a los efectos de subsanar la nueva solicitud presentada por el Ayuntamiento de Araf</w:t>
      </w:r>
      <w:r>
        <w:rPr>
          <w:i/>
        </w:rPr>
        <w:t>o "Autorización de vertido desde tierra al mar de aguas residuales urbanas e industriales depuradas a través del emisario submarino del Polígono Industrial del Güímar" (AVM), a la Viceconsejería de Lucha contra el Cambio Climático y Transición Ecológica de</w:t>
      </w:r>
      <w:r>
        <w:rPr>
          <w:i/>
        </w:rPr>
        <w:t xml:space="preserve">l Gobierno de Canarias, quedando como sigue en formato texto y en el cronograma:  </w:t>
      </w:r>
    </w:p>
    <w:p w:rsidR="007617AD" w:rsidRDefault="00EE75C8">
      <w:pPr>
        <w:spacing w:after="110" w:line="248" w:lineRule="auto"/>
        <w:ind w:left="703" w:right="59"/>
      </w:pPr>
      <w:r>
        <w:rPr>
          <w:i/>
        </w:rPr>
        <w:t xml:space="preserve">1.- Del 1 de marzo al 27 de marzo de 2022: Situación intermedia III: pretratamiento y evacuación parcial con cubas.  </w:t>
      </w:r>
    </w:p>
    <w:p w:rsidR="007617AD" w:rsidRDefault="00EE75C8">
      <w:pPr>
        <w:spacing w:after="110" w:line="248" w:lineRule="auto"/>
        <w:ind w:left="703" w:right="59"/>
      </w:pPr>
      <w:r>
        <w:rPr>
          <w:i/>
        </w:rPr>
        <w:t xml:space="preserve">2.- </w:t>
      </w:r>
      <w:r>
        <w:rPr>
          <w:i/>
        </w:rPr>
        <w:t xml:space="preserve">28 marzo de 2022 al 25 de mayo de 2022: Situación intermedia IV: Tratamiento secundario de caudales vertidos por ES.  </w:t>
      </w:r>
    </w:p>
    <w:p w:rsidR="007617AD" w:rsidRDefault="00EE75C8">
      <w:pPr>
        <w:spacing w:after="59" w:line="296" w:lineRule="auto"/>
        <w:ind w:left="703" w:right="59"/>
      </w:pPr>
      <w:r>
        <w:rPr>
          <w:rFonts w:ascii="Calibri" w:eastAsia="Calibri" w:hAnsi="Calibri" w:cs="Calibri"/>
          <w:noProof/>
        </w:rPr>
        <mc:AlternateContent>
          <mc:Choice Requires="wpg">
            <w:drawing>
              <wp:anchor distT="0" distB="0" distL="114300" distR="114300" simplePos="0" relativeHeight="25183129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1649" name="Group 28164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8777" name="Rectangle 2877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8778" name="Rectangle 28778"/>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w:t>
                              </w:r>
                              <w:r>
                                <w:rPr>
                                  <w:sz w:val="12"/>
                                </w:rPr>
                                <w:t xml:space="preserve"> desde la plataforma esPublico Gestiona | Página 167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1649" style="width:12.7031pt;height:280.02pt;position:absolute;mso-position-horizontal-relative:page;mso-position-horizontal:absolute;margin-left:682.278pt;mso-position-vertical-relative:page;margin-top:531.9pt;" coordsize="1613,35562">
                <v:rect id="Rectangle 2877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8778"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167 de 192 </w:t>
                        </w:r>
                      </w:p>
                    </w:txbxContent>
                  </v:textbox>
                </v:rect>
                <w10:wrap type="square"/>
              </v:group>
            </w:pict>
          </mc:Fallback>
        </mc:AlternateContent>
      </w:r>
      <w:r>
        <w:rPr>
          <w:i/>
        </w:rPr>
        <w:t xml:space="preserve">3.- 26 de mayo de 2022 al 30 de noviembre de 2022: Funcionamiento de la EDARI: puesta en marcha de la EDARI y prueba de instalaciones.  4.- diciembre de 2022. Recepción de las obras. </w:t>
      </w:r>
    </w:p>
    <w:p w:rsidR="007617AD" w:rsidRDefault="00EE75C8">
      <w:pPr>
        <w:spacing w:after="100" w:line="259" w:lineRule="auto"/>
        <w:ind w:left="708" w:firstLine="0"/>
        <w:jc w:val="left"/>
      </w:pPr>
      <w:r>
        <w:t xml:space="preserve"> </w:t>
      </w:r>
    </w:p>
    <w:p w:rsidR="007617AD" w:rsidRDefault="00EE75C8">
      <w:pPr>
        <w:ind w:left="693" w:right="62" w:firstLine="1133"/>
      </w:pPr>
      <w:r>
        <w:t>SÉPTIMO.</w:t>
      </w:r>
      <w:r>
        <w:t>- El Consejo Insular de Aguas y los Ayuntamientos de Arafo, Candelaria y Güimar van a aprobar en el mes de junio de 2022 el convenio de cooperación interadministrativa entre el Consejo Insular de Aguas de Tenerife y los Ayuntamientos de Candelaria, Arafo y</w:t>
      </w:r>
      <w:r>
        <w:t xml:space="preserve"> Güimar para la gestión de las infraestructuras de depuración y vertido de aguas residuales, urbanas e industriales, de los sistemas territoriales del Valle de Güimar y Polígono Industrial del Valle de Güimar en virtud del cual </w:t>
      </w:r>
      <w:r>
        <w:rPr>
          <w:u w:val="single" w:color="000000"/>
        </w:rPr>
        <w:t>se producen modificaciones e</w:t>
      </w:r>
      <w:r>
        <w:rPr>
          <w:u w:val="single" w:color="000000"/>
        </w:rPr>
        <w:t>n el último cronograma del Plan de Etapas</w:t>
      </w:r>
      <w:r>
        <w:t xml:space="preserve"> </w:t>
      </w:r>
      <w:r>
        <w:rPr>
          <w:u w:val="single" w:color="000000"/>
        </w:rPr>
        <w:t>aprobado por las Administraciones Públicas intervinientes quedando como sigue:</w:t>
      </w:r>
      <w:r>
        <w:t xml:space="preserve"> </w:t>
      </w:r>
    </w:p>
    <w:p w:rsidR="007617AD" w:rsidRDefault="00EE75C8">
      <w:pPr>
        <w:spacing w:after="98" w:line="259" w:lineRule="auto"/>
        <w:ind w:left="1841" w:firstLine="0"/>
        <w:jc w:val="left"/>
      </w:pPr>
      <w:r>
        <w:t xml:space="preserve"> </w:t>
      </w:r>
    </w:p>
    <w:p w:rsidR="007617AD" w:rsidRDefault="00EE75C8">
      <w:pPr>
        <w:ind w:left="693" w:right="62" w:firstLine="1133"/>
      </w:pPr>
      <w:r>
        <w:t xml:space="preserve">1.- Del 26 de mayo a diciembre de 2022: Situación Intermedia V: Funcionamiento de la EDARI y prueba de instalaciones. </w:t>
      </w:r>
    </w:p>
    <w:p w:rsidR="007617AD" w:rsidRDefault="00EE75C8">
      <w:pPr>
        <w:tabs>
          <w:tab w:val="center" w:pos="708"/>
          <w:tab w:val="center" w:pos="3540"/>
        </w:tabs>
        <w:ind w:left="0" w:firstLine="0"/>
        <w:jc w:val="left"/>
      </w:pPr>
      <w:r>
        <w:rPr>
          <w:rFonts w:ascii="Calibri" w:eastAsia="Calibri" w:hAnsi="Calibri" w:cs="Calibri"/>
        </w:rPr>
        <w:tab/>
      </w:r>
      <w:r>
        <w:t xml:space="preserve"> </w:t>
      </w:r>
      <w:r>
        <w:tab/>
        <w:t xml:space="preserve">2.- Enero </w:t>
      </w:r>
      <w:r>
        <w:t xml:space="preserve">de 2023: Recepción de las obras. </w:t>
      </w:r>
    </w:p>
    <w:p w:rsidR="007617AD" w:rsidRDefault="00EE75C8">
      <w:pPr>
        <w:ind w:left="703" w:right="62"/>
      </w:pPr>
      <w:r>
        <w:t xml:space="preserve"> 3.- Febrero de 2023: Solicitud CIATF cambio de titularidad AVM y transmisión de la concesión DPMT. </w:t>
      </w:r>
    </w:p>
    <w:p w:rsidR="007617AD" w:rsidRDefault="00EE75C8">
      <w:pPr>
        <w:spacing w:after="0" w:line="259" w:lineRule="auto"/>
        <w:ind w:left="708" w:firstLine="0"/>
        <w:jc w:val="left"/>
      </w:pPr>
      <w:r>
        <w:t xml:space="preserve"> </w:t>
      </w:r>
    </w:p>
    <w:p w:rsidR="007617AD" w:rsidRDefault="00EE75C8">
      <w:pPr>
        <w:spacing w:after="0" w:line="259" w:lineRule="auto"/>
        <w:ind w:left="0" w:right="536" w:firstLine="0"/>
        <w:jc w:val="right"/>
      </w:pPr>
      <w:r>
        <w:rPr>
          <w:noProof/>
        </w:rPr>
        <w:drawing>
          <wp:inline distT="0" distB="0" distL="0" distR="0">
            <wp:extent cx="5739385" cy="4271772"/>
            <wp:effectExtent l="0" t="0" r="0" b="0"/>
            <wp:docPr id="28838" name="Picture 28838"/>
            <wp:cNvGraphicFramePr/>
            <a:graphic xmlns:a="http://schemas.openxmlformats.org/drawingml/2006/main">
              <a:graphicData uri="http://schemas.openxmlformats.org/drawingml/2006/picture">
                <pic:pic xmlns:pic="http://schemas.openxmlformats.org/drawingml/2006/picture">
                  <pic:nvPicPr>
                    <pic:cNvPr id="28838" name="Picture 28838"/>
                    <pic:cNvPicPr/>
                  </pic:nvPicPr>
                  <pic:blipFill>
                    <a:blip r:embed="rId17"/>
                    <a:stretch>
                      <a:fillRect/>
                    </a:stretch>
                  </pic:blipFill>
                  <pic:spPr>
                    <a:xfrm>
                      <a:off x="0" y="0"/>
                      <a:ext cx="5739385" cy="4271772"/>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spacing w:after="100" w:line="259" w:lineRule="auto"/>
        <w:ind w:left="4110" w:firstLine="0"/>
        <w:jc w:val="left"/>
      </w:pPr>
      <w:r>
        <w:t xml:space="preserve"> </w:t>
      </w:r>
    </w:p>
    <w:p w:rsidR="007617AD" w:rsidRDefault="00EE75C8">
      <w:pPr>
        <w:spacing w:after="98" w:line="259" w:lineRule="auto"/>
        <w:ind w:left="708" w:firstLine="0"/>
        <w:jc w:val="left"/>
      </w:pPr>
      <w:r>
        <w:t xml:space="preserve"> </w:t>
      </w:r>
    </w:p>
    <w:p w:rsidR="007617AD" w:rsidRDefault="00EE75C8">
      <w:pPr>
        <w:spacing w:after="104" w:line="252" w:lineRule="auto"/>
        <w:ind w:left="993" w:right="-116"/>
        <w:jc w:val="center"/>
      </w:pPr>
      <w:r>
        <w:t xml:space="preserve">FUNDAMENTOS DE DERECHO </w:t>
      </w:r>
    </w:p>
    <w:p w:rsidR="007617AD" w:rsidRDefault="00EE75C8">
      <w:pPr>
        <w:ind w:left="703" w:right="62"/>
      </w:pPr>
      <w:r>
        <w:t xml:space="preserve"> ÚNICO. - </w:t>
      </w:r>
      <w:r>
        <w:t xml:space="preserve">LA INELUDIBLE COORDINACIÓN QUE DEBE EXISTIR ENTRE EL CONSEJO INSULAR DE AGUAS Y LOS AYUNTAMIENTOS DE ARAFO, CANDELARIA Y GÜIMAR.  </w:t>
      </w:r>
    </w:p>
    <w:p w:rsidR="007617AD" w:rsidRDefault="00EE75C8">
      <w:pPr>
        <w:spacing w:after="147"/>
        <w:ind w:left="703" w:right="62"/>
      </w:pPr>
      <w:r>
        <w:rPr>
          <w:rFonts w:ascii="Calibri" w:eastAsia="Calibri" w:hAnsi="Calibri" w:cs="Calibri"/>
          <w:noProof/>
        </w:rPr>
        <mc:AlternateContent>
          <mc:Choice Requires="wpg">
            <w:drawing>
              <wp:anchor distT="0" distB="0" distL="114300" distR="114300" simplePos="0" relativeHeight="25183232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1556" name="Group 28155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8841" name="Rectangle 2884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8842" name="Rectangle 28842"/>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 elec</w:t>
                              </w:r>
                              <w:r>
                                <w:rPr>
                                  <w:sz w:val="12"/>
                                </w:rPr>
                                <w:t xml:space="preserve">trónicamente desde la plataforma esPublico Gestiona | Página 168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1556" style="width:12.7031pt;height:280.02pt;position:absolute;mso-position-horizontal-relative:page;mso-position-horizontal:absolute;margin-left:682.278pt;mso-position-vertical-relative:page;margin-top:531.9pt;" coordsize="1613,35562">
                <v:rect id="Rectangle 2884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8842"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168 de 192 </w:t>
                        </w:r>
                      </w:p>
                    </w:txbxContent>
                  </v:textbox>
                </v:rect>
                <w10:wrap type="square"/>
              </v:group>
            </w:pict>
          </mc:Fallback>
        </mc:AlternateContent>
      </w:r>
      <w:r>
        <w:t xml:space="preserve"> A tal efecto conviene recordar lo que el auto judicial de 13 de junio de 2017 del Juzgado de lo Contencioso-Administrativo número 4 que estableció: A tal efecto destacamos el conteni</w:t>
      </w:r>
      <w:r>
        <w:t xml:space="preserve">do del auto lo siguiente que dice literalmente:  </w:t>
      </w:r>
    </w:p>
    <w:p w:rsidR="007617AD" w:rsidRDefault="00EE75C8">
      <w:pPr>
        <w:spacing w:after="110" w:line="248" w:lineRule="auto"/>
        <w:ind w:left="703" w:right="59"/>
      </w:pPr>
      <w:r>
        <w:t xml:space="preserve"> </w:t>
      </w:r>
      <w:r>
        <w:rPr>
          <w:i/>
        </w:rPr>
        <w:t>(…) Tengamos en cuenta que las Administraciones públicas tienen el deber legal de actuar conforme a los principios generales del artículo 3.1 de la Ley 40/2015, de 1 de octubre, del Régimen Jurídico del Se</w:t>
      </w:r>
      <w:r>
        <w:rPr>
          <w:i/>
        </w:rPr>
        <w:t>ctor Público, es decir, sirviendo con objetividad los intereses generales y actuando con los principios de eficacia, jerarquía, descentralización, desconcentración y coordinación, con sometimiento pleno a la Constitución, a la Ley y al Derecho. Una actuaci</w:t>
      </w:r>
      <w:r>
        <w:rPr>
          <w:i/>
        </w:rPr>
        <w:t>ón descoordinada y desconectada de las Administraciones concurrentes, cada uno con una visión en el ámbito de sus competencias limitadas supone merma del principio de eficacia e insatisfacción de los intereses generales. Este precepto no sólo es de aplicac</w:t>
      </w:r>
      <w:r>
        <w:rPr>
          <w:i/>
        </w:rPr>
        <w:t>ión a los Ayuntamientos, Administración insular y de cuenca y Administración Autonómica, sino que también es de aplicación a la Asociación Mixta de Compensación del Polígono Industrial del Valle de Güimar en calidad de administración urbanizadora. En la co</w:t>
      </w:r>
      <w:r>
        <w:rPr>
          <w:i/>
        </w:rPr>
        <w:t>mparecencia puse de manifiesto que el presente recurso contencioso no va a resolver la ineludible necesidad de dar solución al problema de fondo de depurar debidamente los vertidos y ajustarlos a la legalidad, así como controlar y disciplinar individualmen</w:t>
      </w:r>
      <w:r>
        <w:rPr>
          <w:i/>
        </w:rPr>
        <w:t xml:space="preserve">te a cada empresa por lo que vierta. Esa solución sólo puede venir dada por la actuación diligente, decidida y coordinada de las Administraciones cuyas competencias y cotitularidades concurren. (…)” </w:t>
      </w:r>
      <w:r>
        <w:t xml:space="preserve">  A tal efecto se han celebrado reuniones en el Ayuntamie</w:t>
      </w:r>
      <w:r>
        <w:t>nto de Güimar de fecha 16 de febrero de 2022 y en el Consejo Insular de Aguas de Tenerife para llegar a un acuerdo sobre la modificación del plan de etapas y la documentación técnica a presentar para que el Gobierno de Canarias conceda la autorización de v</w:t>
      </w:r>
      <w:r>
        <w:t xml:space="preserve">ertidos de tierra al mar hasta la finalización de las obras. </w:t>
      </w:r>
    </w:p>
    <w:p w:rsidR="007617AD" w:rsidRDefault="00EE75C8">
      <w:pPr>
        <w:spacing w:after="98" w:line="259" w:lineRule="auto"/>
        <w:ind w:left="708" w:firstLine="0"/>
        <w:jc w:val="left"/>
      </w:pPr>
      <w:r>
        <w:t xml:space="preserve"> </w:t>
      </w:r>
    </w:p>
    <w:p w:rsidR="007617AD" w:rsidRDefault="00EE75C8">
      <w:pPr>
        <w:tabs>
          <w:tab w:val="center" w:pos="708"/>
          <w:tab w:val="center" w:pos="1416"/>
          <w:tab w:val="center" w:pos="2124"/>
          <w:tab w:val="center" w:pos="2832"/>
          <w:tab w:val="center" w:pos="5522"/>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PROPUESTA DE ACUERDO AL PLENO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833344"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281532" name="Group 28153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8927" name="Rectangle 2892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8928" name="Rectangle 28928"/>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169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1532" style="width:12.7031pt;height:280.02pt;position:absolute;mso-position-horizontal-relative:page;mso-position-horizontal:absolute;margin-left:682.278pt;mso-position-vertical-relative:page;margin-top:531.9pt;" coordsize="1613,35562">
                <v:rect id="Rectangle 2892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8928"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169 de 192 </w:t>
                        </w:r>
                      </w:p>
                    </w:txbxContent>
                  </v:textbox>
                </v:rect>
                <w10:wrap type="topAndBottom"/>
              </v:group>
            </w:pict>
          </mc:Fallback>
        </mc:AlternateContent>
      </w:r>
      <w:r>
        <w:t xml:space="preserve"> PRIMERO.- Aprobar por el Ayuntamiento de Candelaria la modificación de los plazos contemplados en el "Plan de Etapas" en el marco del Expediente 2017/11106 rela</w:t>
      </w:r>
      <w:r>
        <w:t>tivo al Emisario del Polígono Industrial del Valle de Güimar actualizado al objeto de adecuarlo al convenio de cooperación interadministrativa entre el Consejo Insular de Aguas de Tenerife y los Ayuntamientos de Candelaria, Arafo y Güimar para la gestión d</w:t>
      </w:r>
      <w:r>
        <w:t xml:space="preserve">e las infraestructuras de depuración y vertido de aguas residuales, urbanas e industriales, de los sistemas territoriales del Valle de Güimar y Polígono Industrial del Valle de Güimar quedando como sigue en formato texto y en el cronograma: </w:t>
      </w:r>
    </w:p>
    <w:p w:rsidR="007617AD" w:rsidRDefault="00EE75C8">
      <w:pPr>
        <w:ind w:left="693" w:right="62" w:firstLine="1133"/>
      </w:pPr>
      <w:r>
        <w:t xml:space="preserve">1.- </w:t>
      </w:r>
      <w:r>
        <w:t xml:space="preserve">Del 26 de mayo a diciembre de 2022: Situación Intermedia V: Funcionamiento de la EDARI y prueba de instalaciones. </w:t>
      </w:r>
    </w:p>
    <w:p w:rsidR="007617AD" w:rsidRDefault="00EE75C8">
      <w:pPr>
        <w:tabs>
          <w:tab w:val="center" w:pos="708"/>
          <w:tab w:val="center" w:pos="3540"/>
        </w:tabs>
        <w:ind w:left="0" w:firstLine="0"/>
        <w:jc w:val="left"/>
      </w:pPr>
      <w:r>
        <w:rPr>
          <w:rFonts w:ascii="Calibri" w:eastAsia="Calibri" w:hAnsi="Calibri" w:cs="Calibri"/>
        </w:rPr>
        <w:tab/>
      </w:r>
      <w:r>
        <w:t xml:space="preserve"> </w:t>
      </w:r>
      <w:r>
        <w:tab/>
        <w:t xml:space="preserve">2.- Enero de 2023: Recepción de las obras. </w:t>
      </w:r>
    </w:p>
    <w:p w:rsidR="007617AD" w:rsidRDefault="00EE75C8">
      <w:pPr>
        <w:ind w:left="703" w:right="62"/>
      </w:pPr>
      <w:r>
        <w:t xml:space="preserve"> 3.- Febrero de 2023: Solicitud CIATF cambio de titularidad AVM y transmisión de la concesión </w:t>
      </w:r>
      <w:r>
        <w:t xml:space="preserve">DPMT. </w:t>
      </w:r>
    </w:p>
    <w:p w:rsidR="007617AD" w:rsidRDefault="00EE75C8">
      <w:pPr>
        <w:spacing w:after="0" w:line="259" w:lineRule="auto"/>
        <w:ind w:left="708" w:firstLine="0"/>
        <w:jc w:val="left"/>
      </w:pPr>
      <w:r>
        <w:t xml:space="preserve"> </w:t>
      </w:r>
    </w:p>
    <w:p w:rsidR="007617AD" w:rsidRDefault="00EE75C8">
      <w:pPr>
        <w:spacing w:after="52" w:line="259" w:lineRule="auto"/>
        <w:ind w:left="0" w:right="534" w:firstLine="0"/>
        <w:jc w:val="right"/>
      </w:pPr>
      <w:r>
        <w:rPr>
          <w:noProof/>
        </w:rPr>
        <w:drawing>
          <wp:inline distT="0" distB="0" distL="0" distR="0">
            <wp:extent cx="5739385" cy="4271772"/>
            <wp:effectExtent l="0" t="0" r="0" b="0"/>
            <wp:docPr id="28969" name="Picture 28969"/>
            <wp:cNvGraphicFramePr/>
            <a:graphic xmlns:a="http://schemas.openxmlformats.org/drawingml/2006/main">
              <a:graphicData uri="http://schemas.openxmlformats.org/drawingml/2006/picture">
                <pic:pic xmlns:pic="http://schemas.openxmlformats.org/drawingml/2006/picture">
                  <pic:nvPicPr>
                    <pic:cNvPr id="28969" name="Picture 28969"/>
                    <pic:cNvPicPr/>
                  </pic:nvPicPr>
                  <pic:blipFill>
                    <a:blip r:embed="rId17"/>
                    <a:stretch>
                      <a:fillRect/>
                    </a:stretch>
                  </pic:blipFill>
                  <pic:spPr>
                    <a:xfrm>
                      <a:off x="0" y="0"/>
                      <a:ext cx="5739385" cy="4271772"/>
                    </a:xfrm>
                    <a:prstGeom prst="rect">
                      <a:avLst/>
                    </a:prstGeom>
                  </pic:spPr>
                </pic:pic>
              </a:graphicData>
            </a:graphic>
          </wp:inline>
        </w:drawing>
      </w:r>
      <w:r>
        <w:t xml:space="preserve"> </w:t>
      </w:r>
    </w:p>
    <w:p w:rsidR="007617AD" w:rsidRDefault="00EE75C8">
      <w:pPr>
        <w:spacing w:after="11"/>
        <w:ind w:left="1851" w:right="62"/>
      </w:pPr>
      <w:r>
        <w:t xml:space="preserve">Segundo. - Notificar el presente acuerdo a la Consejería de Transición Ecológica, Lucha </w:t>
      </w:r>
    </w:p>
    <w:p w:rsidR="007617AD" w:rsidRDefault="00EE75C8">
      <w:pPr>
        <w:ind w:left="703" w:right="62"/>
      </w:pPr>
      <w:r>
        <w:t>contra el Cambio Climático y Planificación Territorial del Gobierno de Canarias, al Consejo Insular de Aguas de Tenerife y a los Ayuntamientos de Arafo y G</w:t>
      </w:r>
      <w:r>
        <w:t xml:space="preserve">üimar. </w:t>
      </w:r>
    </w:p>
    <w:p w:rsidR="007617AD" w:rsidRDefault="00EE75C8">
      <w:pPr>
        <w:spacing w:after="100" w:line="259" w:lineRule="auto"/>
        <w:ind w:left="2976" w:firstLine="0"/>
        <w:jc w:val="left"/>
      </w:pPr>
      <w:r>
        <w:rPr>
          <w:b/>
        </w:rPr>
        <w:t xml:space="preserve"> </w:t>
      </w:r>
    </w:p>
    <w:p w:rsidR="007617AD" w:rsidRDefault="00EE75C8">
      <w:pPr>
        <w:spacing w:after="98" w:line="259" w:lineRule="auto"/>
        <w:ind w:left="1841" w:firstLine="0"/>
        <w:jc w:val="left"/>
      </w:pPr>
      <w:r>
        <w:rPr>
          <w:b/>
        </w:rPr>
        <w:t xml:space="preserve"> </w:t>
      </w:r>
    </w:p>
    <w:p w:rsidR="007617AD" w:rsidRDefault="00EE75C8">
      <w:pPr>
        <w:spacing w:after="100" w:line="259" w:lineRule="auto"/>
        <w:ind w:left="1841" w:firstLine="0"/>
        <w:jc w:val="left"/>
      </w:pPr>
      <w:r>
        <w:rPr>
          <w:b/>
        </w:rPr>
        <w:t xml:space="preserve"> </w:t>
      </w:r>
    </w:p>
    <w:p w:rsidR="007617AD" w:rsidRDefault="00EE75C8">
      <w:pPr>
        <w:spacing w:after="98" w:line="259" w:lineRule="auto"/>
        <w:ind w:left="1841" w:firstLine="0"/>
        <w:jc w:val="left"/>
      </w:pPr>
      <w:r>
        <w:rPr>
          <w:b/>
        </w:rPr>
        <w:t xml:space="preserve"> </w:t>
      </w:r>
    </w:p>
    <w:p w:rsidR="007617AD" w:rsidRDefault="00EE75C8">
      <w:pPr>
        <w:spacing w:after="98" w:line="259" w:lineRule="auto"/>
        <w:ind w:left="1841" w:firstLine="0"/>
        <w:jc w:val="left"/>
      </w:pPr>
      <w:r>
        <w:rPr>
          <w:rFonts w:ascii="Calibri" w:eastAsia="Calibri" w:hAnsi="Calibri" w:cs="Calibri"/>
          <w:noProof/>
        </w:rPr>
        <mc:AlternateContent>
          <mc:Choice Requires="wpg">
            <w:drawing>
              <wp:anchor distT="0" distB="0" distL="114300" distR="114300" simplePos="0" relativeHeight="251834368"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281707" name="Group 28170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8972" name="Rectangle 2897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8973" name="Rectangle 28973"/>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170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1707" style="width:12.7031pt;height:280.02pt;position:absolute;mso-position-horizontal-relative:page;mso-position-horizontal:absolute;margin-left:682.278pt;mso-position-vertical-relative:page;margin-top:531.9pt;" coordsize="1613,35562">
                <v:rect id="Rectangle 2897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8973"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170 de 192 </w:t>
                        </w:r>
                      </w:p>
                    </w:txbxContent>
                  </v:textbox>
                </v:rect>
                <w10:wrap type="topAndBottom"/>
              </v:group>
            </w:pict>
          </mc:Fallback>
        </mc:AlternateContent>
      </w:r>
      <w:r>
        <w:rPr>
          <w:b/>
        </w:rPr>
        <w:t xml:space="preserve"> </w:t>
      </w:r>
    </w:p>
    <w:p w:rsidR="007617AD" w:rsidRDefault="00EE75C8">
      <w:pPr>
        <w:spacing w:after="100" w:line="259" w:lineRule="auto"/>
        <w:ind w:left="1841" w:firstLine="0"/>
        <w:jc w:val="left"/>
      </w:pPr>
      <w:r>
        <w:rPr>
          <w:b/>
        </w:rPr>
        <w:t xml:space="preserve"> </w:t>
      </w:r>
    </w:p>
    <w:p w:rsidR="007617AD" w:rsidRDefault="00EE75C8">
      <w:pPr>
        <w:spacing w:after="98" w:line="259" w:lineRule="auto"/>
        <w:ind w:left="1841" w:firstLine="0"/>
        <w:jc w:val="left"/>
      </w:pPr>
      <w:r>
        <w:rPr>
          <w:b/>
        </w:rPr>
        <w:t xml:space="preserve"> </w:t>
      </w:r>
    </w:p>
    <w:p w:rsidR="007617AD" w:rsidRDefault="00EE75C8">
      <w:pPr>
        <w:spacing w:after="100" w:line="259" w:lineRule="auto"/>
        <w:ind w:left="1841" w:firstLine="0"/>
        <w:jc w:val="left"/>
      </w:pPr>
      <w:r>
        <w:rPr>
          <w:b/>
        </w:rPr>
        <w:t xml:space="preserve"> </w:t>
      </w:r>
    </w:p>
    <w:p w:rsidR="007617AD" w:rsidRDefault="00EE75C8">
      <w:pPr>
        <w:spacing w:after="98" w:line="259" w:lineRule="auto"/>
        <w:ind w:left="1841" w:firstLine="0"/>
        <w:jc w:val="left"/>
      </w:pPr>
      <w:r>
        <w:rPr>
          <w:b/>
        </w:rPr>
        <w:t xml:space="preserve"> </w:t>
      </w:r>
    </w:p>
    <w:p w:rsidR="007617AD" w:rsidRDefault="00EE75C8">
      <w:pPr>
        <w:spacing w:after="98" w:line="259" w:lineRule="auto"/>
        <w:ind w:left="1841" w:firstLine="0"/>
        <w:jc w:val="left"/>
      </w:pPr>
      <w:r>
        <w:rPr>
          <w:b/>
        </w:rPr>
        <w:t xml:space="preserve"> </w:t>
      </w:r>
    </w:p>
    <w:p w:rsidR="007617AD" w:rsidRDefault="00EE75C8">
      <w:pPr>
        <w:spacing w:after="100" w:line="259" w:lineRule="auto"/>
        <w:ind w:left="1841" w:firstLine="0"/>
        <w:jc w:val="left"/>
      </w:pPr>
      <w:r>
        <w:rPr>
          <w:b/>
        </w:rPr>
        <w:t xml:space="preserve"> </w:t>
      </w:r>
    </w:p>
    <w:p w:rsidR="007617AD" w:rsidRDefault="00EE75C8">
      <w:pPr>
        <w:spacing w:after="0" w:line="259" w:lineRule="auto"/>
        <w:ind w:left="1841" w:firstLine="0"/>
        <w:jc w:val="left"/>
      </w:pPr>
      <w:r>
        <w:rPr>
          <w:b/>
        </w:rPr>
        <w:t xml:space="preserve"> </w:t>
      </w:r>
    </w:p>
    <w:p w:rsidR="007617AD" w:rsidRDefault="00EE75C8">
      <w:pPr>
        <w:spacing w:after="100" w:line="259" w:lineRule="auto"/>
        <w:ind w:left="0" w:firstLine="0"/>
        <w:jc w:val="right"/>
      </w:pPr>
      <w:r>
        <w:rPr>
          <w:b/>
        </w:rPr>
        <w:t>Esta Alcaldía-</w:t>
      </w:r>
      <w:r>
        <w:rPr>
          <w:b/>
        </w:rPr>
        <w:t xml:space="preserve">Presidencia eleva al Pleno de la Corporación la siguiente propuesta: </w:t>
      </w:r>
    </w:p>
    <w:p w:rsidR="007617AD" w:rsidRDefault="00EE75C8">
      <w:pPr>
        <w:spacing w:after="98" w:line="259" w:lineRule="auto"/>
        <w:ind w:left="1841" w:firstLine="0"/>
        <w:jc w:val="left"/>
      </w:pPr>
      <w:r>
        <w:rPr>
          <w:b/>
        </w:rPr>
        <w:t xml:space="preserve"> </w:t>
      </w:r>
    </w:p>
    <w:p w:rsidR="007617AD" w:rsidRDefault="00EE75C8">
      <w:pPr>
        <w:ind w:left="703" w:right="58"/>
      </w:pPr>
      <w:r>
        <w:rPr>
          <w:b/>
        </w:rPr>
        <w:t xml:space="preserve">PRIMERO.- </w:t>
      </w:r>
      <w:r>
        <w:rPr>
          <w:b/>
        </w:rPr>
        <w:t>Aprobar por el Ayuntamiento de Candelaria la modificación de los plazos contemplados en el "Plan de Etapas" en el marco del Expediente 2017/11106 relativo al Emisario del Polígono Industrial del Valle de Güimar actualizado al objeto de adecuarlo al conveni</w:t>
      </w:r>
      <w:r>
        <w:rPr>
          <w:b/>
        </w:rPr>
        <w:t>o de cooperación interadministrativa entre el Consejo Insular de Aguas de Tenerife y los Ayuntamientos de Candelaria, Arafo y Güimar para la gestión de las infraestructuras de depuración y vertido de aguas residuales, urbanas e industriales, de los sistema</w:t>
      </w:r>
      <w:r>
        <w:rPr>
          <w:b/>
        </w:rPr>
        <w:t>s territoriales del Valle de Güimar y Polígono Industrial del Valle de Güimar quedando como sigue en formato texto y en el cronograma:</w:t>
      </w:r>
      <w:r>
        <w:t xml:space="preserve"> </w:t>
      </w:r>
    </w:p>
    <w:p w:rsidR="007617AD" w:rsidRDefault="00EE75C8">
      <w:pPr>
        <w:ind w:left="693" w:right="58" w:firstLine="1133"/>
      </w:pPr>
      <w:r>
        <w:rPr>
          <w:b/>
        </w:rPr>
        <w:t xml:space="preserve">1.- Del 26 de mayo a diciembre de 2022: Situación Intermedia V: Funcionamiento de la EDARI y prueba de instalaciones. </w:t>
      </w:r>
    </w:p>
    <w:p w:rsidR="007617AD" w:rsidRDefault="00EE75C8">
      <w:pPr>
        <w:tabs>
          <w:tab w:val="center" w:pos="708"/>
          <w:tab w:val="center" w:pos="3648"/>
        </w:tabs>
        <w:ind w:left="0" w:firstLine="0"/>
        <w:jc w:val="left"/>
      </w:pPr>
      <w:r>
        <w:rPr>
          <w:rFonts w:ascii="Calibri" w:eastAsia="Calibri" w:hAnsi="Calibri" w:cs="Calibri"/>
        </w:rPr>
        <w:tab/>
      </w:r>
      <w:r>
        <w:rPr>
          <w:b/>
        </w:rPr>
        <w:t xml:space="preserve"> </w:t>
      </w:r>
      <w:r>
        <w:rPr>
          <w:b/>
        </w:rPr>
        <w:tab/>
        <w:t xml:space="preserve">2.- Enero de 2023: Recepción de las obras. </w:t>
      </w:r>
    </w:p>
    <w:p w:rsidR="007617AD" w:rsidRDefault="00EE75C8">
      <w:pPr>
        <w:ind w:left="703" w:right="58"/>
      </w:pPr>
      <w:r>
        <w:rPr>
          <w:b/>
        </w:rPr>
        <w:t xml:space="preserve"> 3.- Febrero de 2023: Solicitud CIATF cambio de titularidad AVM y transmisión de la concesión DPMT. </w:t>
      </w:r>
    </w:p>
    <w:p w:rsidR="007617AD" w:rsidRDefault="00EE75C8">
      <w:pPr>
        <w:spacing w:after="95" w:line="259" w:lineRule="auto"/>
        <w:ind w:left="708" w:firstLine="0"/>
        <w:jc w:val="left"/>
      </w:pPr>
      <w:r>
        <w:rPr>
          <w:rFonts w:ascii="Calibri" w:eastAsia="Calibri" w:hAnsi="Calibri" w:cs="Calibri"/>
          <w:noProof/>
        </w:rPr>
        <mc:AlternateContent>
          <mc:Choice Requires="wpg">
            <w:drawing>
              <wp:anchor distT="0" distB="0" distL="114300" distR="114300" simplePos="0" relativeHeight="25183539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2264" name="Group 282264"/>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9045" name="Rectangle 2904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9046" name="Rectangle 29046"/>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w:t>
                              </w:r>
                              <w:r>
                                <w:rPr>
                                  <w:sz w:val="12"/>
                                </w:rPr>
                                <w:t xml:space="preserve">nto firmado electrónicamente desde la plataforma esPublico Gestiona | Página 171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2264" style="width:12.7031pt;height:280.02pt;position:absolute;mso-position-horizontal-relative:page;mso-position-horizontal:absolute;margin-left:682.278pt;mso-position-vertical-relative:page;margin-top:531.9pt;" coordsize="1613,35562">
                <v:rect id="Rectangle 2904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9046"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171 de 192 </w:t>
                        </w:r>
                      </w:p>
                    </w:txbxContent>
                  </v:textbox>
                </v:rect>
                <w10:wrap type="square"/>
              </v:group>
            </w:pict>
          </mc:Fallback>
        </mc:AlternateContent>
      </w:r>
      <w:r>
        <w:t xml:space="preserve"> </w:t>
      </w:r>
    </w:p>
    <w:p w:rsidR="007617AD" w:rsidRDefault="00EE75C8">
      <w:pPr>
        <w:spacing w:after="50" w:line="259" w:lineRule="auto"/>
        <w:ind w:left="0" w:right="534" w:firstLine="0"/>
        <w:jc w:val="right"/>
      </w:pPr>
      <w:r>
        <w:rPr>
          <w:noProof/>
        </w:rPr>
        <w:drawing>
          <wp:inline distT="0" distB="0" distL="0" distR="0">
            <wp:extent cx="5739385" cy="4271772"/>
            <wp:effectExtent l="0" t="0" r="0" b="0"/>
            <wp:docPr id="29042" name="Picture 29042"/>
            <wp:cNvGraphicFramePr/>
            <a:graphic xmlns:a="http://schemas.openxmlformats.org/drawingml/2006/main">
              <a:graphicData uri="http://schemas.openxmlformats.org/drawingml/2006/picture">
                <pic:pic xmlns:pic="http://schemas.openxmlformats.org/drawingml/2006/picture">
                  <pic:nvPicPr>
                    <pic:cNvPr id="29042" name="Picture 29042"/>
                    <pic:cNvPicPr/>
                  </pic:nvPicPr>
                  <pic:blipFill>
                    <a:blip r:embed="rId17"/>
                    <a:stretch>
                      <a:fillRect/>
                    </a:stretch>
                  </pic:blipFill>
                  <pic:spPr>
                    <a:xfrm>
                      <a:off x="0" y="0"/>
                      <a:ext cx="5739385" cy="4271772"/>
                    </a:xfrm>
                    <a:prstGeom prst="rect">
                      <a:avLst/>
                    </a:prstGeom>
                  </pic:spPr>
                </pic:pic>
              </a:graphicData>
            </a:graphic>
          </wp:inline>
        </w:drawing>
      </w:r>
      <w:r>
        <w:t xml:space="preserve"> </w:t>
      </w:r>
    </w:p>
    <w:p w:rsidR="007617AD" w:rsidRDefault="00EE75C8">
      <w:pPr>
        <w:ind w:left="693" w:right="58" w:firstLine="1133"/>
      </w:pPr>
      <w:r>
        <w:rPr>
          <w:b/>
        </w:rPr>
        <w:t>Segundo. - Notificar el presente acuerdo a la Consejería de Transición Ecológica, Lucha contra el Cambio Climático y Planificación Territorial del Gobierno de Can</w:t>
      </w:r>
      <w:r>
        <w:rPr>
          <w:b/>
        </w:rPr>
        <w:t xml:space="preserve">arias, al Consejo Insular de Aguas de Tenerife y a los Ayuntamientos de Arafo y Güimar.” </w:t>
      </w:r>
    </w:p>
    <w:p w:rsidR="007617AD" w:rsidRDefault="00EE75C8">
      <w:pPr>
        <w:spacing w:after="0" w:line="259" w:lineRule="auto"/>
        <w:ind w:left="708" w:firstLine="0"/>
        <w:jc w:val="left"/>
      </w:pPr>
      <w:r>
        <w:rPr>
          <w:rFonts w:ascii="Times New Roman" w:eastAsia="Times New Roman" w:hAnsi="Times New Roman" w:cs="Times New Roman"/>
          <w:b/>
          <w:sz w:val="24"/>
        </w:rPr>
        <w:t xml:space="preserve"> </w:t>
      </w:r>
    </w:p>
    <w:p w:rsidR="007617AD" w:rsidRDefault="00EE75C8">
      <w:pPr>
        <w:spacing w:after="0" w:line="259" w:lineRule="auto"/>
        <w:ind w:left="708" w:firstLine="0"/>
        <w:jc w:val="left"/>
      </w:pPr>
      <w:r>
        <w:rPr>
          <w:rFonts w:ascii="Times New Roman" w:eastAsia="Times New Roman" w:hAnsi="Times New Roman" w:cs="Times New Roman"/>
          <w:sz w:val="20"/>
        </w:rPr>
        <w:t xml:space="preserve"> </w:t>
      </w:r>
    </w:p>
    <w:p w:rsidR="007617AD" w:rsidRDefault="00EE75C8">
      <w:pPr>
        <w:spacing w:after="0"/>
        <w:ind w:left="703" w:right="58"/>
      </w:pPr>
      <w:r>
        <w:rPr>
          <w:b/>
        </w:rPr>
        <w:t xml:space="preserve">DICTAMEN FAVORABLE DE LA COMISIÓN INFORMATIVA DE P.G. URBANÍSTICA Y AMBIENTAL, OBRAS y SERVICIOS PÚBLICOS DE 27 DE JUNIO DE 2022.  </w:t>
      </w:r>
    </w:p>
    <w:p w:rsidR="007617AD" w:rsidRDefault="00EE75C8">
      <w:pPr>
        <w:spacing w:after="0" w:line="259" w:lineRule="auto"/>
        <w:ind w:left="708" w:firstLine="0"/>
        <w:jc w:val="left"/>
      </w:pPr>
      <w:r>
        <w:rPr>
          <w:b/>
        </w:rPr>
        <w:t xml:space="preserve"> </w:t>
      </w:r>
    </w:p>
    <w:p w:rsidR="007617AD" w:rsidRDefault="00EE75C8">
      <w:pPr>
        <w:spacing w:after="486"/>
        <w:ind w:left="703" w:right="62"/>
      </w:pPr>
      <w:r>
        <w:t xml:space="preserve">Votos a favor: 4  </w:t>
      </w:r>
    </w:p>
    <w:p w:rsidR="007617AD" w:rsidRDefault="00EE75C8">
      <w:pPr>
        <w:spacing w:after="488"/>
        <w:ind w:left="703" w:right="62"/>
      </w:pPr>
      <w:r>
        <w:t xml:space="preserve">Los </w:t>
      </w:r>
      <w:r>
        <w:t xml:space="preserve">4 concejales del Grupo Socialista: Don Reinaldo José Triviño Blanco, Don Jorge Baute Delgado, Doña Hilaria Cecilia Otazo González y Don José Francisco Pinto Ramos. </w:t>
      </w:r>
    </w:p>
    <w:p w:rsidR="007617AD" w:rsidRDefault="00EE75C8">
      <w:pPr>
        <w:spacing w:after="486"/>
        <w:ind w:left="703" w:right="62"/>
      </w:pPr>
      <w:r>
        <w:t xml:space="preserve">Votos en contra: 0. </w:t>
      </w:r>
    </w:p>
    <w:p w:rsidR="007617AD" w:rsidRDefault="00EE75C8">
      <w:pPr>
        <w:spacing w:after="486"/>
        <w:ind w:left="703" w:right="62"/>
      </w:pPr>
      <w:r>
        <w:t xml:space="preserve">Abstenciones: 2.  </w:t>
      </w:r>
    </w:p>
    <w:p w:rsidR="007617AD" w:rsidRDefault="00EE75C8">
      <w:pPr>
        <w:spacing w:after="486"/>
        <w:ind w:left="703" w:right="62"/>
      </w:pPr>
      <w:r>
        <w:t>Las dos concejales del Grupo Mixto: Doña Ángela Cru</w:t>
      </w:r>
      <w:r>
        <w:t xml:space="preserve">z Perera (CC-PNC)  y Doña Lourdes del Carmen Mondéjar Rondón (SSP). </w:t>
      </w:r>
    </w:p>
    <w:p w:rsidR="007617AD" w:rsidRDefault="00EE75C8">
      <w:pPr>
        <w:spacing w:after="0" w:line="259" w:lineRule="auto"/>
        <w:ind w:left="708" w:firstLine="0"/>
        <w:jc w:val="left"/>
      </w:pPr>
      <w:r>
        <w:rPr>
          <w:b/>
        </w:rPr>
        <w:t xml:space="preserve"> </w:t>
      </w:r>
    </w:p>
    <w:p w:rsidR="007617AD" w:rsidRDefault="00EE75C8">
      <w:pPr>
        <w:spacing w:after="11"/>
        <w:ind w:left="703" w:right="58"/>
      </w:pPr>
      <w:r>
        <w:rPr>
          <w:rFonts w:ascii="Calibri" w:eastAsia="Calibri" w:hAnsi="Calibri" w:cs="Calibri"/>
          <w:noProof/>
        </w:rPr>
        <mc:AlternateContent>
          <mc:Choice Requires="wpg">
            <w:drawing>
              <wp:anchor distT="0" distB="0" distL="114300" distR="114300" simplePos="0" relativeHeight="25183641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2600" name="Group 28260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9142" name="Rectangle 2914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9143" name="Rectangle 29143"/>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plataforma esPublico Gestiona | Página</w:t>
                              </w:r>
                              <w:r>
                                <w:rPr>
                                  <w:sz w:val="12"/>
                                </w:rPr>
                                <w:t xml:space="preserve"> 172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2600" style="width:12.7031pt;height:280.02pt;position:absolute;mso-position-horizontal-relative:page;mso-position-horizontal:absolute;margin-left:682.278pt;mso-position-vertical-relative:page;margin-top:531.9pt;" coordsize="1613,35562">
                <v:rect id="Rectangle 2914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9143"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172 de 192 </w:t>
                        </w:r>
                      </w:p>
                    </w:txbxContent>
                  </v:textbox>
                </v:rect>
                <w10:wrap type="square"/>
              </v:group>
            </w:pict>
          </mc:Fallback>
        </mc:AlternateContent>
      </w:r>
      <w:r>
        <w:rPr>
          <w:b/>
        </w:rPr>
        <w:t xml:space="preserve">JUNTA DE PORTAVOCES DE 27 DE JUNIO DE 2022.  </w:t>
      </w:r>
    </w:p>
    <w:p w:rsidR="007617AD" w:rsidRDefault="00EE75C8">
      <w:pPr>
        <w:spacing w:after="11"/>
        <w:ind w:left="703" w:right="62"/>
      </w:pPr>
      <w:r>
        <w:t xml:space="preserve">Quedó oída.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11"/>
        <w:ind w:left="703" w:right="58"/>
      </w:pPr>
      <w:r>
        <w:rPr>
          <w:b/>
        </w:rPr>
        <w:t xml:space="preserve">VOTACIÓN EN EL PLENO DE 30 DE JUNIO DE 2022. </w:t>
      </w:r>
    </w:p>
    <w:p w:rsidR="007617AD" w:rsidRDefault="00EE75C8">
      <w:pPr>
        <w:spacing w:after="0" w:line="259" w:lineRule="auto"/>
        <w:ind w:left="708" w:firstLine="0"/>
        <w:jc w:val="left"/>
      </w:pPr>
      <w:r>
        <w:rPr>
          <w:b/>
        </w:rPr>
        <w:t xml:space="preserve"> </w:t>
      </w:r>
    </w:p>
    <w:p w:rsidR="007617AD" w:rsidRDefault="00EE75C8">
      <w:pPr>
        <w:spacing w:after="11"/>
        <w:ind w:left="703" w:right="62"/>
      </w:pPr>
      <w:r>
        <w:t xml:space="preserve">Votos a favor: 10. </w:t>
      </w:r>
    </w:p>
    <w:p w:rsidR="007617AD" w:rsidRDefault="00EE75C8">
      <w:pPr>
        <w:ind w:left="703" w:right="62"/>
      </w:pPr>
      <w:r>
        <w:t>7 concejales del Grupo Socialista: Doña María Concepción Brito Núñez, Doña Olivia Concepción Pérez Díaz, Don José Francisco Pinto Ramos, Doña Hilaria Cecilia Otazo González, Don Manuel Alberto González Pestano, Don Olegario Francisco Alonso Bello y Don Rei</w:t>
      </w:r>
      <w:r>
        <w:t xml:space="preserve">naldo José Triviño Blanco. </w:t>
      </w:r>
    </w:p>
    <w:p w:rsidR="007617AD" w:rsidRDefault="00EE75C8">
      <w:pPr>
        <w:ind w:left="703" w:right="62"/>
      </w:pPr>
      <w:r>
        <w:t xml:space="preserve">1 del concejal del Grupo Popular, Don Jacobo López Fariña. </w:t>
      </w:r>
    </w:p>
    <w:p w:rsidR="007617AD" w:rsidRDefault="00EE75C8">
      <w:pPr>
        <w:ind w:left="703" w:right="62"/>
      </w:pPr>
      <w:r>
        <w:t xml:space="preserve">1 de la concejal del Grupo Mixto (CC-PNC): Doña Ángela Cruz Perera. </w:t>
      </w:r>
    </w:p>
    <w:p w:rsidR="007617AD" w:rsidRDefault="00EE75C8">
      <w:pPr>
        <w:numPr>
          <w:ilvl w:val="0"/>
          <w:numId w:val="91"/>
        </w:numPr>
        <w:ind w:left="877" w:right="62" w:hanging="184"/>
      </w:pPr>
      <w:r>
        <w:t xml:space="preserve">de la concejal del Grupo Mixto (VxC): Doña Alicia Mercedes Marrero Meneses. </w:t>
      </w:r>
    </w:p>
    <w:p w:rsidR="007617AD" w:rsidRDefault="00EE75C8">
      <w:pPr>
        <w:ind w:left="703" w:right="62"/>
      </w:pPr>
      <w:r>
        <w:t xml:space="preserve">Votos en contra: 2. </w:t>
      </w:r>
    </w:p>
    <w:p w:rsidR="007617AD" w:rsidRDefault="00EE75C8">
      <w:pPr>
        <w:numPr>
          <w:ilvl w:val="0"/>
          <w:numId w:val="91"/>
        </w:numPr>
        <w:ind w:left="877" w:right="62" w:hanging="184"/>
      </w:pPr>
      <w:r>
        <w:t>d</w:t>
      </w:r>
      <w:r>
        <w:t xml:space="preserve">e los concejales del Grupo Mixto (SSP), Doña Lourdes del Carmen Mondéjar Rondón y Don Antonio Delgado García. </w:t>
      </w:r>
    </w:p>
    <w:p w:rsidR="007617AD" w:rsidRDefault="00EE75C8">
      <w:pPr>
        <w:ind w:left="703" w:right="62"/>
      </w:pPr>
      <w:r>
        <w:t xml:space="preserve">Abstenciones: 0. </w:t>
      </w:r>
    </w:p>
    <w:p w:rsidR="007617AD" w:rsidRDefault="00EE75C8">
      <w:pPr>
        <w:spacing w:after="5" w:line="234" w:lineRule="auto"/>
        <w:ind w:left="708" w:right="9572" w:firstLine="0"/>
        <w:jc w:val="left"/>
      </w:pPr>
      <w:r>
        <w:rPr>
          <w:b/>
        </w:rPr>
        <w:t xml:space="preserve"> </w:t>
      </w:r>
      <w:r>
        <w:rPr>
          <w:rFonts w:ascii="Times New Roman" w:eastAsia="Times New Roman" w:hAnsi="Times New Roman" w:cs="Times New Roman"/>
          <w:b/>
          <w:sz w:val="24"/>
        </w:rPr>
        <w:t xml:space="preserve"> </w:t>
      </w:r>
    </w:p>
    <w:p w:rsidR="007617AD" w:rsidRDefault="00EE75C8">
      <w:pPr>
        <w:spacing w:after="0" w:line="259" w:lineRule="auto"/>
        <w:ind w:left="708" w:firstLine="0"/>
        <w:jc w:val="left"/>
      </w:pPr>
      <w:r>
        <w:rPr>
          <w:rFonts w:ascii="Times New Roman" w:eastAsia="Times New Roman" w:hAnsi="Times New Roman" w:cs="Times New Roman"/>
          <w:b/>
          <w:sz w:val="24"/>
        </w:rPr>
        <w:t xml:space="preserve"> </w:t>
      </w:r>
    </w:p>
    <w:p w:rsidR="007617AD" w:rsidRDefault="00EE75C8">
      <w:pPr>
        <w:pStyle w:val="Ttulo4"/>
        <w:spacing w:after="0"/>
        <w:ind w:left="905" w:right="257"/>
      </w:pPr>
      <w:r>
        <w:t xml:space="preserve">ACUERDO DEL PLENO DE 30 DE JUNIO DE 2022 </w:t>
      </w:r>
    </w:p>
    <w:p w:rsidR="007617AD" w:rsidRDefault="00EE75C8">
      <w:pPr>
        <w:spacing w:after="0" w:line="259" w:lineRule="auto"/>
        <w:ind w:left="699" w:firstLine="0"/>
        <w:jc w:val="center"/>
      </w:pPr>
      <w:r>
        <w:rPr>
          <w:b/>
        </w:rPr>
        <w:t xml:space="preserve"> </w:t>
      </w:r>
    </w:p>
    <w:p w:rsidR="007617AD" w:rsidRDefault="00EE75C8">
      <w:pPr>
        <w:ind w:left="703" w:right="58"/>
      </w:pPr>
      <w:r>
        <w:rPr>
          <w:b/>
        </w:rPr>
        <w:t xml:space="preserve">PRIMERO.- </w:t>
      </w:r>
      <w:r>
        <w:rPr>
          <w:b/>
        </w:rPr>
        <w:t>Aprobar por el Ayuntamiento de Candelaria la modificación de los plazos contemplados en el "Plan de Etapas" en el marco del Expediente 2017/11106 relativo al Emisario del Polígono Industrial del Valle de Güimar actualizado al objeto de adecuarlo al conveni</w:t>
      </w:r>
      <w:r>
        <w:rPr>
          <w:b/>
        </w:rPr>
        <w:t>o de cooperación interadministrativa entre el Consejo Insular de Aguas de Tenerife y los Ayuntamientos de Candelaria, Arafo y Güimar para la gestión de las infraestructuras de depuración y vertido de aguas residuales, urbanas e industriales, de los sistema</w:t>
      </w:r>
      <w:r>
        <w:rPr>
          <w:b/>
        </w:rPr>
        <w:t>s territoriales del Valle de Güimar y Polígono Industrial del Valle de Güimar quedando como sigue en formato texto y en el cronograma:</w:t>
      </w:r>
      <w:r>
        <w:t xml:space="preserve"> </w:t>
      </w:r>
    </w:p>
    <w:p w:rsidR="007617AD" w:rsidRDefault="00EE75C8">
      <w:pPr>
        <w:ind w:left="693" w:right="58" w:firstLine="1133"/>
      </w:pPr>
      <w:r>
        <w:rPr>
          <w:b/>
        </w:rPr>
        <w:t xml:space="preserve">1.- Del 26 de mayo a diciembre de 2022: Situación Intermedia V: Funcionamiento de la EDARI y prueba de instalaciones. </w:t>
      </w:r>
    </w:p>
    <w:p w:rsidR="007617AD" w:rsidRDefault="00EE75C8">
      <w:pPr>
        <w:tabs>
          <w:tab w:val="center" w:pos="708"/>
          <w:tab w:val="center" w:pos="3647"/>
        </w:tabs>
        <w:ind w:left="0" w:firstLine="0"/>
        <w:jc w:val="left"/>
      </w:pPr>
      <w:r>
        <w:rPr>
          <w:rFonts w:ascii="Calibri" w:eastAsia="Calibri" w:hAnsi="Calibri" w:cs="Calibri"/>
        </w:rPr>
        <w:tab/>
      </w:r>
      <w:r>
        <w:rPr>
          <w:b/>
        </w:rPr>
        <w:t xml:space="preserve"> </w:t>
      </w:r>
      <w:r>
        <w:rPr>
          <w:b/>
        </w:rPr>
        <w:tab/>
        <w:t xml:space="preserve">2.- Enero de 2023: Recepción de las obras. </w:t>
      </w:r>
    </w:p>
    <w:p w:rsidR="007617AD" w:rsidRDefault="00EE75C8">
      <w:pPr>
        <w:ind w:left="703" w:right="58"/>
      </w:pPr>
      <w:r>
        <w:rPr>
          <w:b/>
        </w:rPr>
        <w:t xml:space="preserve"> 3.- Febrero de 2023: Solicitud CIATF cambio de titularidad AVM y transmisión de la concesión DPMT. </w:t>
      </w:r>
    </w:p>
    <w:p w:rsidR="007617AD" w:rsidRDefault="00EE75C8">
      <w:pPr>
        <w:spacing w:after="95" w:line="259" w:lineRule="auto"/>
        <w:ind w:left="708" w:firstLine="0"/>
        <w:jc w:val="left"/>
      </w:pPr>
      <w:r>
        <w:rPr>
          <w:rFonts w:ascii="Calibri" w:eastAsia="Calibri" w:hAnsi="Calibri" w:cs="Calibri"/>
          <w:noProof/>
        </w:rPr>
        <mc:AlternateContent>
          <mc:Choice Requires="wpg">
            <w:drawing>
              <wp:anchor distT="0" distB="0" distL="114300" distR="114300" simplePos="0" relativeHeight="25183744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2889" name="Group 28288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9225" name="Rectangle 2922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9226" name="Rectangle 29226"/>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w:t>
                              </w:r>
                              <w:r>
                                <w:rPr>
                                  <w:sz w:val="12"/>
                                </w:rPr>
                                <w:t xml:space="preserve">nto firmado electrónicamente desde la plataforma esPublico Gestiona | Página 173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2889" style="width:12.7031pt;height:280.02pt;position:absolute;mso-position-horizontal-relative:page;mso-position-horizontal:absolute;margin-left:682.278pt;mso-position-vertical-relative:page;margin-top:531.9pt;" coordsize="1613,35562">
                <v:rect id="Rectangle 2922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9226"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173 de 192 </w:t>
                        </w:r>
                      </w:p>
                    </w:txbxContent>
                  </v:textbox>
                </v:rect>
                <w10:wrap type="square"/>
              </v:group>
            </w:pict>
          </mc:Fallback>
        </mc:AlternateContent>
      </w:r>
      <w:r>
        <w:t xml:space="preserve"> </w:t>
      </w:r>
    </w:p>
    <w:p w:rsidR="007617AD" w:rsidRDefault="00EE75C8">
      <w:pPr>
        <w:spacing w:after="50" w:line="259" w:lineRule="auto"/>
        <w:ind w:left="0" w:right="534" w:firstLine="0"/>
        <w:jc w:val="right"/>
      </w:pPr>
      <w:r>
        <w:rPr>
          <w:noProof/>
        </w:rPr>
        <w:drawing>
          <wp:inline distT="0" distB="0" distL="0" distR="0">
            <wp:extent cx="5739385" cy="4271772"/>
            <wp:effectExtent l="0" t="0" r="0" b="0"/>
            <wp:docPr id="29222" name="Picture 29222"/>
            <wp:cNvGraphicFramePr/>
            <a:graphic xmlns:a="http://schemas.openxmlformats.org/drawingml/2006/main">
              <a:graphicData uri="http://schemas.openxmlformats.org/drawingml/2006/picture">
                <pic:pic xmlns:pic="http://schemas.openxmlformats.org/drawingml/2006/picture">
                  <pic:nvPicPr>
                    <pic:cNvPr id="29222" name="Picture 29222"/>
                    <pic:cNvPicPr/>
                  </pic:nvPicPr>
                  <pic:blipFill>
                    <a:blip r:embed="rId17"/>
                    <a:stretch>
                      <a:fillRect/>
                    </a:stretch>
                  </pic:blipFill>
                  <pic:spPr>
                    <a:xfrm>
                      <a:off x="0" y="0"/>
                      <a:ext cx="5739385" cy="4271772"/>
                    </a:xfrm>
                    <a:prstGeom prst="rect">
                      <a:avLst/>
                    </a:prstGeom>
                  </pic:spPr>
                </pic:pic>
              </a:graphicData>
            </a:graphic>
          </wp:inline>
        </w:drawing>
      </w:r>
      <w:r>
        <w:t xml:space="preserve"> </w:t>
      </w:r>
    </w:p>
    <w:p w:rsidR="007617AD" w:rsidRDefault="00EE75C8">
      <w:pPr>
        <w:spacing w:after="33"/>
        <w:ind w:left="693" w:right="58" w:firstLine="1133"/>
      </w:pPr>
      <w:r>
        <w:rPr>
          <w:b/>
        </w:rPr>
        <w:t>Segundo. - Notificar el presente acuerdo a la Consejería de Transición Ecológica, Lucha contra el Cambio Climático y Planificación Territorial del Gobierno de Can</w:t>
      </w:r>
      <w:r>
        <w:rPr>
          <w:b/>
        </w:rPr>
        <w:t xml:space="preserve">arias, al </w:t>
      </w:r>
    </w:p>
    <w:p w:rsidR="007617AD" w:rsidRDefault="00EE75C8">
      <w:pPr>
        <w:ind w:left="703" w:right="58"/>
      </w:pPr>
      <w:r>
        <w:rPr>
          <w:b/>
        </w:rPr>
        <w:t xml:space="preserve">Consejo Insular de Aguas de Tenerife y a los Ayuntamientos de Arafo y Güimar.” </w:t>
      </w:r>
    </w:p>
    <w:p w:rsidR="007617AD" w:rsidRDefault="00EE75C8">
      <w:pPr>
        <w:spacing w:after="101" w:line="241" w:lineRule="auto"/>
        <w:ind w:left="703" w:right="56"/>
      </w:pPr>
      <w:r>
        <w:rPr>
          <w:b/>
          <w:sz w:val="24"/>
        </w:rPr>
        <w:t>7.- Expediente 6212/2022. Moción del grupo Mixto con nº de Registro de entrada (2022-E-RE-</w:t>
      </w:r>
      <w:r>
        <w:rPr>
          <w:b/>
          <w:sz w:val="24"/>
        </w:rPr>
        <w:t xml:space="preserve">2999) del 15 de junio para la creación de un plan de apoyo emocional para jóvenes. </w:t>
      </w:r>
    </w:p>
    <w:p w:rsidR="007617AD" w:rsidRDefault="00EE75C8">
      <w:pPr>
        <w:spacing w:after="100" w:line="259" w:lineRule="auto"/>
        <w:ind w:left="708" w:firstLine="0"/>
        <w:jc w:val="left"/>
      </w:pPr>
      <w:r>
        <w:rPr>
          <w:b/>
        </w:rPr>
        <w:t xml:space="preserve"> </w:t>
      </w:r>
    </w:p>
    <w:p w:rsidR="007617AD" w:rsidRDefault="00EE75C8">
      <w:pPr>
        <w:spacing w:after="11"/>
        <w:ind w:left="703" w:right="58"/>
      </w:pPr>
      <w:r>
        <w:rPr>
          <w:b/>
        </w:rPr>
        <w:t xml:space="preserve">Consta en el expediente electrónico la referida moción que se inserta literalmente: </w:t>
      </w:r>
    </w:p>
    <w:p w:rsidR="007617AD" w:rsidRDefault="00EE75C8">
      <w:pPr>
        <w:spacing w:after="98"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rPr>
          <w:noProof/>
        </w:rPr>
        <w:drawing>
          <wp:inline distT="0" distB="0" distL="0" distR="0">
            <wp:extent cx="1139952" cy="1001268"/>
            <wp:effectExtent l="0" t="0" r="0" b="0"/>
            <wp:docPr id="29328" name="Picture 29328"/>
            <wp:cNvGraphicFramePr/>
            <a:graphic xmlns:a="http://schemas.openxmlformats.org/drawingml/2006/main">
              <a:graphicData uri="http://schemas.openxmlformats.org/drawingml/2006/picture">
                <pic:pic xmlns:pic="http://schemas.openxmlformats.org/drawingml/2006/picture">
                  <pic:nvPicPr>
                    <pic:cNvPr id="29328" name="Picture 29328"/>
                    <pic:cNvPicPr/>
                  </pic:nvPicPr>
                  <pic:blipFill>
                    <a:blip r:embed="rId18"/>
                    <a:stretch>
                      <a:fillRect/>
                    </a:stretch>
                  </pic:blipFill>
                  <pic:spPr>
                    <a:xfrm>
                      <a:off x="0" y="0"/>
                      <a:ext cx="1139952" cy="1001268"/>
                    </a:xfrm>
                    <a:prstGeom prst="rect">
                      <a:avLst/>
                    </a:prstGeom>
                  </pic:spPr>
                </pic:pic>
              </a:graphicData>
            </a:graphic>
          </wp:inline>
        </w:drawing>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p w:rsidR="007617AD" w:rsidRDefault="00EE75C8">
      <w:pPr>
        <w:spacing w:after="87"/>
        <w:ind w:left="703" w:right="58"/>
      </w:pPr>
      <w:r>
        <w:rPr>
          <w:b/>
        </w:rPr>
        <w:t xml:space="preserve">Candelaria  </w:t>
      </w:r>
    </w:p>
    <w:p w:rsidR="007617AD" w:rsidRDefault="00EE75C8">
      <w:pPr>
        <w:spacing w:after="79" w:line="259" w:lineRule="auto"/>
        <w:ind w:left="694" w:firstLine="0"/>
        <w:jc w:val="left"/>
      </w:pPr>
      <w:r>
        <w:rPr>
          <w:b/>
        </w:rPr>
        <w:t xml:space="preserve"> </w:t>
      </w:r>
    </w:p>
    <w:p w:rsidR="007617AD" w:rsidRDefault="00EE75C8">
      <w:pPr>
        <w:spacing w:after="88"/>
        <w:ind w:left="1626" w:right="58"/>
      </w:pPr>
      <w:r>
        <w:rPr>
          <w:b/>
        </w:rPr>
        <w:t xml:space="preserve">                                                    MOCIÓN </w:t>
      </w:r>
    </w:p>
    <w:p w:rsidR="007617AD" w:rsidRDefault="00EE75C8">
      <w:pPr>
        <w:ind w:left="1827" w:right="58" w:hanging="893"/>
      </w:pPr>
      <w:r>
        <w:rPr>
          <w:b/>
        </w:rPr>
        <w:t>“P</w:t>
      </w:r>
      <w:r>
        <w:rPr>
          <w:b/>
        </w:rPr>
        <w:t>ROPUESTA DE COALICIÓN CANARIA EN EL GRUPO MIXTO, EN RELACIÓN CON LA CREACIÓN DE UN PLAN DE APOYO EMOCIONAL PARA JÓVENES</w:t>
      </w:r>
      <w:r>
        <w:rPr>
          <w:rFonts w:ascii="Times New Roman" w:eastAsia="Times New Roman" w:hAnsi="Times New Roman" w:cs="Times New Roman"/>
          <w:sz w:val="24"/>
        </w:rPr>
        <w:t xml:space="preserve"> </w:t>
      </w:r>
    </w:p>
    <w:p w:rsidR="007617AD" w:rsidRDefault="00EE75C8">
      <w:pPr>
        <w:spacing w:after="120" w:line="259" w:lineRule="auto"/>
        <w:ind w:left="708" w:firstLine="0"/>
        <w:jc w:val="left"/>
      </w:pPr>
      <w:r>
        <w:rPr>
          <w:rFonts w:ascii="Calibri" w:eastAsia="Calibri" w:hAnsi="Calibri" w:cs="Calibri"/>
          <w:noProof/>
        </w:rPr>
        <mc:AlternateContent>
          <mc:Choice Requires="wpg">
            <w:drawing>
              <wp:anchor distT="0" distB="0" distL="114300" distR="114300" simplePos="0" relativeHeight="25183846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3707" name="Group 28370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9331" name="Rectangle 2933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9332" name="Rectangle 29332"/>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174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3707" style="width:12.7031pt;height:280.02pt;position:absolute;mso-position-horizontal-relative:page;mso-position-horizontal:absolute;margin-left:682.278pt;mso-position-vertical-relative:page;margin-top:531.9pt;" coordsize="1613,35562">
                <v:rect id="Rectangle 2933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9332"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174 de 192 </w:t>
                        </w:r>
                      </w:p>
                    </w:txbxContent>
                  </v:textbox>
                </v:rect>
                <w10:wrap type="square"/>
              </v:group>
            </w:pict>
          </mc:Fallback>
        </mc:AlternateContent>
      </w:r>
      <w:r>
        <w:rPr>
          <w:sz w:val="20"/>
        </w:rPr>
        <w:t xml:space="preserve"> </w:t>
      </w:r>
    </w:p>
    <w:p w:rsidR="007617AD" w:rsidRDefault="00EE75C8">
      <w:pPr>
        <w:spacing w:after="0"/>
        <w:ind w:left="703" w:right="62"/>
      </w:pPr>
      <w:r>
        <w:t>La adolescencia es una de las fases de la vida más fascinante y quizás la más compleja. Una época en la que la juventud asume nuevas responsabilidades y experi</w:t>
      </w:r>
      <w:r>
        <w:t xml:space="preserve">menta la necesidad de ser independientes.  </w:t>
      </w:r>
    </w:p>
    <w:p w:rsidR="007617AD" w:rsidRDefault="00EE75C8">
      <w:pPr>
        <w:spacing w:after="0" w:line="259" w:lineRule="auto"/>
        <w:ind w:left="704" w:firstLine="0"/>
        <w:jc w:val="left"/>
      </w:pPr>
      <w:r>
        <w:t xml:space="preserve">  </w:t>
      </w:r>
    </w:p>
    <w:p w:rsidR="007617AD" w:rsidRDefault="00EE75C8">
      <w:pPr>
        <w:spacing w:after="0"/>
        <w:ind w:left="703" w:right="62"/>
      </w:pPr>
      <w:r>
        <w:t xml:space="preserve">La juventud busca su identidad, aprenden a poner en práctica valores adquiridos durante la infancia y, a desarrollar habilidades que les permitirán convertirse en adultos atentos y responsables. </w:t>
      </w:r>
    </w:p>
    <w:p w:rsidR="007617AD" w:rsidRDefault="00EE75C8">
      <w:pPr>
        <w:spacing w:after="0" w:line="259" w:lineRule="auto"/>
        <w:ind w:left="704" w:firstLine="0"/>
        <w:jc w:val="left"/>
      </w:pPr>
      <w:r>
        <w:t xml:space="preserve">   </w:t>
      </w:r>
    </w:p>
    <w:p w:rsidR="007617AD" w:rsidRDefault="00EE75C8">
      <w:pPr>
        <w:spacing w:after="0"/>
        <w:ind w:left="703" w:right="62"/>
      </w:pPr>
      <w:r>
        <w:t>Durante e</w:t>
      </w:r>
      <w:r>
        <w:t xml:space="preserve">ste periodo, el apoyo de la población adulta es fundamental si queremos que la población joven se incorpore plenamente a sus familias y a la sociedad, dispuestos a mejorar su entorno. </w:t>
      </w:r>
    </w:p>
    <w:p w:rsidR="007617AD" w:rsidRDefault="00EE75C8">
      <w:pPr>
        <w:spacing w:after="0" w:line="259" w:lineRule="auto"/>
        <w:ind w:left="704" w:firstLine="0"/>
        <w:jc w:val="left"/>
      </w:pPr>
      <w:r>
        <w:t xml:space="preserve"> </w:t>
      </w:r>
    </w:p>
    <w:p w:rsidR="007617AD" w:rsidRDefault="00EE75C8">
      <w:pPr>
        <w:spacing w:after="0"/>
        <w:ind w:left="703" w:right="62"/>
      </w:pPr>
      <w:r>
        <w:t xml:space="preserve">Llenos de energía y curiosidad la juventud tiene en sus manos la capacidad de cambiar los modelos de conducta sociales negativos, de romper con la violencia y la discriminación. </w:t>
      </w:r>
    </w:p>
    <w:p w:rsidR="007617AD" w:rsidRDefault="00EE75C8">
      <w:pPr>
        <w:spacing w:after="0" w:line="259" w:lineRule="auto"/>
        <w:ind w:left="704" w:firstLine="0"/>
        <w:jc w:val="left"/>
      </w:pPr>
      <w:r>
        <w:t xml:space="preserve">   </w:t>
      </w:r>
    </w:p>
    <w:p w:rsidR="007617AD" w:rsidRDefault="00EE75C8">
      <w:pPr>
        <w:spacing w:after="260"/>
        <w:ind w:left="703" w:right="62"/>
      </w:pPr>
      <w:r>
        <w:t>La adolescencia es también una fase de la vida en la que las dificultades</w:t>
      </w:r>
      <w:r>
        <w:t xml:space="preserve"> emocionales y afectivas son frecuentes, y últimamente se han visto incrementadas como consecuencia de la situación sanitaria generada por el COVID 19, que ha incidido directamente sobre su calidad de vida, su bienestar y su desarrollo. No ha sido hasta de</w:t>
      </w:r>
      <w:r>
        <w:t xml:space="preserve">spués del estallido de la pandemia causada por el Covid -19 cuando la salud mental ha dejado de ser tabú no solo en la sociedad, sino también en los medios de comunicación.   </w:t>
      </w:r>
    </w:p>
    <w:p w:rsidR="007617AD" w:rsidRDefault="00EE75C8">
      <w:pPr>
        <w:spacing w:after="0"/>
        <w:ind w:left="703" w:right="62"/>
      </w:pPr>
      <w:r>
        <w:t>Desde los mismos centros educativos se nos transmite la preocupación por el camb</w:t>
      </w:r>
      <w:r>
        <w:t>io de actitud de muchos jóvenes que, a raíz de esta pandemia, han atravesado por situaciones que han supuesto un cambio radical en su manera de relacionarse dando lugar a situaciones muy complejas. La crisis económica que venimos sufriendo a causa de la si</w:t>
      </w:r>
      <w:r>
        <w:t>tuación global, unida al problema de la población juvenil para acceder al mercado laboral, no han hecho sino empeorar aún más la situación, ocasionando que muchos jóvenes se encuentran sometidos a estrés y tensión emocional ante el futuro incierto que se l</w:t>
      </w:r>
      <w:r>
        <w:t xml:space="preserve">es presenta.  </w:t>
      </w:r>
    </w:p>
    <w:p w:rsidR="007617AD" w:rsidRDefault="00EE75C8">
      <w:pPr>
        <w:spacing w:after="0" w:line="259" w:lineRule="auto"/>
        <w:ind w:left="704" w:firstLine="0"/>
        <w:jc w:val="left"/>
      </w:pPr>
      <w:r>
        <w:t xml:space="preserve">  </w:t>
      </w:r>
    </w:p>
    <w:p w:rsidR="007617AD" w:rsidRDefault="00EE75C8">
      <w:pPr>
        <w:spacing w:after="14"/>
        <w:ind w:left="703" w:right="62"/>
      </w:pPr>
      <w:r>
        <w:t>La decana del Colegio Oficial de Psicólogos de Santa Cruz de Tenerife, Carmen Linares asegura que los psicólogos de Canarias se muestran “asustados” por el “aumento considerable” de las</w:t>
      </w:r>
      <w:r>
        <w:rPr>
          <w:b/>
        </w:rPr>
        <w:t xml:space="preserve"> tentativas de suicidios entre los jóvenes</w:t>
      </w:r>
      <w:r>
        <w:t xml:space="preserve"> </w:t>
      </w:r>
      <w:r>
        <w:t>de las islas. La institución recibe “cada vez más” mails y llamadas “pidiendo ayuda” porque “la gente no tiene medios y no tiene la posibilidad de acceder tampoco a un profesional en un centro de salud”. Además, ha denunciado que</w:t>
      </w:r>
      <w:r>
        <w:rPr>
          <w:b/>
        </w:rPr>
        <w:t xml:space="preserve"> </w:t>
      </w:r>
      <w:r>
        <w:t>la media “para ser atendid</w:t>
      </w:r>
      <w:r>
        <w:t xml:space="preserve">o” por un psicólogo “pasó de 6 a más de 9 meses”. </w:t>
      </w:r>
      <w:r>
        <w:rPr>
          <w:rFonts w:ascii="Times New Roman" w:eastAsia="Times New Roman" w:hAnsi="Times New Roman" w:cs="Times New Roman"/>
          <w:sz w:val="24"/>
        </w:rPr>
        <w:t xml:space="preserve"> </w:t>
      </w:r>
    </w:p>
    <w:p w:rsidR="007617AD" w:rsidRDefault="00EE75C8">
      <w:pPr>
        <w:spacing w:after="0" w:line="259" w:lineRule="auto"/>
        <w:ind w:left="704" w:firstLine="0"/>
        <w:jc w:val="left"/>
      </w:pPr>
      <w:r>
        <w:t xml:space="preserve">  </w:t>
      </w:r>
    </w:p>
    <w:p w:rsidR="007617AD" w:rsidRDefault="00EE75C8">
      <w:pPr>
        <w:ind w:left="703" w:right="62"/>
      </w:pPr>
      <w:r>
        <w:t>Linares asegura que el suicidio no se debe a una sola causa, y que en estos dos últimos años la juventud ha tenido que soportar además la presión “de ser considerados uno de los focos donde se ha puest</w:t>
      </w:r>
      <w:r>
        <w:t xml:space="preserve">o la responsabilidad de la pandemia” por el simple hecho de “ser jóvenes”.   </w:t>
      </w:r>
    </w:p>
    <w:p w:rsidR="007617AD" w:rsidRDefault="00EE75C8">
      <w:pPr>
        <w:spacing w:after="0" w:line="259" w:lineRule="auto"/>
        <w:ind w:left="708" w:firstLine="0"/>
        <w:jc w:val="left"/>
      </w:pPr>
      <w:r>
        <w:t xml:space="preserve">  </w:t>
      </w:r>
    </w:p>
    <w:p w:rsidR="007617AD" w:rsidRDefault="00EE75C8">
      <w:pPr>
        <w:spacing w:after="20"/>
        <w:ind w:left="703" w:right="62"/>
      </w:pPr>
      <w:r>
        <w:t>Actualmente el Sistema Canario de Salud cuenta con apenas 127 psicólogos públicos. El psicólogo Felipe Lagarejo, coordinador del Grupo de Trabajo de Suicidio del Colegio Ofici</w:t>
      </w:r>
      <w:r>
        <w:t>al de Psicología de Santa Cruz de Tenerife, reprocha que el Gobierno de Canarias elabore un Programa de Prevención de Conductas Suicidas sin contratar más psicólogos. “El suicidio es ya un imperativo moral, pero no se habla de él porque no existe ninguna f</w:t>
      </w:r>
      <w:r>
        <w:t xml:space="preserve">armacéutica que pueda crear una pastilla que lo cure”, asevera. Para Lagarejo, no solo hacen falta más profesionales, sino también formación y presupuesto. </w:t>
      </w:r>
    </w:p>
    <w:p w:rsidR="007617AD" w:rsidRDefault="00EE75C8">
      <w:pPr>
        <w:spacing w:after="0" w:line="259" w:lineRule="auto"/>
        <w:ind w:left="704" w:firstLine="0"/>
        <w:jc w:val="left"/>
      </w:pPr>
      <w:r>
        <w:rPr>
          <w:rFonts w:ascii="Calibri" w:eastAsia="Calibri" w:hAnsi="Calibri" w:cs="Calibri"/>
          <w:noProof/>
        </w:rPr>
        <mc:AlternateContent>
          <mc:Choice Requires="wpg">
            <w:drawing>
              <wp:anchor distT="0" distB="0" distL="114300" distR="114300" simplePos="0" relativeHeight="25183948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4408" name="Group 28440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9439" name="Rectangle 2943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Verificación: https://candelaria.sedelectronica.es/</w:t>
                              </w:r>
                              <w:r>
                                <w:rPr>
                                  <w:sz w:val="12"/>
                                </w:rPr>
                                <w:t xml:space="preserve"> </w:t>
                              </w:r>
                            </w:p>
                          </w:txbxContent>
                        </wps:txbx>
                        <wps:bodyPr horzOverflow="overflow" vert="horz" lIns="0" tIns="0" rIns="0" bIns="0" rtlCol="0">
                          <a:noAutofit/>
                        </wps:bodyPr>
                      </wps:wsp>
                      <wps:wsp>
                        <wps:cNvPr id="29440" name="Rectangle 29440"/>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175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4408" style="width:12.7031pt;height:280.02pt;position:absolute;mso-position-horizontal-relative:page;mso-position-horizontal:absolute;margin-left:682.278pt;mso-position-vertical-relative:page;margin-top:531.9pt;" coordsize="1613,35562">
                <v:rect id="Rectangle 2943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9440"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175 de 192 </w:t>
                        </w:r>
                      </w:p>
                    </w:txbxContent>
                  </v:textbox>
                </v:rect>
                <w10:wrap type="square"/>
              </v:group>
            </w:pict>
          </mc:Fallback>
        </mc:AlternateContent>
      </w:r>
      <w:r>
        <w:t xml:space="preserve">   </w:t>
      </w:r>
    </w:p>
    <w:p w:rsidR="007617AD" w:rsidRDefault="00EE75C8">
      <w:pPr>
        <w:spacing w:after="0"/>
        <w:ind w:left="703" w:right="62"/>
      </w:pPr>
      <w:r>
        <w:t xml:space="preserve">Desde Coalición Canaria consideramos imprescindible poner en marcha un </w:t>
      </w:r>
      <w:r>
        <w:rPr>
          <w:b/>
        </w:rPr>
        <w:t>Plan de Apoyo Emocional</w:t>
      </w:r>
      <w:r>
        <w:t xml:space="preserve"> promovido por el Consistorio candelariero, con el objetivo</w:t>
      </w:r>
      <w:r>
        <w:t xml:space="preserve"> de crear espacios para la escucha y ayuda a nuestros jóvenes. Espacios donde se les ofrezca recursos y herramientas dirigidos en todo momento por profesionales con experiencia en la materia, que trabajen la educación emocional y su crecimiento personal, p</w:t>
      </w:r>
      <w:r>
        <w:t xml:space="preserve">ara prevenir situaciones de vulnerabilidad y de crisis personal, que los ayuden a enfrentarse y superar sus miedos. </w:t>
      </w:r>
      <w:r>
        <w:rPr>
          <w:rFonts w:ascii="Times New Roman" w:eastAsia="Times New Roman" w:hAnsi="Times New Roman" w:cs="Times New Roman"/>
          <w:sz w:val="24"/>
        </w:rPr>
        <w:t xml:space="preserve"> </w:t>
      </w:r>
    </w:p>
    <w:p w:rsidR="007617AD" w:rsidRDefault="00EE75C8">
      <w:pPr>
        <w:spacing w:after="0" w:line="259" w:lineRule="auto"/>
        <w:ind w:left="704" w:firstLine="0"/>
        <w:jc w:val="left"/>
      </w:pPr>
      <w:r>
        <w:t xml:space="preserve">  </w:t>
      </w:r>
    </w:p>
    <w:p w:rsidR="007617AD" w:rsidRDefault="00EE75C8">
      <w:pPr>
        <w:spacing w:after="0"/>
        <w:ind w:left="703" w:right="62"/>
      </w:pPr>
      <w:r>
        <w:t>Una asesoría psicosocial, de carácter confidencial y gratuito que preste apoyo personalizado a la población joven y adolescente que nec</w:t>
      </w:r>
      <w:r>
        <w:t xml:space="preserve">esite afianzar su autoconocimiento, su autorregulación emocional y recuperar la confianza en sí mismos, como medio de alcanzar el bienestar personal y una vida social plena e integradora. Y en la que los casos que lo requieran, serán derivados a servicios </w:t>
      </w:r>
      <w:r>
        <w:t xml:space="preserve">asistenciales específicos.  </w:t>
      </w:r>
    </w:p>
    <w:p w:rsidR="007617AD" w:rsidRDefault="00EE75C8">
      <w:pPr>
        <w:spacing w:after="0" w:line="259" w:lineRule="auto"/>
        <w:ind w:left="704" w:firstLine="0"/>
        <w:jc w:val="left"/>
      </w:pPr>
      <w:r>
        <w:t xml:space="preserve"> </w:t>
      </w:r>
    </w:p>
    <w:p w:rsidR="007617AD" w:rsidRDefault="00EE75C8">
      <w:pPr>
        <w:spacing w:after="1"/>
        <w:ind w:left="703" w:right="62"/>
      </w:pPr>
      <w:r>
        <w:t>Somos conscientes en Coalición Canaria de la carencia de competencias que en materia sanitaria y específicamente en salud mental tienen las Administraciones Locales, correspondiendo esta a las Comunidades Autónomas. Así, la Ley 11/1994, de 26 de julio de O</w:t>
      </w:r>
      <w:r>
        <w:t xml:space="preserve">rdenación Sanitaria de Canarias, en su artículo 23.k) establece entre las funciones de la estructura pública sanitaria de Canarias la “Promoción y protección de la salud mental, y prevención de los factores de riesgo en este ámbito”.  </w:t>
      </w:r>
    </w:p>
    <w:p w:rsidR="007617AD" w:rsidRDefault="00EE75C8">
      <w:pPr>
        <w:spacing w:after="0" w:line="259" w:lineRule="auto"/>
        <w:ind w:left="704" w:firstLine="0"/>
        <w:jc w:val="left"/>
      </w:pPr>
      <w:r>
        <w:t xml:space="preserve"> </w:t>
      </w:r>
    </w:p>
    <w:p w:rsidR="007617AD" w:rsidRDefault="00EE75C8">
      <w:pPr>
        <w:spacing w:after="0"/>
        <w:ind w:left="703" w:right="62"/>
      </w:pPr>
      <w:r>
        <w:t>Somos también cono</w:t>
      </w:r>
      <w:r>
        <w:t xml:space="preserve">cedores que el Ayuntamiento de Candelaria, a través de su Concejalía de Servicios Sociales contó en su momento con un servicio de asesoramiento y apoyo psicosocial telefónico durante los momentos más graves de la pandemia y que asímismo, periódicamente se </w:t>
      </w:r>
      <w:r>
        <w:t xml:space="preserve">realizan acciones de prevención en adiciones, educación afectivo sexual, prevención del absentismo escolar, violencia de género, igualdad, prevención de riesgos en el uso de las redes sociales y la gestión de emociones, entre otras.  </w:t>
      </w:r>
    </w:p>
    <w:p w:rsidR="007617AD" w:rsidRDefault="00EE75C8">
      <w:pPr>
        <w:spacing w:after="0" w:line="259" w:lineRule="auto"/>
        <w:ind w:left="704" w:firstLine="0"/>
        <w:jc w:val="left"/>
      </w:pPr>
      <w:r>
        <w:t xml:space="preserve"> </w:t>
      </w:r>
    </w:p>
    <w:p w:rsidR="007617AD" w:rsidRDefault="00EE75C8">
      <w:pPr>
        <w:spacing w:after="0"/>
        <w:ind w:left="703" w:right="62"/>
      </w:pPr>
      <w:r>
        <w:t>A la vista de que l</w:t>
      </w:r>
      <w:r>
        <w:t>as competencias en salud mental corresponden a la CC.AA. Canaria y considerando que los problemas emocionales y afectivos en la población juvenil, ocasionados por los tiempos que nos ha tocado vivir, no son exclusivos del municipio de Candelaria sino que a</w:t>
      </w:r>
      <w:r>
        <w:t>fectan a gran parte de la población joven de los 88 municipios de la Comunidad Autónoma Canaria es razonable, en atención a los principios de eficiencia y economía, que dicho Plan de Apoyo Emocional a la población joven se articule a nivel regional propici</w:t>
      </w:r>
      <w:r>
        <w:t xml:space="preserve">ando la cooperación y coordinación de las diferentes administraciones públicas.   </w:t>
      </w:r>
    </w:p>
    <w:p w:rsidR="007617AD" w:rsidRDefault="00EE75C8">
      <w:pPr>
        <w:spacing w:after="0" w:line="259" w:lineRule="auto"/>
        <w:ind w:left="708" w:firstLine="0"/>
        <w:jc w:val="left"/>
      </w:pPr>
      <w:r>
        <w:t xml:space="preserve">  </w:t>
      </w:r>
    </w:p>
    <w:p w:rsidR="007617AD" w:rsidRDefault="00EE75C8">
      <w:pPr>
        <w:spacing w:after="16" w:line="259" w:lineRule="auto"/>
        <w:ind w:left="3108" w:firstLine="0"/>
        <w:jc w:val="left"/>
      </w:pPr>
      <w:r>
        <w:t xml:space="preserve">  </w:t>
      </w:r>
      <w:r>
        <w:tab/>
        <w:t xml:space="preserve">  </w:t>
      </w:r>
    </w:p>
    <w:p w:rsidR="007617AD" w:rsidRDefault="00EE75C8">
      <w:pPr>
        <w:spacing w:after="0"/>
        <w:ind w:left="703" w:right="62"/>
      </w:pPr>
      <w:r>
        <w:t>Así mismo, resulta necesario que la Administración Regional dote en los presupuestos generales de la Comunidad Autónoma de recursos suficientes destinados a los Ayu</w:t>
      </w:r>
      <w:r>
        <w:t xml:space="preserve">ntamientos, para la implantación de servicios de asesoría psicosocial, como fórmula más rápida de ayudar a la población vulnerable que necesite asistencia psicosocial.  </w:t>
      </w:r>
    </w:p>
    <w:p w:rsidR="007617AD" w:rsidRDefault="00EE75C8">
      <w:pPr>
        <w:spacing w:after="0" w:line="259" w:lineRule="auto"/>
        <w:ind w:left="704" w:firstLine="0"/>
        <w:jc w:val="left"/>
      </w:pPr>
      <w:r>
        <w:t xml:space="preserve"> </w:t>
      </w:r>
    </w:p>
    <w:p w:rsidR="007617AD" w:rsidRDefault="00EE75C8">
      <w:pPr>
        <w:spacing w:after="0"/>
        <w:ind w:left="703" w:right="62"/>
      </w:pPr>
      <w:r>
        <w:t>Por todo lo expuesto, Coalición Canaria en el Ayuntamiento de Candelaria presenta pa</w:t>
      </w:r>
      <w:r>
        <w:t xml:space="preserve">ra su estudio, debate y aprobación si procede, los siguientes ACUERDOS:  </w:t>
      </w:r>
    </w:p>
    <w:p w:rsidR="007617AD" w:rsidRDefault="00EE75C8">
      <w:pPr>
        <w:spacing w:after="0" w:line="259" w:lineRule="auto"/>
        <w:ind w:left="704" w:firstLine="0"/>
        <w:jc w:val="left"/>
      </w:pPr>
      <w:r>
        <w:t xml:space="preserve"> </w:t>
      </w:r>
    </w:p>
    <w:p w:rsidR="007617AD" w:rsidRDefault="00EE75C8">
      <w:pPr>
        <w:spacing w:after="143"/>
        <w:ind w:left="703" w:right="58"/>
      </w:pPr>
      <w:r>
        <w:rPr>
          <w:rFonts w:ascii="Calibri" w:eastAsia="Calibri" w:hAnsi="Calibri" w:cs="Calibri"/>
          <w:noProof/>
        </w:rPr>
        <mc:AlternateContent>
          <mc:Choice Requires="wpg">
            <w:drawing>
              <wp:anchor distT="0" distB="0" distL="114300" distR="114300" simplePos="0" relativeHeight="25184051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2993" name="Group 282993"/>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9547" name="Rectangle 2954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9548" name="Rectangle 29548"/>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176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2993" style="width:12.7031pt;height:280.02pt;position:absolute;mso-position-horizontal-relative:page;mso-position-horizontal:absolute;margin-left:682.278pt;mso-position-vertical-relative:page;margin-top:531.9pt;" coordsize="1613,35562">
                <v:rect id="Rectangle 2954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9548"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176 de 192 </w:t>
                        </w:r>
                      </w:p>
                    </w:txbxContent>
                  </v:textbox>
                </v:rect>
                <w10:wrap type="square"/>
              </v:group>
            </w:pict>
          </mc:Fallback>
        </mc:AlternateContent>
      </w:r>
      <w:r>
        <w:rPr>
          <w:b/>
        </w:rPr>
        <w:t>1.- Instar al Gobierno de la Comunidad Autónoma de Canarias a que elabore un Plan Regional para la prestación de apoyo emocional y psicológico dirigido a los y l</w:t>
      </w:r>
      <w:r>
        <w:rPr>
          <w:b/>
        </w:rPr>
        <w:t xml:space="preserve">as jóvenes de Canarias.  </w:t>
      </w:r>
      <w:r>
        <w:rPr>
          <w:rFonts w:ascii="Times New Roman" w:eastAsia="Times New Roman" w:hAnsi="Times New Roman" w:cs="Times New Roman"/>
          <w:sz w:val="24"/>
        </w:rPr>
        <w:t xml:space="preserve"> </w:t>
      </w:r>
    </w:p>
    <w:p w:rsidR="007617AD" w:rsidRDefault="00EE75C8">
      <w:pPr>
        <w:spacing w:after="143"/>
        <w:ind w:left="703" w:right="58"/>
      </w:pPr>
      <w:r>
        <w:rPr>
          <w:b/>
        </w:rPr>
        <w:t>2.- Instar al Gobierno de la Comunidad Autónoma de Canarias a dotar en los Presupuestos Generales una partida de gastos con destino a cofinanciar con los Ayuntamientos de la Región la implantación del servicio público de Asistenc</w:t>
      </w:r>
      <w:r>
        <w:rPr>
          <w:b/>
        </w:rPr>
        <w:t xml:space="preserve">ia Psicosocial para jóvenes.  </w:t>
      </w:r>
      <w:r>
        <w:rPr>
          <w:rFonts w:ascii="Times New Roman" w:eastAsia="Times New Roman" w:hAnsi="Times New Roman" w:cs="Times New Roman"/>
          <w:sz w:val="24"/>
        </w:rPr>
        <w:t xml:space="preserve"> </w:t>
      </w:r>
    </w:p>
    <w:p w:rsidR="007617AD" w:rsidRDefault="00EE75C8">
      <w:pPr>
        <w:spacing w:after="143"/>
        <w:ind w:left="703" w:right="58"/>
      </w:pPr>
      <w:r>
        <w:rPr>
          <w:b/>
        </w:rPr>
        <w:t xml:space="preserve">3.- Instar a la FECAM a exigir al Gobierno de Canarias el desarrollo del Plan Regional para prestación de apoyo emocional y psicológico dirigido a los y </w:t>
      </w:r>
      <w:r>
        <w:rPr>
          <w:b/>
        </w:rPr>
        <w:t xml:space="preserve">las jóvenes de Canarias y, a la implantación cofinanciada de un servicio público de asistencia psicosocial para jóvenes en los Ayuntamientos canarios, en cooperación y coordinación con la Comunidad Autónoma de Canarias.  </w:t>
      </w:r>
      <w:r>
        <w:rPr>
          <w:rFonts w:ascii="Times New Roman" w:eastAsia="Times New Roman" w:hAnsi="Times New Roman" w:cs="Times New Roman"/>
          <w:sz w:val="24"/>
        </w:rPr>
        <w:t xml:space="preserve"> </w:t>
      </w:r>
    </w:p>
    <w:p w:rsidR="007617AD" w:rsidRDefault="00EE75C8">
      <w:pPr>
        <w:spacing w:after="142"/>
        <w:ind w:left="703" w:right="58"/>
      </w:pPr>
      <w:r>
        <w:rPr>
          <w:b/>
        </w:rPr>
        <w:t>4.- El Ayuntamiento de Candelaria</w:t>
      </w:r>
      <w:r>
        <w:rPr>
          <w:b/>
        </w:rPr>
        <w:t>, se compromete a impartir talleres y cursos de inteligencia emocional, prevención de drogodependencias y adicciones, educación afectivo sexual, prevención del absentismo escolar, prevención del acoso escolar, prevención de la violencia de género, prevenci</w:t>
      </w:r>
      <w:r>
        <w:rPr>
          <w:b/>
        </w:rPr>
        <w:t xml:space="preserve">ón de riesgos en el uso de las Redes Sociales y la gestión de emociones, entre otros, coordinados a través de las distintas concejalías: Juventud, Educación, Bienestar Social, Mujer e Igualdad, Cultura, etc.  </w:t>
      </w:r>
      <w:r>
        <w:rPr>
          <w:rFonts w:ascii="Times New Roman" w:eastAsia="Times New Roman" w:hAnsi="Times New Roman" w:cs="Times New Roman"/>
          <w:sz w:val="24"/>
        </w:rPr>
        <w:t xml:space="preserve"> </w:t>
      </w:r>
    </w:p>
    <w:p w:rsidR="007617AD" w:rsidRDefault="00EE75C8">
      <w:pPr>
        <w:spacing w:after="144"/>
        <w:ind w:left="703" w:right="58"/>
      </w:pPr>
      <w:r>
        <w:rPr>
          <w:b/>
        </w:rPr>
        <w:t>5.- Instar al Servicio Canario de Salud a que</w:t>
      </w:r>
      <w:r>
        <w:rPr>
          <w:b/>
        </w:rPr>
        <w:t xml:space="preserve"> en cumplimiento de sus competencias refuerce los servicios de Atención Primaria: se cree el servicio de Salud Mental en el Centro de Salud del municipio de Candelaria, y se amplíe la ratio de psicólogos/as en Atención Primaria para la reducción de las lis</w:t>
      </w:r>
      <w:r>
        <w:rPr>
          <w:b/>
        </w:rPr>
        <w:t>tas de espera.”</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ind w:left="703" w:right="58"/>
      </w:pPr>
      <w:r>
        <w:rPr>
          <w:b/>
        </w:rPr>
        <w:t xml:space="preserve">DICTAMEN FAVORABLE DE LA COMISIÓN INFORMATIVA DE SERVICIOS A LAS PERSONAS DE 27 DE JUNIO DE 2022. </w:t>
      </w:r>
    </w:p>
    <w:p w:rsidR="007617AD" w:rsidRDefault="00EE75C8">
      <w:pPr>
        <w:spacing w:after="0" w:line="259" w:lineRule="auto"/>
        <w:ind w:left="708" w:firstLine="0"/>
        <w:jc w:val="left"/>
      </w:pPr>
      <w:r>
        <w:rPr>
          <w:b/>
        </w:rPr>
        <w:t xml:space="preserve"> </w:t>
      </w:r>
    </w:p>
    <w:p w:rsidR="007617AD" w:rsidRDefault="00EE75C8">
      <w:pPr>
        <w:spacing w:after="11"/>
        <w:ind w:left="703" w:right="62"/>
      </w:pPr>
      <w:r>
        <w:t xml:space="preserve">Votos a favor: 1. </w:t>
      </w:r>
    </w:p>
    <w:p w:rsidR="007617AD" w:rsidRDefault="00EE75C8">
      <w:pPr>
        <w:spacing w:after="11"/>
        <w:ind w:left="703" w:right="62"/>
      </w:pPr>
      <w:r>
        <w:t xml:space="preserve">1 de la concejal del Grupo Mixto: Doña Lourdes del Carmen Mondéjar Rondón.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Votos en contra: 0. </w:t>
      </w:r>
    </w:p>
    <w:p w:rsidR="007617AD" w:rsidRDefault="00EE75C8">
      <w:pPr>
        <w:spacing w:after="0" w:line="259" w:lineRule="auto"/>
        <w:ind w:left="708" w:firstLine="0"/>
        <w:jc w:val="left"/>
      </w:pPr>
      <w:r>
        <w:t xml:space="preserve"> </w:t>
      </w:r>
    </w:p>
    <w:p w:rsidR="007617AD" w:rsidRDefault="00EE75C8">
      <w:pPr>
        <w:spacing w:after="11"/>
        <w:ind w:left="703" w:right="62"/>
      </w:pPr>
      <w:r>
        <w:t>Abstenciones:</w:t>
      </w:r>
      <w:r>
        <w:t xml:space="preserve"> 5. </w:t>
      </w:r>
    </w:p>
    <w:p w:rsidR="007617AD" w:rsidRDefault="00EE75C8">
      <w:pPr>
        <w:spacing w:after="11"/>
        <w:ind w:left="703" w:right="62"/>
      </w:pPr>
      <w:r>
        <w:t xml:space="preserve">4 de los concejales del Grupo Socialista: </w:t>
      </w:r>
    </w:p>
    <w:p w:rsidR="007617AD" w:rsidRDefault="00EE75C8">
      <w:pPr>
        <w:spacing w:after="0"/>
        <w:ind w:left="703" w:right="62"/>
      </w:pPr>
      <w:r>
        <w:t xml:space="preserve">Doña Olivia Concepción Pérez Díaz, Don Manuel Alberto González Pestano, Doña Margarita Eva Tendero Barroso y Don Airam Pérez Chinea.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1 de la concejal del Grupo Mixto (Vxc): Doña Alicia Mercedes Marrero Meneses.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rPr>
          <w:b/>
        </w:rPr>
        <w:t xml:space="preserve"> </w:t>
      </w:r>
    </w:p>
    <w:p w:rsidR="007617AD" w:rsidRDefault="00EE75C8">
      <w:pPr>
        <w:spacing w:after="11"/>
        <w:ind w:left="703" w:right="58"/>
      </w:pPr>
      <w:r>
        <w:rPr>
          <w:b/>
        </w:rPr>
        <w:t xml:space="preserve">JUNTA DE PORTAVOCES DE 27 DE JUNIO DE 2022.  </w:t>
      </w:r>
    </w:p>
    <w:p w:rsidR="007617AD" w:rsidRDefault="00EE75C8">
      <w:pPr>
        <w:spacing w:after="11"/>
        <w:ind w:left="703" w:right="62"/>
      </w:pPr>
      <w:r>
        <w:t xml:space="preserve">Quedó oída.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11"/>
        <w:ind w:left="703" w:right="58"/>
      </w:pPr>
      <w:r>
        <w:rPr>
          <w:b/>
        </w:rPr>
        <w:t xml:space="preserve">VOTACIÓN EN EL PLENO DE 30 DE JUNIO DE 2022.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Votos a favor: </w:t>
      </w:r>
    </w:p>
    <w:p w:rsidR="007617AD" w:rsidRDefault="00EE75C8">
      <w:pPr>
        <w:spacing w:after="11"/>
        <w:ind w:left="703" w:right="62"/>
      </w:pPr>
      <w:r>
        <w:rPr>
          <w:rFonts w:ascii="Calibri" w:eastAsia="Calibri" w:hAnsi="Calibri" w:cs="Calibri"/>
          <w:noProof/>
        </w:rPr>
        <mc:AlternateContent>
          <mc:Choice Requires="wpg">
            <w:drawing>
              <wp:anchor distT="0" distB="0" distL="114300" distR="114300" simplePos="0" relativeHeight="25184153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3089" name="Group 28308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9657" name="Rectangle 2965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w:t>
                              </w:r>
                              <w:r>
                                <w:rPr>
                                  <w:sz w:val="12"/>
                                </w:rPr>
                                <w:t xml:space="preserve"> | Verificación: https://candelaria.sedelectronica.es/ </w:t>
                              </w:r>
                            </w:p>
                          </w:txbxContent>
                        </wps:txbx>
                        <wps:bodyPr horzOverflow="overflow" vert="horz" lIns="0" tIns="0" rIns="0" bIns="0" rtlCol="0">
                          <a:noAutofit/>
                        </wps:bodyPr>
                      </wps:wsp>
                      <wps:wsp>
                        <wps:cNvPr id="29658" name="Rectangle 29658"/>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177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3089" style="width:12.7031pt;height:280.02pt;position:absolute;mso-position-horizontal-relative:page;mso-position-horizontal:absolute;margin-left:682.278pt;mso-position-vertical-relative:page;margin-top:531.9pt;" coordsize="1613,35562">
                <v:rect id="Rectangle 2965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9658"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177 de 192 </w:t>
                        </w:r>
                      </w:p>
                    </w:txbxContent>
                  </v:textbox>
                </v:rect>
                <w10:wrap type="square"/>
              </v:group>
            </w:pict>
          </mc:Fallback>
        </mc:AlternateContent>
      </w:r>
      <w:r>
        <w:t xml:space="preserve">La unanimidad de los 13 concejales: </w:t>
      </w:r>
    </w:p>
    <w:p w:rsidR="007617AD" w:rsidRDefault="00EE75C8">
      <w:pPr>
        <w:ind w:left="703" w:right="62"/>
      </w:pPr>
      <w:r>
        <w:t>8 concejales del Grupo Socialista: Doña María Concepción Brito Núñez, Doña Olivia Concepción Pérez Díaz, Don José Francisco Pinto Ramos, Doña Hilaria Cecilia Otazo González, Don Airam Pérez Chinea, Don Manuel Alberto González Pestano, Don Olegario Francisc</w:t>
      </w:r>
      <w:r>
        <w:t xml:space="preserve">o Alonso Bello y Don Reinaldo José Triviño Blanco. </w:t>
      </w:r>
    </w:p>
    <w:p w:rsidR="007617AD" w:rsidRDefault="00EE75C8">
      <w:pPr>
        <w:numPr>
          <w:ilvl w:val="0"/>
          <w:numId w:val="92"/>
        </w:numPr>
        <w:ind w:left="877" w:right="62" w:hanging="184"/>
      </w:pPr>
      <w:r>
        <w:t xml:space="preserve">del concejal del Grupo Popular, Don Jacobo López Fariña. </w:t>
      </w:r>
    </w:p>
    <w:p w:rsidR="007617AD" w:rsidRDefault="00EE75C8">
      <w:pPr>
        <w:numPr>
          <w:ilvl w:val="0"/>
          <w:numId w:val="92"/>
        </w:numPr>
        <w:ind w:left="877" w:right="62" w:hanging="184"/>
      </w:pPr>
      <w:r>
        <w:t xml:space="preserve">de los concejales del Grupo Mixto (SSP), Doña Lourdes del Carmen Mondéjar Rondón y Don Antonio Delgado García. </w:t>
      </w:r>
    </w:p>
    <w:p w:rsidR="007617AD" w:rsidRDefault="00EE75C8">
      <w:pPr>
        <w:ind w:left="703" w:right="62"/>
      </w:pPr>
      <w:r>
        <w:t>1 de la concejal del Grupo Mixto (</w:t>
      </w:r>
      <w:r>
        <w:t xml:space="preserve">CC-PNC): Doña Ángela Cruz Perera. </w:t>
      </w:r>
    </w:p>
    <w:p w:rsidR="007617AD" w:rsidRDefault="00EE75C8">
      <w:pPr>
        <w:ind w:left="703" w:right="62"/>
      </w:pPr>
      <w:r>
        <w:t xml:space="preserve">1 de la concejal del Grupo Mixto (VxC): Doña Alicia Mercedes Marrero Meneses.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65" w:lineRule="auto"/>
        <w:ind w:left="905" w:right="259"/>
        <w:jc w:val="center"/>
      </w:pPr>
      <w:r>
        <w:rPr>
          <w:b/>
        </w:rPr>
        <w:t xml:space="preserve">ACUERDO DEL PLENO DE 30 DE JUNIO DE 2022.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143"/>
        <w:ind w:left="703" w:right="58"/>
      </w:pPr>
      <w:r>
        <w:rPr>
          <w:b/>
        </w:rPr>
        <w:t xml:space="preserve">1.- </w:t>
      </w:r>
      <w:r>
        <w:rPr>
          <w:b/>
        </w:rPr>
        <w:t xml:space="preserve">Instar al Gobierno de la Comunidad Autónoma de Canarias a que elabore un Plan Regional para la prestación de apoyo emocional y psicológico dirigido a los y las jóvenes de Canarias.  </w:t>
      </w:r>
      <w:r>
        <w:rPr>
          <w:rFonts w:ascii="Times New Roman" w:eastAsia="Times New Roman" w:hAnsi="Times New Roman" w:cs="Times New Roman"/>
          <w:sz w:val="24"/>
        </w:rPr>
        <w:t xml:space="preserve"> </w:t>
      </w:r>
    </w:p>
    <w:p w:rsidR="007617AD" w:rsidRDefault="00EE75C8">
      <w:pPr>
        <w:ind w:left="703" w:right="58"/>
      </w:pPr>
      <w:r>
        <w:rPr>
          <w:b/>
        </w:rPr>
        <w:t>2.- Instar al Gobierno de la Comunidad Autónoma de Canarias a dotar en l</w:t>
      </w:r>
      <w:r>
        <w:rPr>
          <w:b/>
        </w:rPr>
        <w:t xml:space="preserve">os Presupuestos Generales una partida de gastos con destino a cofinanciar con los Ayuntamientos de la Región la implantación del servicio público de Asistencia Psicosocial para jóvenes.  </w:t>
      </w:r>
      <w:r>
        <w:rPr>
          <w:rFonts w:ascii="Times New Roman" w:eastAsia="Times New Roman" w:hAnsi="Times New Roman" w:cs="Times New Roman"/>
          <w:sz w:val="24"/>
        </w:rPr>
        <w:t xml:space="preserve"> </w:t>
      </w:r>
    </w:p>
    <w:p w:rsidR="007617AD" w:rsidRDefault="00EE75C8">
      <w:pPr>
        <w:spacing w:after="142"/>
        <w:ind w:left="703" w:right="58"/>
      </w:pPr>
      <w:r>
        <w:rPr>
          <w:b/>
        </w:rPr>
        <w:t>3.- Instar a la FECAM a exigir al Gobierno de Canarias el desarroll</w:t>
      </w:r>
      <w:r>
        <w:rPr>
          <w:b/>
        </w:rPr>
        <w:t>o del Plan Regional para prestación de apoyo emocional y psicológico dirigido a los y las jóvenes de Canarias y, a la implantación cofinanciada de un servicio público de asistencia psicosocial para jóvenes en los Ayuntamientos canarios, en cooperación y co</w:t>
      </w:r>
      <w:r>
        <w:rPr>
          <w:b/>
        </w:rPr>
        <w:t xml:space="preserve">ordinación con la Comunidad Autónoma de Canarias.  </w:t>
      </w:r>
      <w:r>
        <w:rPr>
          <w:rFonts w:ascii="Times New Roman" w:eastAsia="Times New Roman" w:hAnsi="Times New Roman" w:cs="Times New Roman"/>
          <w:sz w:val="24"/>
        </w:rPr>
        <w:t xml:space="preserve"> </w:t>
      </w:r>
    </w:p>
    <w:p w:rsidR="007617AD" w:rsidRDefault="00EE75C8">
      <w:pPr>
        <w:spacing w:after="140"/>
        <w:ind w:left="703" w:right="58"/>
      </w:pPr>
      <w:r>
        <w:rPr>
          <w:b/>
        </w:rPr>
        <w:t>4.- Instar al Servicio Canario de Salud a que en cumplimiento de sus competencias refuerce los servicios de Atención Primaria: se cree el servicio de Salud Mental en el Centro de Salud del municipio de C</w:t>
      </w:r>
      <w:r>
        <w:rPr>
          <w:b/>
        </w:rPr>
        <w:t>andelaria, y se amplíe la ratio de psicólogos/as en Atención Primaria para la reducción de las listas de espera.”</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842560" behindDoc="0" locked="0" layoutInCell="1" allowOverlap="1">
                <wp:simplePos x="0" y="0"/>
                <wp:positionH relativeFrom="page">
                  <wp:posOffset>8664935</wp:posOffset>
                </wp:positionH>
                <wp:positionV relativeFrom="page">
                  <wp:posOffset>6755130</wp:posOffset>
                </wp:positionV>
                <wp:extent cx="161330" cy="3556254"/>
                <wp:effectExtent l="0" t="0" r="0" b="0"/>
                <wp:wrapTopAndBottom/>
                <wp:docPr id="282716" name="Group 28271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9754" name="Rectangle 2975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29755" name="Rectangle 29755"/>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178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2716" style="width:12.7031pt;height:280.02pt;position:absolute;mso-position-horizontal-relative:page;mso-position-horizontal:absolute;margin-left:682.278pt;mso-position-vertical-relative:page;margin-top:531.9pt;" coordsize="1613,35562">
                <v:rect id="Rectangle 2975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9755"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178 de 192 </w:t>
                        </w:r>
                      </w:p>
                    </w:txbxContent>
                  </v:textbox>
                </v:rect>
                <w10:wrap type="topAndBottom"/>
              </v:group>
            </w:pict>
          </mc:Fallback>
        </mc:AlternateContent>
      </w:r>
      <w:r>
        <w:rPr>
          <w:b/>
        </w:rP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101" w:line="241" w:lineRule="auto"/>
        <w:ind w:left="703" w:right="56"/>
      </w:pPr>
      <w:r>
        <w:rPr>
          <w:b/>
          <w:sz w:val="24"/>
        </w:rPr>
        <w:t>8.- Expediente 6146/2022. Moción del grupo Mixto con nº de Registro de entrada (2022-E-RE-</w:t>
      </w:r>
      <w:r>
        <w:rPr>
          <w:b/>
          <w:sz w:val="24"/>
        </w:rPr>
        <w:t>2957) del 14 de junio para impulsar la implantación en Candelaria, del Carnet Joven Local orientado a personas entre 14 y 30 años.</w:t>
      </w:r>
      <w:r>
        <w:t xml:space="preserve"> </w:t>
      </w:r>
    </w:p>
    <w:p w:rsidR="007617AD" w:rsidRDefault="00EE75C8">
      <w:pPr>
        <w:spacing w:after="93" w:line="259" w:lineRule="auto"/>
        <w:ind w:left="708" w:firstLine="0"/>
        <w:jc w:val="left"/>
      </w:pPr>
      <w:r>
        <w:rPr>
          <w:b/>
          <w:sz w:val="24"/>
        </w:rPr>
        <w:t xml:space="preserve"> </w:t>
      </w:r>
    </w:p>
    <w:p w:rsidR="007617AD" w:rsidRDefault="00EE75C8">
      <w:pPr>
        <w:spacing w:after="0" w:line="259" w:lineRule="auto"/>
        <w:ind w:left="708" w:firstLine="0"/>
        <w:jc w:val="left"/>
      </w:pPr>
      <w:r>
        <w:rPr>
          <w:rFonts w:ascii="Times New Roman" w:eastAsia="Times New Roman" w:hAnsi="Times New Roman" w:cs="Times New Roman"/>
          <w:sz w:val="24"/>
        </w:rPr>
        <w:t xml:space="preserve"> </w:t>
      </w:r>
    </w:p>
    <w:p w:rsidR="007617AD" w:rsidRDefault="00EE75C8">
      <w:pPr>
        <w:spacing w:after="11"/>
        <w:ind w:left="703" w:right="58"/>
      </w:pPr>
      <w:r>
        <w:rPr>
          <w:b/>
        </w:rPr>
        <w:t xml:space="preserve">Consta en el expediente electrónico la referida moción que se inserta literalmente: </w:t>
      </w:r>
    </w:p>
    <w:p w:rsidR="007617AD" w:rsidRDefault="00EE75C8">
      <w:pPr>
        <w:spacing w:after="222" w:line="259" w:lineRule="auto"/>
        <w:ind w:left="708" w:firstLine="0"/>
        <w:jc w:val="left"/>
      </w:pPr>
      <w:r>
        <w:t xml:space="preserve"> </w:t>
      </w:r>
    </w:p>
    <w:p w:rsidR="007617AD" w:rsidRDefault="00EE75C8">
      <w:pPr>
        <w:spacing w:after="0" w:line="259" w:lineRule="auto"/>
        <w:ind w:left="708" w:firstLine="0"/>
        <w:jc w:val="left"/>
      </w:pPr>
      <w:r>
        <w:rPr>
          <w:noProof/>
        </w:rPr>
        <w:drawing>
          <wp:inline distT="0" distB="0" distL="0" distR="0">
            <wp:extent cx="1458468" cy="1475232"/>
            <wp:effectExtent l="0" t="0" r="0" b="0"/>
            <wp:docPr id="29856" name="Picture 29856"/>
            <wp:cNvGraphicFramePr/>
            <a:graphic xmlns:a="http://schemas.openxmlformats.org/drawingml/2006/main">
              <a:graphicData uri="http://schemas.openxmlformats.org/drawingml/2006/picture">
                <pic:pic xmlns:pic="http://schemas.openxmlformats.org/drawingml/2006/picture">
                  <pic:nvPicPr>
                    <pic:cNvPr id="29856" name="Picture 29856"/>
                    <pic:cNvPicPr/>
                  </pic:nvPicPr>
                  <pic:blipFill>
                    <a:blip r:embed="rId19"/>
                    <a:stretch>
                      <a:fillRect/>
                    </a:stretch>
                  </pic:blipFill>
                  <pic:spPr>
                    <a:xfrm>
                      <a:off x="0" y="0"/>
                      <a:ext cx="1458468" cy="1475232"/>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spacing w:after="0" w:line="259" w:lineRule="auto"/>
        <w:ind w:left="0" w:right="8" w:firstLine="0"/>
        <w:jc w:val="right"/>
      </w:pPr>
      <w:r>
        <w:rPr>
          <w:rFonts w:ascii="Times New Roman" w:eastAsia="Times New Roman" w:hAnsi="Times New Roman" w:cs="Times New Roman"/>
          <w:sz w:val="24"/>
        </w:rPr>
        <w:t xml:space="preserve"> </w:t>
      </w:r>
    </w:p>
    <w:p w:rsidR="007617AD" w:rsidRDefault="00EE75C8">
      <w:pPr>
        <w:spacing w:after="201"/>
        <w:ind w:left="3885" w:right="58"/>
      </w:pPr>
      <w:r>
        <w:rPr>
          <w:rFonts w:ascii="Times New Roman" w:eastAsia="Times New Roman" w:hAnsi="Times New Roman" w:cs="Times New Roman"/>
          <w:sz w:val="24"/>
        </w:rPr>
        <w:t xml:space="preserve">                                            </w:t>
      </w:r>
      <w:r>
        <w:rPr>
          <w:b/>
        </w:rPr>
        <w:t xml:space="preserve">Alicia Mercedes Marrero Meneses. </w:t>
      </w:r>
      <w:r>
        <w:rPr>
          <w:rFonts w:ascii="Times New Roman" w:eastAsia="Times New Roman" w:hAnsi="Times New Roman" w:cs="Times New Roman"/>
          <w:sz w:val="24"/>
        </w:rPr>
        <w:t xml:space="preserve"> </w:t>
      </w:r>
    </w:p>
    <w:p w:rsidR="007617AD" w:rsidRDefault="00EE75C8">
      <w:pPr>
        <w:spacing w:after="5" w:line="265" w:lineRule="auto"/>
        <w:ind w:left="10" w:right="62"/>
        <w:jc w:val="right"/>
      </w:pPr>
      <w:r>
        <w:t xml:space="preserve">                                                                Concejal del Excmo. Ayuntamiento de Candelaria.                </w:t>
      </w:r>
    </w:p>
    <w:p w:rsidR="007617AD" w:rsidRDefault="00EE75C8">
      <w:pPr>
        <w:spacing w:after="206" w:line="265" w:lineRule="auto"/>
        <w:ind w:left="10" w:right="62"/>
        <w:jc w:val="right"/>
      </w:pPr>
      <w:r>
        <w:rPr>
          <w:rFonts w:ascii="Calibri" w:eastAsia="Calibri" w:hAnsi="Calibri" w:cs="Calibri"/>
          <w:noProof/>
        </w:rPr>
        <mc:AlternateContent>
          <mc:Choice Requires="wpg">
            <w:drawing>
              <wp:anchor distT="0" distB="0" distL="114300" distR="114300" simplePos="0" relativeHeight="25184358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3470" name="Group 28347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9859" name="Rectangle 29859"/>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w:t>
                              </w:r>
                              <w:r>
                                <w:rPr>
                                  <w:sz w:val="12"/>
                                </w:rPr>
                                <w:t xml:space="preserve">erificación: https://candelaria.sedelectronica.es/ </w:t>
                              </w:r>
                            </w:p>
                          </w:txbxContent>
                        </wps:txbx>
                        <wps:bodyPr horzOverflow="overflow" vert="horz" lIns="0" tIns="0" rIns="0" bIns="0" rtlCol="0">
                          <a:noAutofit/>
                        </wps:bodyPr>
                      </wps:wsp>
                      <wps:wsp>
                        <wps:cNvPr id="29860" name="Rectangle 29860"/>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179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3470" style="width:12.7031pt;height:280.02pt;position:absolute;mso-position-horizontal-relative:page;mso-position-horizontal:absolute;margin-left:682.278pt;mso-position-vertical-relative:page;margin-top:531.9pt;" coordsize="1613,35562">
                <v:rect id="Rectangle 29859"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9860"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179 de 192 </w:t>
                        </w:r>
                      </w:p>
                    </w:txbxContent>
                  </v:textbox>
                </v:rect>
                <w10:wrap type="square"/>
              </v:group>
            </w:pict>
          </mc:Fallback>
        </mc:AlternateContent>
      </w:r>
      <w:r>
        <w:t>VecinosxCandelaria</w:t>
      </w:r>
      <w:r>
        <w:rPr>
          <w:rFonts w:ascii="Times New Roman" w:eastAsia="Times New Roman" w:hAnsi="Times New Roman" w:cs="Times New Roman"/>
          <w:sz w:val="24"/>
        </w:rPr>
        <w:t xml:space="preserve">.  </w:t>
      </w:r>
    </w:p>
    <w:p w:rsidR="007617AD" w:rsidRDefault="00EE75C8">
      <w:pPr>
        <w:spacing w:after="0"/>
        <w:ind w:left="703" w:right="62"/>
      </w:pPr>
      <w:r>
        <w:rPr>
          <w:rFonts w:ascii="Times New Roman" w:eastAsia="Times New Roman" w:hAnsi="Times New Roman" w:cs="Times New Roman"/>
          <w:sz w:val="24"/>
        </w:rPr>
        <w:t>“</w:t>
      </w:r>
      <w:r>
        <w:t>Doña Alicia Mercedes Marrero Meneses, concejal del Ayuntamiento de Candelaria, en no</w:t>
      </w:r>
      <w:r>
        <w:t xml:space="preserve">mbre y representación del mismo y al amparo de lo establecido en los artículos 91.4 y 97.3 del Reglamento de Funcionamiento y Régimen Jurídico de las Entidades Locales de 1986, eleva al Pleno de la Corporación para su debate la siguiente:  </w:t>
      </w:r>
      <w:r>
        <w:rPr>
          <w:rFonts w:ascii="Times New Roman" w:eastAsia="Times New Roman" w:hAnsi="Times New Roman" w:cs="Times New Roman"/>
          <w:sz w:val="24"/>
        </w:rPr>
        <w:t xml:space="preserve"> </w:t>
      </w:r>
    </w:p>
    <w:p w:rsidR="007617AD" w:rsidRDefault="00EE75C8">
      <w:pPr>
        <w:spacing w:after="0" w:line="259" w:lineRule="auto"/>
        <w:ind w:left="704" w:firstLine="0"/>
        <w:jc w:val="left"/>
      </w:pPr>
      <w:r>
        <w:t xml:space="preserve"> </w:t>
      </w:r>
    </w:p>
    <w:p w:rsidR="007617AD" w:rsidRDefault="00EE75C8">
      <w:pPr>
        <w:spacing w:after="0" w:line="259" w:lineRule="auto"/>
        <w:ind w:left="704" w:firstLine="0"/>
        <w:jc w:val="left"/>
      </w:pPr>
      <w:r>
        <w:t xml:space="preserve"> </w:t>
      </w:r>
    </w:p>
    <w:p w:rsidR="007617AD" w:rsidRDefault="00EE75C8">
      <w:pPr>
        <w:spacing w:after="215" w:line="259" w:lineRule="auto"/>
        <w:ind w:left="643" w:right="43"/>
        <w:jc w:val="center"/>
      </w:pPr>
      <w:r>
        <w:rPr>
          <w:b/>
          <w:u w:val="single" w:color="000000"/>
        </w:rPr>
        <w:t>MOCION</w:t>
      </w:r>
      <w:r>
        <w:rPr>
          <w:b/>
        </w:rPr>
        <w:t xml:space="preserve">  </w:t>
      </w:r>
      <w:r>
        <w:rPr>
          <w:rFonts w:ascii="Times New Roman" w:eastAsia="Times New Roman" w:hAnsi="Times New Roman" w:cs="Times New Roman"/>
          <w:sz w:val="24"/>
        </w:rPr>
        <w:t xml:space="preserve"> </w:t>
      </w:r>
    </w:p>
    <w:p w:rsidR="007617AD" w:rsidRDefault="00EE75C8">
      <w:pPr>
        <w:spacing w:after="220" w:line="249" w:lineRule="auto"/>
        <w:ind w:left="2221"/>
        <w:jc w:val="left"/>
      </w:pPr>
      <w:r>
        <w:rPr>
          <w:b/>
          <w:u w:val="single" w:color="000000"/>
        </w:rPr>
        <w:t>RELACIONADA CON   EL CARNET JOVEN DEL MUNICIPIO DE</w:t>
      </w:r>
      <w:r>
        <w:rPr>
          <w:b/>
        </w:rPr>
        <w:t xml:space="preserve"> </w:t>
      </w:r>
      <w:r>
        <w:rPr>
          <w:rFonts w:ascii="Times New Roman" w:eastAsia="Times New Roman" w:hAnsi="Times New Roman" w:cs="Times New Roman"/>
          <w:sz w:val="24"/>
        </w:rPr>
        <w:t xml:space="preserve"> </w:t>
      </w:r>
    </w:p>
    <w:p w:rsidR="007617AD" w:rsidRDefault="00EE75C8">
      <w:pPr>
        <w:pStyle w:val="Ttulo3"/>
        <w:spacing w:after="215"/>
        <w:ind w:left="643" w:right="51"/>
        <w:jc w:val="center"/>
      </w:pPr>
      <w:r>
        <w:rPr>
          <w:rFonts w:ascii="Arial" w:eastAsia="Arial" w:hAnsi="Arial" w:cs="Arial"/>
          <w:sz w:val="22"/>
          <w:u w:val="single" w:color="000000"/>
        </w:rPr>
        <w:t>CANDELARIA</w:t>
      </w:r>
      <w:r>
        <w:rPr>
          <w:rFonts w:ascii="Arial" w:eastAsia="Arial" w:hAnsi="Arial" w:cs="Arial"/>
          <w:sz w:val="22"/>
        </w:rPr>
        <w:t xml:space="preserve"> </w:t>
      </w:r>
      <w:r>
        <w:rPr>
          <w:rFonts w:ascii="Times New Roman" w:eastAsia="Times New Roman" w:hAnsi="Times New Roman" w:cs="Times New Roman"/>
          <w:b w:val="0"/>
          <w:sz w:val="24"/>
        </w:rPr>
        <w:t xml:space="preserve"> </w:t>
      </w:r>
    </w:p>
    <w:p w:rsidR="007617AD" w:rsidRDefault="00EE75C8">
      <w:pPr>
        <w:spacing w:after="0"/>
        <w:ind w:left="703" w:right="62"/>
      </w:pPr>
      <w:r>
        <w:t>El impacto económico y social de la COVID-19 se ha notado en mayor medida en los colectivos más vulnerables y, entre ellos, los jóvenes, que ya arrastraban serios problemas tanto laborales c</w:t>
      </w:r>
      <w:r>
        <w:t xml:space="preserve">omo de acceso a vivienda y emancipación. </w:t>
      </w:r>
    </w:p>
    <w:p w:rsidR="007617AD" w:rsidRDefault="00EE75C8">
      <w:pPr>
        <w:spacing w:after="0" w:line="259" w:lineRule="auto"/>
        <w:ind w:left="704" w:firstLine="0"/>
        <w:jc w:val="left"/>
      </w:pPr>
      <w:r>
        <w:t xml:space="preserve">  </w:t>
      </w:r>
    </w:p>
    <w:p w:rsidR="007617AD" w:rsidRDefault="00EE75C8">
      <w:pPr>
        <w:spacing w:after="11"/>
        <w:ind w:left="703" w:right="62"/>
      </w:pPr>
      <w:r>
        <w:t xml:space="preserve">En nuestro municipio contamos con más de 6.000 jóvenes entre 14 y 30 años.  </w:t>
      </w:r>
    </w:p>
    <w:p w:rsidR="007617AD" w:rsidRDefault="00EE75C8">
      <w:pPr>
        <w:spacing w:after="0" w:line="259" w:lineRule="auto"/>
        <w:ind w:left="708" w:firstLine="0"/>
        <w:jc w:val="left"/>
      </w:pPr>
      <w:r>
        <w:t xml:space="preserve"> </w:t>
      </w:r>
      <w:r>
        <w:rPr>
          <w:rFonts w:ascii="Times New Roman" w:eastAsia="Times New Roman" w:hAnsi="Times New Roman" w:cs="Times New Roman"/>
          <w:sz w:val="24"/>
        </w:rPr>
        <w:t xml:space="preserve"> </w:t>
      </w:r>
    </w:p>
    <w:p w:rsidR="007617AD" w:rsidRDefault="00EE75C8">
      <w:pPr>
        <w:spacing w:after="0"/>
        <w:ind w:left="703" w:right="62"/>
      </w:pPr>
      <w:r>
        <w:t xml:space="preserve"> Estos vieron afectada su vida a todos los niveles con la situación sanitaria, en un momento, además, esencial para su correcto des</w:t>
      </w:r>
      <w:r>
        <w:t xml:space="preserve">arrollo.  </w:t>
      </w:r>
    </w:p>
    <w:p w:rsidR="007617AD" w:rsidRDefault="00EE75C8">
      <w:pPr>
        <w:spacing w:after="0" w:line="259" w:lineRule="auto"/>
        <w:ind w:left="704" w:firstLine="0"/>
        <w:jc w:val="left"/>
      </w:pPr>
      <w:r>
        <w:t xml:space="preserve"> </w:t>
      </w:r>
    </w:p>
    <w:p w:rsidR="007617AD" w:rsidRDefault="00EE75C8">
      <w:pPr>
        <w:ind w:left="703" w:right="62"/>
      </w:pPr>
      <w:r>
        <w:t xml:space="preserve"> A nivel educativo tuvieron que adaptarse a un sistema que ha dejado claro que generaba muchas desigualdades. A nivel laboral, han sido ellos quienes han sufrido y sufren, directamente y en mayor medida, la dificultad de acceso a la vida labor</w:t>
      </w:r>
      <w:r>
        <w:t xml:space="preserve">al y la posterior precariedad. </w:t>
      </w:r>
    </w:p>
    <w:p w:rsidR="007617AD" w:rsidRDefault="00EE75C8">
      <w:pPr>
        <w:spacing w:after="0" w:line="259" w:lineRule="auto"/>
        <w:ind w:left="704" w:firstLine="0"/>
        <w:jc w:val="left"/>
      </w:pPr>
      <w:r>
        <w:t xml:space="preserve">  </w:t>
      </w:r>
    </w:p>
    <w:p w:rsidR="007617AD" w:rsidRDefault="00EE75C8">
      <w:pPr>
        <w:spacing w:after="0"/>
        <w:ind w:left="703" w:right="62"/>
      </w:pPr>
      <w:r>
        <w:t xml:space="preserve"> Y a nivel social sus vidas frenaron en seco en un momento en el que es necesaria la interacción con la sociedad. </w:t>
      </w:r>
    </w:p>
    <w:p w:rsidR="007617AD" w:rsidRDefault="00EE75C8">
      <w:pPr>
        <w:spacing w:after="0" w:line="259" w:lineRule="auto"/>
        <w:ind w:left="704" w:firstLine="0"/>
        <w:jc w:val="left"/>
      </w:pPr>
      <w:r>
        <w:t xml:space="preserve">  </w:t>
      </w:r>
    </w:p>
    <w:p w:rsidR="007617AD" w:rsidRDefault="00EE75C8">
      <w:pPr>
        <w:spacing w:after="0"/>
        <w:ind w:left="703" w:right="62"/>
      </w:pPr>
      <w:r>
        <w:t>Por ello, VECINOSxCANDELARIA, considera que es importante que desde el Ayuntamiento se haga un esfuerzo</w:t>
      </w:r>
      <w:r>
        <w:t xml:space="preserve"> y se facilite un acercamiento bonificado y de acceso a determinados servicios públicos, como los relacionados con el deporte, fiestas o la cultura, potenciando y mejorando el Carnet Joven del Municipio. </w:t>
      </w:r>
    </w:p>
    <w:p w:rsidR="007617AD" w:rsidRDefault="00EE75C8">
      <w:pPr>
        <w:spacing w:after="0" w:line="259" w:lineRule="auto"/>
        <w:ind w:left="704" w:firstLine="0"/>
        <w:jc w:val="left"/>
      </w:pPr>
      <w:r>
        <w:t xml:space="preserve">  </w:t>
      </w:r>
    </w:p>
    <w:p w:rsidR="007617AD" w:rsidRDefault="00EE75C8">
      <w:pPr>
        <w:spacing w:after="0"/>
        <w:ind w:left="703" w:right="62"/>
      </w:pPr>
      <w:r>
        <w:t xml:space="preserve">Este año 2022, fue designado como el Año Europeo de la Juventud. Un año, que pone el foco sobre la importancia de la juventud europea para construir un futuro mejor: más ecológico, más inclusivo y digital. El Año Europeo de la Juventud es el momento ideal </w:t>
      </w:r>
      <w:r>
        <w:t xml:space="preserve">para avanzar con confianza y esperanza con la perspectiva de la etapa posterior a la pandemia; tendrás muchas oportunidades de aprender, compartir tu visión, conocer a personas y participar en actividades.  </w:t>
      </w:r>
    </w:p>
    <w:p w:rsidR="007617AD" w:rsidRDefault="00EE75C8">
      <w:pPr>
        <w:spacing w:after="0" w:line="259" w:lineRule="auto"/>
        <w:ind w:left="704" w:firstLine="0"/>
        <w:jc w:val="left"/>
      </w:pPr>
      <w:r>
        <w:t xml:space="preserve"> </w:t>
      </w:r>
    </w:p>
    <w:p w:rsidR="007617AD" w:rsidRDefault="00EE75C8">
      <w:pPr>
        <w:spacing w:after="4"/>
        <w:ind w:left="703" w:right="62"/>
      </w:pPr>
      <w:r>
        <w:t>En VECINOSxCANDELARIA, somos conscientes de la</w:t>
      </w:r>
      <w:r>
        <w:t xml:space="preserve"> existencia del Carnet Joven Europeo que está implantado en 42 países y permite la movilidad de los jóvenes de entre 14 y 30 años y la posibilidad de disfrutar de descuentos en actividades y servicios, tanto en la compra y adquisición de productos, como en</w:t>
      </w:r>
      <w:r>
        <w:t xml:space="preserve"> el acceso a bienes y servicios culturales y de turismo joven (transportes, cines, viajes, alojamientos, museos, conciertos, instalaciones deportivas, etc.), en toda España y en Europa.   </w:t>
      </w:r>
    </w:p>
    <w:p w:rsidR="007617AD" w:rsidRDefault="00EE75C8">
      <w:pPr>
        <w:spacing w:after="0" w:line="259" w:lineRule="auto"/>
        <w:ind w:left="704" w:firstLine="0"/>
        <w:jc w:val="left"/>
      </w:pPr>
      <w:r>
        <w:t xml:space="preserve"> </w:t>
      </w:r>
    </w:p>
    <w:p w:rsidR="007617AD" w:rsidRDefault="00EE75C8">
      <w:pPr>
        <w:spacing w:after="0"/>
        <w:ind w:left="703" w:right="62"/>
      </w:pPr>
      <w:r>
        <w:rPr>
          <w:rFonts w:ascii="Calibri" w:eastAsia="Calibri" w:hAnsi="Calibri" w:cs="Calibri"/>
          <w:noProof/>
        </w:rPr>
        <mc:AlternateContent>
          <mc:Choice Requires="wpg">
            <w:drawing>
              <wp:anchor distT="0" distB="0" distL="114300" distR="114300" simplePos="0" relativeHeight="25184460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3092" name="Group 28309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29970" name="Rectangle 2997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Verificación: htt</w:t>
                              </w:r>
                              <w:r>
                                <w:rPr>
                                  <w:sz w:val="12"/>
                                </w:rPr>
                                <w:t xml:space="preserve">ps://candelaria.sedelectronica.es/ </w:t>
                              </w:r>
                            </w:p>
                          </w:txbxContent>
                        </wps:txbx>
                        <wps:bodyPr horzOverflow="overflow" vert="horz" lIns="0" tIns="0" rIns="0" bIns="0" rtlCol="0">
                          <a:noAutofit/>
                        </wps:bodyPr>
                      </wps:wsp>
                      <wps:wsp>
                        <wps:cNvPr id="29971" name="Rectangle 29971"/>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180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3092" style="width:12.7031pt;height:280.02pt;position:absolute;mso-position-horizontal-relative:page;mso-position-horizontal:absolute;margin-left:682.278pt;mso-position-vertical-relative:page;margin-top:531.9pt;" coordsize="1613,35562">
                <v:rect id="Rectangle 2997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29971"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180 de 192 </w:t>
                        </w:r>
                      </w:p>
                    </w:txbxContent>
                  </v:textbox>
                </v:rect>
                <w10:wrap type="square"/>
              </v:group>
            </w:pict>
          </mc:Fallback>
        </mc:AlternateContent>
      </w:r>
      <w:r>
        <w:t>Y tenemos en cuenta, que no todos los jóvenes de Candelaria, residen en esos países o viven fuera o tienen la posibilidad d</w:t>
      </w:r>
      <w:r>
        <w:t xml:space="preserve">e beneficiarse de las ventajas del carnet europeo. </w:t>
      </w:r>
    </w:p>
    <w:p w:rsidR="007617AD" w:rsidRDefault="00EE75C8">
      <w:pPr>
        <w:spacing w:after="0" w:line="259" w:lineRule="auto"/>
        <w:ind w:left="704" w:firstLine="0"/>
        <w:jc w:val="left"/>
      </w:pPr>
      <w:r>
        <w:t xml:space="preserve">  </w:t>
      </w:r>
    </w:p>
    <w:p w:rsidR="007617AD" w:rsidRDefault="00EE75C8">
      <w:pPr>
        <w:spacing w:after="0"/>
        <w:ind w:left="703" w:right="62"/>
      </w:pPr>
      <w:r>
        <w:t>Pero también somos conscientes de la escasa, por no decir nula, implantación del Carnet Joven Europeo en nuestro municipio. Concretamente, en nuestro municipio, pocas empresas o entidades ofrecen venta</w:t>
      </w:r>
      <w:r>
        <w:t>jas o descuentos en sus servicios.</w:t>
      </w:r>
      <w:r>
        <w:rPr>
          <w:rFonts w:ascii="Times New Roman" w:eastAsia="Times New Roman" w:hAnsi="Times New Roman" w:cs="Times New Roman"/>
          <w:sz w:val="24"/>
        </w:rPr>
        <w:t xml:space="preserve"> </w:t>
      </w:r>
    </w:p>
    <w:p w:rsidR="007617AD" w:rsidRDefault="00EE75C8">
      <w:pPr>
        <w:spacing w:after="0" w:line="259" w:lineRule="auto"/>
        <w:ind w:left="704" w:firstLine="0"/>
        <w:jc w:val="left"/>
      </w:pPr>
      <w:r>
        <w:t xml:space="preserve">   </w:t>
      </w:r>
    </w:p>
    <w:p w:rsidR="007617AD" w:rsidRDefault="00EE75C8">
      <w:pPr>
        <w:spacing w:after="0"/>
        <w:ind w:left="703" w:right="62"/>
      </w:pPr>
      <w:r>
        <w:t>En este sentido, cabe decir que en diferentes municipios ya existen jóvenes que gozan de ventajas en el acceso a servicios en forma de carnet joven local con derecho a descuentos y ventajas con las que favorecer la vida cívica, cultural, deportiva, asociat</w:t>
      </w:r>
      <w:r>
        <w:t xml:space="preserve">iva, comercial, y que además sirven de impulso de la actividad económica del municipio.  </w:t>
      </w:r>
    </w:p>
    <w:p w:rsidR="007617AD" w:rsidRDefault="00EE75C8">
      <w:pPr>
        <w:spacing w:after="0" w:line="259" w:lineRule="auto"/>
        <w:ind w:left="704" w:firstLine="0"/>
        <w:jc w:val="left"/>
      </w:pPr>
      <w:r>
        <w:t xml:space="preserve"> </w:t>
      </w:r>
    </w:p>
    <w:p w:rsidR="007617AD" w:rsidRDefault="00EE75C8">
      <w:pPr>
        <w:spacing w:after="3"/>
        <w:ind w:left="703" w:right="62"/>
      </w:pPr>
      <w:r>
        <w:t xml:space="preserve">Por todo ello, VECINOSxCANDELARIA, propone al Pleno para su debate y aprobación, los siguientes acuerdos:  </w:t>
      </w:r>
    </w:p>
    <w:p w:rsidR="007617AD" w:rsidRDefault="00EE75C8">
      <w:pPr>
        <w:spacing w:after="204" w:line="259" w:lineRule="auto"/>
        <w:ind w:left="708" w:firstLine="0"/>
        <w:jc w:val="left"/>
      </w:pPr>
      <w:r>
        <w:rPr>
          <w:rFonts w:ascii="Times New Roman" w:eastAsia="Times New Roman" w:hAnsi="Times New Roman" w:cs="Times New Roman"/>
          <w:sz w:val="24"/>
        </w:rPr>
        <w:t xml:space="preserve">  </w:t>
      </w:r>
    </w:p>
    <w:p w:rsidR="007617AD" w:rsidRDefault="00EE75C8">
      <w:pPr>
        <w:spacing w:after="204"/>
        <w:ind w:left="703" w:right="58"/>
      </w:pPr>
      <w:r>
        <w:rPr>
          <w:b/>
        </w:rPr>
        <w:t xml:space="preserve">1º.- </w:t>
      </w:r>
      <w:r>
        <w:rPr>
          <w:b/>
        </w:rPr>
        <w:t>Impulsar la implantación en Candelaria, del Carnet Joven Local orientado a personas entre 14 y 30 años, permitiéndoles acceder a descuentos en determinados servicios municipales, así como en establecimientos comerciales que se adhieran a esta iniciativa. O</w:t>
      </w:r>
      <w:r>
        <w:rPr>
          <w:b/>
        </w:rPr>
        <w:t xml:space="preserve">, en su defecto, ampliar la oferta de descuentos y beneficios que el Carnet Joven Europeo ofrece en nuestro municipio.  </w:t>
      </w:r>
      <w:r>
        <w:rPr>
          <w:rFonts w:ascii="Times New Roman" w:eastAsia="Times New Roman" w:hAnsi="Times New Roman" w:cs="Times New Roman"/>
          <w:sz w:val="24"/>
        </w:rPr>
        <w:t xml:space="preserve"> </w:t>
      </w:r>
    </w:p>
    <w:p w:rsidR="007617AD" w:rsidRDefault="00EE75C8">
      <w:pPr>
        <w:ind w:left="703" w:right="58"/>
      </w:pPr>
      <w:r>
        <w:rPr>
          <w:b/>
        </w:rPr>
        <w:t>2º.- Que el Ayuntamiento dialogue y acuerde la forma más apropiada de bonificar estos descuentos con las diferentes entidades y actore</w:t>
      </w:r>
      <w:r>
        <w:rPr>
          <w:b/>
        </w:rPr>
        <w:t xml:space="preserve">s económicos, sociales y culturales de nuestro municipio para sumarse a este proyecto.  </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r>
        <w:rPr>
          <w:rFonts w:ascii="Times New Roman" w:eastAsia="Times New Roman" w:hAnsi="Times New Roman" w:cs="Times New Roman"/>
          <w:sz w:val="24"/>
        </w:rPr>
        <w:t xml:space="preserve"> </w:t>
      </w:r>
    </w:p>
    <w:p w:rsidR="007617AD" w:rsidRDefault="00EE75C8">
      <w:pPr>
        <w:spacing w:after="200"/>
        <w:ind w:left="703" w:right="58"/>
      </w:pPr>
      <w:r>
        <w:rPr>
          <w:b/>
        </w:rPr>
        <w:t>3º.- Que se dé la máxima difusión en diferentes medios de comunicación locales, y que se le comunique por escrito a cada colectivo o asociación juvenil del municip</w:t>
      </w:r>
      <w:r>
        <w:rPr>
          <w:b/>
        </w:rPr>
        <w:t>io.”</w:t>
      </w:r>
      <w:r>
        <w:rPr>
          <w:rFonts w:ascii="Times New Roman" w:eastAsia="Times New Roman" w:hAnsi="Times New Roman" w:cs="Times New Roman"/>
          <w:sz w:val="24"/>
        </w:rPr>
        <w:t xml:space="preserve"> </w:t>
      </w:r>
    </w:p>
    <w:p w:rsidR="007617AD" w:rsidRDefault="00EE75C8">
      <w:pPr>
        <w:spacing w:after="215" w:line="259" w:lineRule="auto"/>
        <w:ind w:left="708" w:firstLine="0"/>
        <w:jc w:val="left"/>
      </w:pPr>
      <w:r>
        <w:t xml:space="preserve">  </w:t>
      </w:r>
    </w:p>
    <w:p w:rsidR="007617AD" w:rsidRDefault="00EE75C8">
      <w:pPr>
        <w:spacing w:after="11"/>
        <w:ind w:left="703" w:right="62"/>
      </w:pPr>
      <w:r>
        <w:t xml:space="preserve">No obstante, el Ayuntamiento Pleno, acordará lo más procedente.  </w:t>
      </w:r>
    </w:p>
    <w:p w:rsidR="007617AD" w:rsidRDefault="00EE75C8">
      <w:pPr>
        <w:spacing w:after="215" w:line="259" w:lineRule="auto"/>
        <w:ind w:left="708" w:firstLine="0"/>
        <w:jc w:val="left"/>
      </w:pPr>
      <w:r>
        <w:t xml:space="preserve">  </w:t>
      </w:r>
    </w:p>
    <w:p w:rsidR="007617AD" w:rsidRDefault="00EE75C8">
      <w:pPr>
        <w:spacing w:after="11"/>
        <w:ind w:left="703" w:right="62"/>
      </w:pPr>
      <w:r>
        <w:t xml:space="preserve">Candelaria,   15 de Junio    de 2022.  </w:t>
      </w:r>
    </w:p>
    <w:p w:rsidR="007617AD" w:rsidRDefault="00EE75C8">
      <w:pPr>
        <w:spacing w:after="179" w:line="259" w:lineRule="auto"/>
        <w:ind w:left="708" w:firstLine="0"/>
        <w:jc w:val="left"/>
      </w:pPr>
      <w:r>
        <w:t xml:space="preserve">  </w:t>
      </w:r>
    </w:p>
    <w:p w:rsidR="007617AD" w:rsidRDefault="00EE75C8">
      <w:pPr>
        <w:spacing w:after="88" w:line="259" w:lineRule="auto"/>
        <w:ind w:left="0" w:right="1201" w:firstLine="0"/>
        <w:jc w:val="center"/>
      </w:pPr>
      <w:r>
        <w:rPr>
          <w:noProof/>
        </w:rPr>
        <w:drawing>
          <wp:inline distT="0" distB="0" distL="0" distR="0">
            <wp:extent cx="4148328" cy="745236"/>
            <wp:effectExtent l="0" t="0" r="0" b="0"/>
            <wp:docPr id="30071" name="Picture 30071"/>
            <wp:cNvGraphicFramePr/>
            <a:graphic xmlns:a="http://schemas.openxmlformats.org/drawingml/2006/main">
              <a:graphicData uri="http://schemas.openxmlformats.org/drawingml/2006/picture">
                <pic:pic xmlns:pic="http://schemas.openxmlformats.org/drawingml/2006/picture">
                  <pic:nvPicPr>
                    <pic:cNvPr id="30071" name="Picture 30071"/>
                    <pic:cNvPicPr/>
                  </pic:nvPicPr>
                  <pic:blipFill>
                    <a:blip r:embed="rId20"/>
                    <a:stretch>
                      <a:fillRect/>
                    </a:stretch>
                  </pic:blipFill>
                  <pic:spPr>
                    <a:xfrm>
                      <a:off x="0" y="0"/>
                      <a:ext cx="4148328" cy="745236"/>
                    </a:xfrm>
                    <a:prstGeom prst="rect">
                      <a:avLst/>
                    </a:prstGeom>
                  </pic:spPr>
                </pic:pic>
              </a:graphicData>
            </a:graphic>
          </wp:inline>
        </w:drawing>
      </w:r>
      <w:r>
        <w:rPr>
          <w:rFonts w:ascii="Times New Roman" w:eastAsia="Times New Roman" w:hAnsi="Times New Roman" w:cs="Times New Roman"/>
          <w:sz w:val="24"/>
        </w:rPr>
        <w:t xml:space="preserve">  </w:t>
      </w:r>
    </w:p>
    <w:p w:rsidR="007617AD" w:rsidRDefault="00EE75C8">
      <w:pPr>
        <w:spacing w:after="206"/>
        <w:ind w:left="703" w:right="62"/>
      </w:pPr>
      <w:r>
        <w:rPr>
          <w:rFonts w:ascii="Times New Roman" w:eastAsia="Times New Roman" w:hAnsi="Times New Roman" w:cs="Times New Roman"/>
          <w:sz w:val="24"/>
        </w:rPr>
        <w:t xml:space="preserve"> </w:t>
      </w:r>
      <w:r>
        <w:t xml:space="preserve">Alicia Mercedes Marrero Meneses. </w:t>
      </w:r>
      <w:r>
        <w:rPr>
          <w:rFonts w:ascii="Times New Roman" w:eastAsia="Times New Roman" w:hAnsi="Times New Roman" w:cs="Times New Roman"/>
          <w:sz w:val="24"/>
        </w:rPr>
        <w:t xml:space="preserve"> </w:t>
      </w:r>
    </w:p>
    <w:p w:rsidR="007617AD" w:rsidRDefault="00EE75C8">
      <w:pPr>
        <w:spacing w:after="11"/>
        <w:ind w:left="703" w:right="62"/>
      </w:pPr>
      <w:r>
        <w:t xml:space="preserve">Concejal del Excmo. Ayuntamiento de Candelaria.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rPr>
          <w:b/>
        </w:rPr>
        <w:t xml:space="preserve"> </w:t>
      </w:r>
    </w:p>
    <w:p w:rsidR="007617AD" w:rsidRDefault="00EE75C8">
      <w:pPr>
        <w:spacing w:after="0"/>
        <w:ind w:left="703" w:right="58"/>
      </w:pPr>
      <w:r>
        <w:rPr>
          <w:rFonts w:ascii="Calibri" w:eastAsia="Calibri" w:hAnsi="Calibri" w:cs="Calibri"/>
          <w:noProof/>
        </w:rPr>
        <mc:AlternateContent>
          <mc:Choice Requires="wpg">
            <w:drawing>
              <wp:anchor distT="0" distB="0" distL="114300" distR="114300" simplePos="0" relativeHeight="25184563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3095" name="Group 283095"/>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0074" name="Rectangle 3007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30075" name="Rectangle 30075"/>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181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3095" style="width:12.7031pt;height:280.02pt;position:absolute;mso-position-horizontal-relative:page;mso-position-horizontal:absolute;margin-left:682.278pt;mso-position-vertical-relative:page;margin-top:531.9pt;" coordsize="1613,35562">
                <v:rect id="Rectangle 3007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0075"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181 de 192 </w:t>
                        </w:r>
                      </w:p>
                    </w:txbxContent>
                  </v:textbox>
                </v:rect>
                <w10:wrap type="square"/>
              </v:group>
            </w:pict>
          </mc:Fallback>
        </mc:AlternateContent>
      </w:r>
      <w:r>
        <w:rPr>
          <w:b/>
        </w:rPr>
        <w:t xml:space="preserve">DICTAMEN FAVORABLE DE LA COMISIÓN INFORMATIVA DE SERVICIOS A </w:t>
      </w:r>
      <w:r>
        <w:rPr>
          <w:b/>
        </w:rPr>
        <w:t xml:space="preserve">LAS PERSONAS DE 27 DE JUNIO DE 2022. </w:t>
      </w:r>
    </w:p>
    <w:p w:rsidR="007617AD" w:rsidRDefault="00EE75C8">
      <w:pPr>
        <w:spacing w:after="11"/>
        <w:ind w:left="703" w:right="62"/>
      </w:pPr>
      <w:r>
        <w:t xml:space="preserve">Votos a favor: 1. </w:t>
      </w:r>
    </w:p>
    <w:p w:rsidR="007617AD" w:rsidRDefault="00EE75C8">
      <w:pPr>
        <w:spacing w:after="11"/>
        <w:ind w:left="703" w:right="62"/>
      </w:pPr>
      <w:r>
        <w:t xml:space="preserve">1 de la concejal del Grupo Mixto (VXC), Doña Alicia Mercedes Marrero Meneses.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Votos en contra: 0. </w:t>
      </w:r>
    </w:p>
    <w:p w:rsidR="007617AD" w:rsidRDefault="00EE75C8">
      <w:pPr>
        <w:spacing w:after="11"/>
        <w:ind w:left="703" w:right="62"/>
      </w:pPr>
      <w:r>
        <w:t xml:space="preserve">Abstenciones: 5. </w:t>
      </w:r>
    </w:p>
    <w:p w:rsidR="007617AD" w:rsidRDefault="00EE75C8">
      <w:pPr>
        <w:spacing w:after="11"/>
        <w:ind w:left="703" w:right="62"/>
      </w:pPr>
      <w:r>
        <w:t xml:space="preserve">4 de los concejales del Grupo Socialista: </w:t>
      </w:r>
    </w:p>
    <w:p w:rsidR="007617AD" w:rsidRDefault="00EE75C8">
      <w:pPr>
        <w:spacing w:after="0"/>
        <w:ind w:left="703" w:right="62"/>
      </w:pPr>
      <w:r>
        <w:t>Doña Olivia Concepción Pérez Díaz, D</w:t>
      </w:r>
      <w:r>
        <w:t xml:space="preserve">on Manuel Alberto González Pestano, Doña Margarita Eva Tendero Barroso y Don Airam Pérez Chinea.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1 de la concejal del Grupo Mixto (SSP): Doña Lourdes del Carmen Mondéjar Rondón.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ind w:left="703" w:right="3510"/>
      </w:pPr>
      <w:r>
        <w:rPr>
          <w:b/>
        </w:rPr>
        <w:t xml:space="preserve">JUNTA DE PORTAVOCES DE 27 DE JUNIO DE 2022  </w:t>
      </w:r>
      <w:r>
        <w:t xml:space="preserve">Quedó oída.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11"/>
        <w:ind w:left="703" w:right="58"/>
      </w:pPr>
      <w:r>
        <w:rPr>
          <w:b/>
        </w:rPr>
        <w:t xml:space="preserve">VOTACIÓN EN EL PLENO DE 30 DE JUNIO DE 2022.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Votos a favor: 2. </w:t>
      </w:r>
    </w:p>
    <w:p w:rsidR="007617AD" w:rsidRDefault="00EE75C8">
      <w:pPr>
        <w:ind w:left="703" w:right="62"/>
      </w:pPr>
      <w:r>
        <w:t xml:space="preserve">1 del concejal del Grupo Popular, Don Jacobo López Fariña. </w:t>
      </w:r>
    </w:p>
    <w:p w:rsidR="007617AD" w:rsidRDefault="00EE75C8">
      <w:pPr>
        <w:ind w:left="703" w:right="62"/>
      </w:pPr>
      <w:r>
        <w:t xml:space="preserve">1 de la concejal del Grupo Mixto (VxC): Doña Alicia Mercedes Marrero Meneses. </w:t>
      </w:r>
    </w:p>
    <w:p w:rsidR="007617AD" w:rsidRDefault="00EE75C8">
      <w:pPr>
        <w:spacing w:after="11"/>
        <w:ind w:left="703" w:right="62"/>
      </w:pPr>
      <w:r>
        <w:t xml:space="preserve">Votos en contra: 9. </w:t>
      </w:r>
    </w:p>
    <w:p w:rsidR="007617AD" w:rsidRDefault="00EE75C8">
      <w:pPr>
        <w:ind w:left="703" w:right="62"/>
      </w:pPr>
      <w:r>
        <w:t>9 concejales del Grupo Social</w:t>
      </w:r>
      <w:r>
        <w:t>ista: Doña María Concepción Brito Núñez, Don Jorge Baute Delgado, Doña Olivia Concepción Pérez Díaz, Don José Francisco Pinto Ramos, Doña Hilaria Cecilia Otazo González, Don Airam Pérez Chinea, Don Manuel Alberto González Pestano, Don Olegario Francisco Al</w:t>
      </w:r>
      <w:r>
        <w:t xml:space="preserve">onso Bello y Don Reinaldo José Triviño Blanco. </w:t>
      </w:r>
    </w:p>
    <w:p w:rsidR="007617AD" w:rsidRDefault="00EE75C8">
      <w:pPr>
        <w:spacing w:after="11"/>
        <w:ind w:left="703" w:right="62"/>
      </w:pPr>
      <w:r>
        <w:t xml:space="preserve">Abstenciones: 3. </w:t>
      </w:r>
    </w:p>
    <w:p w:rsidR="007617AD" w:rsidRDefault="00EE75C8">
      <w:pPr>
        <w:spacing w:after="0" w:line="259" w:lineRule="auto"/>
        <w:ind w:left="708" w:firstLine="0"/>
        <w:jc w:val="left"/>
      </w:pPr>
      <w:r>
        <w:t xml:space="preserve"> </w:t>
      </w:r>
    </w:p>
    <w:p w:rsidR="007617AD" w:rsidRDefault="00EE75C8">
      <w:pPr>
        <w:ind w:left="703" w:right="62"/>
      </w:pPr>
      <w:r>
        <w:t xml:space="preserve">2 de los concejales del Grupo Mixto (SSP), Doña Lourdes del Carmen Mondéjar Rondón y Don Antonio Delgado García. </w:t>
      </w:r>
    </w:p>
    <w:p w:rsidR="007617AD" w:rsidRDefault="00EE75C8">
      <w:pPr>
        <w:ind w:left="703" w:right="62"/>
      </w:pPr>
      <w:r>
        <w:t xml:space="preserve">1 de la concejal del Grupo Mixto (CC-PNC): Doña Ángela Cruz Perera. </w:t>
      </w:r>
    </w:p>
    <w:p w:rsidR="007617AD" w:rsidRDefault="00EE75C8">
      <w:pPr>
        <w:spacing w:after="98" w:line="259" w:lineRule="auto"/>
        <w:ind w:left="708" w:firstLine="0"/>
        <w:jc w:val="left"/>
      </w:pPr>
      <w:r>
        <w:t xml:space="preserve"> </w:t>
      </w:r>
    </w:p>
    <w:p w:rsidR="007617AD" w:rsidRDefault="00EE75C8">
      <w:pPr>
        <w:spacing w:after="95" w:line="259" w:lineRule="auto"/>
        <w:ind w:left="708" w:firstLine="0"/>
        <w:jc w:val="left"/>
      </w:pPr>
      <w:r>
        <w:t xml:space="preserve"> </w:t>
      </w:r>
    </w:p>
    <w:p w:rsidR="007617AD" w:rsidRDefault="00EE75C8">
      <w:pPr>
        <w:spacing w:after="11"/>
        <w:ind w:left="2137" w:right="58"/>
      </w:pPr>
      <w:r>
        <w:rPr>
          <w:b/>
        </w:rPr>
        <w:t xml:space="preserve"> </w:t>
      </w:r>
      <w:r>
        <w:rPr>
          <w:b/>
        </w:rPr>
        <w:t xml:space="preserve">ACUERDO DEL PLENO DE 30 DE JUNIO DE 2022. </w:t>
      </w:r>
    </w:p>
    <w:p w:rsidR="007617AD" w:rsidRDefault="00EE75C8">
      <w:pPr>
        <w:spacing w:after="0" w:line="259" w:lineRule="auto"/>
        <w:ind w:left="2127" w:firstLine="0"/>
        <w:jc w:val="left"/>
      </w:pPr>
      <w:r>
        <w:rPr>
          <w:b/>
        </w:rPr>
        <w:t xml:space="preserve"> </w:t>
      </w:r>
    </w:p>
    <w:p w:rsidR="007617AD" w:rsidRDefault="00EE75C8">
      <w:pPr>
        <w:ind w:left="703" w:right="58"/>
      </w:pPr>
      <w:r>
        <w:rPr>
          <w:b/>
        </w:rPr>
        <w:t>Desestimar la moción del grupo Mixto con nº de Registro de entrada (2022-E-RE-2957) del 14 de junio para impulsar la implantación en Candelaria, del Carnet Joven Local orientado a personas entre 14 y 30 años.</w:t>
      </w:r>
      <w:r>
        <w:t xml:space="preserve"> </w:t>
      </w:r>
    </w:p>
    <w:p w:rsidR="007617AD" w:rsidRDefault="00EE75C8">
      <w:pPr>
        <w:spacing w:after="0" w:line="259" w:lineRule="auto"/>
        <w:ind w:left="708" w:firstLine="0"/>
        <w:jc w:val="left"/>
      </w:pPr>
      <w:r>
        <w:rPr>
          <w:b/>
        </w:rPr>
        <w:t xml:space="preserve"> </w:t>
      </w:r>
    </w:p>
    <w:p w:rsidR="007617AD" w:rsidRDefault="00EE75C8">
      <w:pPr>
        <w:spacing w:after="235" w:line="259" w:lineRule="auto"/>
        <w:ind w:left="708" w:firstLine="0"/>
        <w:jc w:val="left"/>
      </w:pPr>
      <w:r>
        <w:t xml:space="preserve"> </w:t>
      </w:r>
    </w:p>
    <w:p w:rsidR="007617AD" w:rsidRDefault="00EE75C8">
      <w:pPr>
        <w:spacing w:after="79" w:line="259" w:lineRule="auto"/>
        <w:ind w:left="0" w:right="256" w:firstLine="0"/>
        <w:jc w:val="center"/>
      </w:pPr>
      <w:r>
        <w:rPr>
          <w:b/>
          <w:sz w:val="24"/>
        </w:rPr>
        <w:t xml:space="preserve">9.- Urgencias:  </w:t>
      </w:r>
    </w:p>
    <w:p w:rsidR="007617AD" w:rsidRDefault="00EE75C8">
      <w:pPr>
        <w:spacing w:after="117" w:line="259" w:lineRule="auto"/>
        <w:ind w:left="708" w:firstLine="0"/>
        <w:jc w:val="left"/>
      </w:pPr>
      <w:r>
        <w:rPr>
          <w:b/>
        </w:rPr>
        <w:t xml:space="preserve"> </w:t>
      </w:r>
    </w:p>
    <w:p w:rsidR="007617AD" w:rsidRDefault="00EE75C8">
      <w:pPr>
        <w:spacing w:after="101" w:line="241" w:lineRule="auto"/>
        <w:ind w:left="703" w:right="56"/>
      </w:pPr>
      <w:r>
        <w:rPr>
          <w:rFonts w:ascii="Calibri" w:eastAsia="Calibri" w:hAnsi="Calibri" w:cs="Calibri"/>
          <w:noProof/>
        </w:rPr>
        <mc:AlternateContent>
          <mc:Choice Requires="wpg">
            <w:drawing>
              <wp:anchor distT="0" distB="0" distL="114300" distR="114300" simplePos="0" relativeHeight="25184665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4056" name="Group 28405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0204" name="Rectangle 30204"/>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30205" name="Rectangle 30205"/>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182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4056" style="width:12.7031pt;height:280.02pt;position:absolute;mso-position-horizontal-relative:page;mso-position-horizontal:absolute;margin-left:682.278pt;mso-position-vertical-relative:page;margin-top:531.9pt;" coordsize="1613,35562">
                <v:rect id="Rectangle 30204"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0205"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182 de 192 </w:t>
                        </w:r>
                      </w:p>
                    </w:txbxContent>
                  </v:textbox>
                </v:rect>
                <w10:wrap type="square"/>
              </v:group>
            </w:pict>
          </mc:Fallback>
        </mc:AlternateContent>
      </w:r>
      <w:r>
        <w:rPr>
          <w:b/>
          <w:sz w:val="24"/>
        </w:rPr>
        <w:t>Expediente nº: 9753/2020. Aprobación por el Pleno municipal del Plan de Acción para el Clima y Energía Sostenible (PACES) de Candelaria.</w:t>
      </w:r>
      <w:r>
        <w:rPr>
          <w:sz w:val="24"/>
        </w:rPr>
        <w:t xml:space="preserve"> </w:t>
      </w:r>
    </w:p>
    <w:p w:rsidR="007617AD" w:rsidRDefault="00EE75C8">
      <w:pPr>
        <w:spacing w:after="98" w:line="259" w:lineRule="auto"/>
        <w:ind w:left="708" w:firstLine="0"/>
        <w:jc w:val="left"/>
      </w:pPr>
      <w:r>
        <w:t xml:space="preserve"> </w:t>
      </w:r>
    </w:p>
    <w:p w:rsidR="007617AD" w:rsidRDefault="00EE75C8">
      <w:pPr>
        <w:ind w:left="703" w:right="58"/>
      </w:pPr>
      <w:r>
        <w:rPr>
          <w:b/>
        </w:rPr>
        <w:t xml:space="preserve">Consta en el expediente propuesta de la Alcaldesa-Presidenta del Ayuntamiento de Candelaria de fecha 23 de junio de </w:t>
      </w:r>
      <w:r>
        <w:rPr>
          <w:b/>
        </w:rPr>
        <w:t xml:space="preserve">2022 que transcrita literalmente dice: </w:t>
      </w:r>
    </w:p>
    <w:p w:rsidR="007617AD" w:rsidRDefault="00EE75C8">
      <w:pPr>
        <w:spacing w:after="100" w:line="259" w:lineRule="auto"/>
        <w:ind w:left="708" w:firstLine="0"/>
        <w:jc w:val="left"/>
      </w:pPr>
      <w:r>
        <w:t xml:space="preserve"> </w:t>
      </w:r>
    </w:p>
    <w:p w:rsidR="007617AD" w:rsidRDefault="00EE75C8">
      <w:pPr>
        <w:ind w:left="703" w:right="62"/>
      </w:pPr>
      <w:r>
        <w:t xml:space="preserve">Doña María Concepción Brito Núñez, en calidad de Alcaldesa Presidenta del Ayuntamiento de Candelaria y al amparo de lo dispuesto en el Reglamento de Organización, Funcionamiento y Régimen Jurídico de las Entidades </w:t>
      </w:r>
      <w:r>
        <w:t xml:space="preserve">Locales, así como en la Ley 7/1985, de 2 de abril, Reguladora de las Bases de Régimen Local, formula al Pleno de la Corporación la siguiente propuesta:  </w:t>
      </w:r>
    </w:p>
    <w:p w:rsidR="007617AD" w:rsidRDefault="00EE75C8">
      <w:pPr>
        <w:spacing w:after="95" w:line="259" w:lineRule="auto"/>
        <w:ind w:left="708" w:firstLine="0"/>
        <w:jc w:val="left"/>
      </w:pPr>
      <w:r>
        <w:t xml:space="preserve"> </w:t>
      </w:r>
    </w:p>
    <w:p w:rsidR="007617AD" w:rsidRDefault="00EE75C8">
      <w:pPr>
        <w:pStyle w:val="Ttulo4"/>
        <w:ind w:left="905" w:right="260"/>
      </w:pPr>
      <w:r>
        <w:t xml:space="preserve">APROBACIÓN DEL PLAN DE ACCIÓN PARA EL CLIMA Y LA ENERGÍA SOSTENIBLE (PACES) DE CANDELARIA </w:t>
      </w:r>
    </w:p>
    <w:p w:rsidR="007617AD" w:rsidRDefault="00EE75C8">
      <w:pPr>
        <w:spacing w:after="100" w:line="259" w:lineRule="auto"/>
        <w:ind w:left="699" w:firstLine="0"/>
        <w:jc w:val="center"/>
      </w:pPr>
      <w:r>
        <w:rPr>
          <w:b/>
        </w:rPr>
        <w:t xml:space="preserve"> </w:t>
      </w:r>
    </w:p>
    <w:p w:rsidR="007617AD" w:rsidRDefault="00EE75C8">
      <w:pPr>
        <w:ind w:left="703" w:right="62"/>
      </w:pPr>
      <w:r>
        <w:t>La Comi</w:t>
      </w:r>
      <w:r>
        <w:t xml:space="preserve">sión Europea lanzó el </w:t>
      </w:r>
      <w:r>
        <w:rPr>
          <w:i/>
        </w:rPr>
        <w:t>Pacto de las Alcaldías en el año 2008</w:t>
      </w:r>
      <w:r>
        <w:t xml:space="preserve"> </w:t>
      </w:r>
      <w:r>
        <w:t>con el objetivo de conseguir la participación y dar apoyo a las autoridades locales y regionales que de forma voluntaria firmaran el compromiso de alcanzar los objetivos en materia de energía de la UE en sus territorios respectivos para el año 2020 (meta 2</w:t>
      </w:r>
      <w:r>
        <w:t>0-20-20), esto es: reducción del 20% en la emisión de gases de efecto invernadero (respecto al año de referencia), lograr que el 20% del consumo de la energía en Europa debe provenir de fuentes de energía renovable y lograr un 20% de reducción en el uso de</w:t>
      </w:r>
      <w:r>
        <w:t xml:space="preserve"> energía primaria mediante el aumento de la eficiencia energética </w:t>
      </w:r>
    </w:p>
    <w:p w:rsidR="007617AD" w:rsidRDefault="00EE75C8">
      <w:pPr>
        <w:ind w:left="703" w:right="62"/>
      </w:pPr>
      <w:r>
        <w:t>Cuando una entidad local o regional se incorpora oficialmente al Pacto de las Alcaldías, las personas representantes firmantes se comprometen a desarrollar un Plan de Acción para el Clima y</w:t>
      </w:r>
      <w:r>
        <w:t xml:space="preserve"> la Energía Sostenible en el plazo de dos años, que debe ser aprobado por el órgano competente. El Plan de Acción de una entidad firmante describe los pasos que deben darse hacia sus objetivos de implementar políticas de energía sostenible. </w:t>
      </w:r>
    </w:p>
    <w:p w:rsidR="007617AD" w:rsidRDefault="00EE75C8">
      <w:pPr>
        <w:ind w:left="703" w:right="62"/>
      </w:pPr>
      <w:r>
        <w:t>En el año 2014</w:t>
      </w:r>
      <w:r>
        <w:t>, la Comisión Europea promueve la iniciativa</w:t>
      </w:r>
      <w:r>
        <w:rPr>
          <w:i/>
        </w:rPr>
        <w:t xml:space="preserve"> Alcaldías por la Adaptación,</w:t>
      </w:r>
      <w:r>
        <w:t xml:space="preserve"> basada en los mismos principios del Pacto de las Alcaldías y centrada en la adaptación al cambio climático. </w:t>
      </w:r>
    </w:p>
    <w:p w:rsidR="007617AD" w:rsidRDefault="00EE75C8">
      <w:pPr>
        <w:ind w:left="703" w:right="62"/>
      </w:pPr>
      <w:r>
        <w:t>Por su parte, el municipio de Candelaria, se adhirió al Pacto de las Alca</w:t>
      </w:r>
      <w:r>
        <w:t>ldías para la Energía Sostenible (PAES), el 26 de febrero de 2015, lo que obligaba al compromiso de aprobar un Plan de Acción. Mediante Decreto 790/2015 de 25 marzo, se adjudicó el contrato de servicios para la elaboración del Plan de Acción para la Energí</w:t>
      </w:r>
      <w:r>
        <w:t>a Sostenible (PAES) del municipio de Candelaria.  El citado Plan se registró el 15 de diciembre de 2015, es un documento estratégico en el que se recoge un Inventario de Emisiones (IRE año base 2011) y las actuaciones que contiene el propio Plan de Acción.</w:t>
      </w:r>
      <w:r>
        <w:t xml:space="preserve"> Dicho Plan de Acción de Energía Sostenible (PAES) de Candelaria fue aprobado por Junta de Gobierno Local en sesión ordinaria celebrada el 23 de febrero de 2016. </w:t>
      </w:r>
    </w:p>
    <w:p w:rsidR="007617AD" w:rsidRDefault="00EE75C8">
      <w:pPr>
        <w:ind w:left="703" w:right="62"/>
      </w:pPr>
      <w:r>
        <w:t xml:space="preserve">Las iniciativas </w:t>
      </w:r>
      <w:r>
        <w:rPr>
          <w:i/>
        </w:rPr>
        <w:t>Pacto de las Alcaldías y Alcaldías por la Adaptación</w:t>
      </w:r>
      <w:r>
        <w:t xml:space="preserve"> </w:t>
      </w:r>
      <w:r>
        <w:t>se fusionaron el 15 de octubre de 2015 en el Parlamento Europeo. La nueva iniciativa, el Pacto de las Alcaldías para el Clima y la Energía es más ambiciosa y de mayor alcance: las ciudades firmantes se comprometen a respaldar activamente la implantación de</w:t>
      </w:r>
      <w:r>
        <w:t xml:space="preserve"> objetivos de reducción de los gases de efecto invernadero (GEI) en un 40% para el 2030 y a adoptar un enfoque integrado en las acciones de adaptación y mitigación del cambio climático, además de garantizar un acceso a la energía segura, sostenible y asequ</w:t>
      </w:r>
      <w:r>
        <w:t xml:space="preserve">ible para todas las personas.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84768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4738" name="Group 28473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0327" name="Rectangle 30327"/>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30328" name="Rectangle 30328"/>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183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4738" style="width:12.7031pt;height:280.02pt;position:absolute;mso-position-horizontal-relative:page;mso-position-horizontal:absolute;margin-left:682.278pt;mso-position-vertical-relative:page;margin-top:531.9pt;" coordsize="1613,35562">
                <v:rect id="Rectangle 30327"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0328"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183 de 192 </w:t>
                        </w:r>
                      </w:p>
                    </w:txbxContent>
                  </v:textbox>
                </v:rect>
                <w10:wrap type="square"/>
              </v:group>
            </w:pict>
          </mc:Fallback>
        </mc:AlternateContent>
      </w:r>
      <w:r>
        <w:t xml:space="preserve">En junio de 2016, el Pacto </w:t>
      </w:r>
      <w:r>
        <w:t>de las Alcaldías toma un nuevo impulso al decidir unir sus fuerzas con otra iniciativa a nivel local: la Coalición de Alcaldes y Alcaldesas. Como resultado surge el Pacto Mundial de las Alcaldías para el Clima y la Energía, el mayor movimiento de gobiernos</w:t>
      </w:r>
      <w:r>
        <w:t xml:space="preserve"> locales comprometidos en superar los objetivos nacionales en las citadas materias, en línea con los Objetivos de Desarrollo Sostenible de la ONU, la Agenda 2030 y los principios de justicia climática.  </w:t>
      </w:r>
    </w:p>
    <w:p w:rsidR="007617AD" w:rsidRDefault="00EE75C8">
      <w:pPr>
        <w:ind w:left="703" w:right="62"/>
      </w:pPr>
      <w:r>
        <w:t>Las administraciones locales firmantes del Pacto deb</w:t>
      </w:r>
      <w:r>
        <w:t>en actualizar sus compromisos a las exigencias que se acuerdan en su seno, así como a las que impone la normativa europea, nacional y autonómica para hacer frente a los retos que impone la emergencia climática mundial. Y dado que, transición hacia una Euro</w:t>
      </w:r>
      <w:r>
        <w:t>pa climáticamente neutral y más justa implica, desde el trabajo en la red, incrementar las ambiciones climáticas y comprometerse a actuar a la velocidad que demanda las sociedades de los Estados miembros y la Comunidad Científica, es por lo que las Alcalde</w:t>
      </w:r>
      <w:r>
        <w:t xml:space="preserve">sas y los Alcaldes han propuesto el nuevo </w:t>
      </w:r>
      <w:r>
        <w:rPr>
          <w:i/>
        </w:rPr>
        <w:t>Pacto de las Alcaldías –Europa 2050.</w:t>
      </w:r>
      <w:r>
        <w:t xml:space="preserve"> </w:t>
      </w:r>
    </w:p>
    <w:p w:rsidR="007617AD" w:rsidRDefault="00EE75C8">
      <w:pPr>
        <w:ind w:left="703" w:right="62"/>
      </w:pPr>
      <w:r>
        <w:t xml:space="preserve">El municipio de Candelaria ha firmado la Adhesión al </w:t>
      </w:r>
      <w:r>
        <w:rPr>
          <w:i/>
        </w:rPr>
        <w:t xml:space="preserve">Pacto de las Alcaldías –Europa 2050 </w:t>
      </w:r>
      <w:r>
        <w:t>con fecha 9 de mayo de 2022, tras ser aprobada la adhesión por la Junta de Gobierno Loc</w:t>
      </w:r>
      <w:r>
        <w:t xml:space="preserve">al el 6 de mayo de 2022. Y ha actualizado y redactado </w:t>
      </w:r>
      <w:r>
        <w:rPr>
          <w:b/>
        </w:rPr>
        <w:t>el Plan de Acción para el Clima y la Energía Sostenible (PACES) de Candelaria</w:t>
      </w:r>
      <w:r>
        <w:t xml:space="preserve"> a fin de cumplir con los compromisos adquiridos y cuyo objeto es implementar y ejecutar actuaciones en el marco de la sosten</w:t>
      </w:r>
      <w:r>
        <w:t>ibilidad ambiental, económica y social, optimizando el gasto en consumo energético e impulsar la gestión integral del desarrollo económico y social justo de la mano de una cooperación comunitaria, aumentando la resiliencia del municipio frente al cambio cl</w:t>
      </w:r>
      <w:r>
        <w:t xml:space="preserve">imático  respondiendo con firmeza al compromiso de reducir las emisiones de CO2 equivalentes en, al menos, un 40 % antes del año 2030 y logrando con una transición energética justa para toda la ciudadanía.  </w:t>
      </w:r>
    </w:p>
    <w:p w:rsidR="007617AD" w:rsidRDefault="00EE75C8">
      <w:pPr>
        <w:ind w:left="703" w:right="62"/>
      </w:pPr>
      <w:r>
        <w:t xml:space="preserve">El citado Plan de Acción consta entre otros de: </w:t>
      </w:r>
    </w:p>
    <w:p w:rsidR="007617AD" w:rsidRDefault="00EE75C8">
      <w:pPr>
        <w:numPr>
          <w:ilvl w:val="0"/>
          <w:numId w:val="93"/>
        </w:numPr>
        <w:ind w:right="62" w:hanging="360"/>
      </w:pPr>
      <w:r>
        <w:t xml:space="preserve">Inventario de emisiones de referencia (IER) </w:t>
      </w:r>
    </w:p>
    <w:p w:rsidR="007617AD" w:rsidRDefault="00EE75C8">
      <w:pPr>
        <w:numPr>
          <w:ilvl w:val="0"/>
          <w:numId w:val="93"/>
        </w:numPr>
        <w:ind w:right="62" w:hanging="360"/>
      </w:pPr>
      <w:r>
        <w:t xml:space="preserve">Evaluación local de los riesgos y vulnerabilidades del cambio climático </w:t>
      </w:r>
    </w:p>
    <w:p w:rsidR="007617AD" w:rsidRDefault="00EE75C8">
      <w:pPr>
        <w:numPr>
          <w:ilvl w:val="0"/>
          <w:numId w:val="93"/>
        </w:numPr>
        <w:ind w:right="62" w:hanging="360"/>
      </w:pPr>
      <w:r>
        <w:t xml:space="preserve">Diagnóstico energético </w:t>
      </w:r>
    </w:p>
    <w:p w:rsidR="007617AD" w:rsidRDefault="00EE75C8">
      <w:pPr>
        <w:numPr>
          <w:ilvl w:val="0"/>
          <w:numId w:val="93"/>
        </w:numPr>
        <w:ind w:right="62" w:hanging="360"/>
      </w:pPr>
      <w:r>
        <w:t xml:space="preserve">Plan de Acción </w:t>
      </w:r>
    </w:p>
    <w:p w:rsidR="007617AD" w:rsidRDefault="00EE75C8">
      <w:pPr>
        <w:ind w:left="703" w:right="62"/>
      </w:pPr>
      <w:r>
        <w:t>En consecuencia, esta Alcaldía propone al Pleno, previo dictamen de la Comisión informativa corre</w:t>
      </w:r>
      <w:r>
        <w:t xml:space="preserve">spondiente, la adopción del siguiente acuerdo: </w:t>
      </w:r>
    </w:p>
    <w:p w:rsidR="007617AD" w:rsidRDefault="00EE75C8">
      <w:pPr>
        <w:ind w:left="703" w:right="62"/>
      </w:pPr>
      <w:r>
        <w:t xml:space="preserve">Único. - La aprobación del Plan de Acción para el Clima y la Energía Sostenible (PACES) de Candelaria, cuyo documento obra en el expediente. </w:t>
      </w:r>
    </w:p>
    <w:p w:rsidR="007617AD" w:rsidRDefault="00EE75C8">
      <w:pPr>
        <w:ind w:left="703" w:right="62"/>
      </w:pPr>
      <w:r>
        <w:t xml:space="preserve">No obstante, el Pleno acordará lo más procedente. </w:t>
      </w:r>
    </w:p>
    <w:p w:rsidR="007617AD" w:rsidRDefault="00EE75C8">
      <w:pPr>
        <w:spacing w:after="98" w:line="259" w:lineRule="auto"/>
        <w:ind w:left="708" w:firstLine="0"/>
        <w:jc w:val="left"/>
      </w:pPr>
      <w:r>
        <w:t xml:space="preserve"> </w:t>
      </w:r>
    </w:p>
    <w:p w:rsidR="007617AD" w:rsidRDefault="00EE75C8">
      <w:pPr>
        <w:ind w:left="703" w:right="62"/>
      </w:pPr>
      <w:r>
        <w:t>Al no estar d</w:t>
      </w:r>
      <w:r>
        <w:t xml:space="preserve">ictaminado este asunto por la Comisión Informativa de Hacienda, Servicios Generales y Recursos Humanos se ratificó la inclusión en el orden del día por la unanimidad de los concejales presentes. </w:t>
      </w:r>
    </w:p>
    <w:p w:rsidR="007617AD" w:rsidRDefault="00EE75C8">
      <w:pPr>
        <w:spacing w:after="100" w:line="259" w:lineRule="auto"/>
        <w:ind w:left="708" w:firstLine="0"/>
        <w:jc w:val="left"/>
      </w:pPr>
      <w:r>
        <w:t xml:space="preserve"> </w:t>
      </w:r>
    </w:p>
    <w:p w:rsidR="007617AD" w:rsidRDefault="00EE75C8">
      <w:pPr>
        <w:spacing w:after="96" w:line="259" w:lineRule="auto"/>
        <w:ind w:left="708" w:firstLine="0"/>
        <w:jc w:val="left"/>
      </w:pPr>
      <w:r>
        <w:t xml:space="preserve"> </w:t>
      </w:r>
    </w:p>
    <w:p w:rsidR="007617AD" w:rsidRDefault="00EE75C8">
      <w:pPr>
        <w:ind w:left="703" w:right="58"/>
      </w:pPr>
      <w:r>
        <w:rPr>
          <w:b/>
        </w:rPr>
        <w:t xml:space="preserve">VOTACIÓN EN EL PLENO DE FECHA 30 DE JUNIO DE 2022 </w:t>
      </w:r>
    </w:p>
    <w:p w:rsidR="007617AD" w:rsidRDefault="00EE75C8">
      <w:pPr>
        <w:spacing w:after="11"/>
        <w:ind w:left="703" w:right="62"/>
      </w:pPr>
      <w:r>
        <w:t xml:space="preserve">Votos a favor: 12. </w:t>
      </w:r>
    </w:p>
    <w:p w:rsidR="007617AD" w:rsidRDefault="00EE75C8">
      <w:pPr>
        <w:spacing w:after="0" w:line="259" w:lineRule="auto"/>
        <w:ind w:left="708" w:firstLine="0"/>
        <w:jc w:val="left"/>
      </w:pPr>
      <w:r>
        <w:t xml:space="preserve"> </w:t>
      </w:r>
    </w:p>
    <w:p w:rsidR="007617AD" w:rsidRDefault="00EE75C8">
      <w:pPr>
        <w:ind w:left="703" w:right="62"/>
      </w:pPr>
      <w:r>
        <w:rPr>
          <w:rFonts w:ascii="Calibri" w:eastAsia="Calibri" w:hAnsi="Calibri" w:cs="Calibri"/>
          <w:noProof/>
        </w:rPr>
        <mc:AlternateContent>
          <mc:Choice Requires="wpg">
            <w:drawing>
              <wp:anchor distT="0" distB="0" distL="114300" distR="114300" simplePos="0" relativeHeight="25184870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4737" name="Group 28473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0440" name="Rectangle 3044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30441" name="Rectangle 30441"/>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184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4737" style="width:12.7031pt;height:280.02pt;position:absolute;mso-position-horizontal-relative:page;mso-position-horizontal:absolute;margin-left:682.278pt;mso-position-vertical-relative:page;margin-top:531.9pt;" coordsize="1613,35562">
                <v:rect id="Rectangle 3044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0441"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184 de 192 </w:t>
                        </w:r>
                      </w:p>
                    </w:txbxContent>
                  </v:textbox>
                </v:rect>
                <w10:wrap type="square"/>
              </v:group>
            </w:pict>
          </mc:Fallback>
        </mc:AlternateContent>
      </w:r>
      <w:r>
        <w:t>9 concejales del Grupo Socialista: D</w:t>
      </w:r>
      <w:r>
        <w:t>oña María Concepción Brito Núñez, Don Jorge Baute Delgado, Doña Olivia Concepción Pérez Díaz, Don José Francisco Pinto Ramos, Doña Hilaria Cecilia Otazo González, Don Airam Pérez Chinea, Don Manuel Alberto González Pestano, Don Olegario Francisco Alonso Be</w:t>
      </w:r>
      <w:r>
        <w:t xml:space="preserve">llo y Don Reinaldo José Triviño Blanco. </w:t>
      </w:r>
    </w:p>
    <w:p w:rsidR="007617AD" w:rsidRDefault="00EE75C8">
      <w:pPr>
        <w:ind w:left="703" w:right="62"/>
      </w:pPr>
      <w:r>
        <w:t xml:space="preserve">1 del concejal del Grupo Popular, Don Jacobo López Fariña. </w:t>
      </w:r>
    </w:p>
    <w:p w:rsidR="007617AD" w:rsidRDefault="00EE75C8">
      <w:pPr>
        <w:ind w:left="703" w:right="62"/>
      </w:pPr>
      <w:r>
        <w:t xml:space="preserve">1 de la concejal del Grupo Mixto (CC-PNC): Doña Ángela Cruz Perera. </w:t>
      </w:r>
    </w:p>
    <w:p w:rsidR="007617AD" w:rsidRDefault="00EE75C8">
      <w:pPr>
        <w:numPr>
          <w:ilvl w:val="0"/>
          <w:numId w:val="94"/>
        </w:numPr>
        <w:ind w:left="877" w:right="62" w:hanging="184"/>
      </w:pPr>
      <w:r>
        <w:t xml:space="preserve">de la concejal del Grupo Mixto (VxC): Doña Alicia Mercedes Marrero Meneses.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Abstenciones: 2. </w:t>
      </w:r>
    </w:p>
    <w:p w:rsidR="007617AD" w:rsidRDefault="00EE75C8">
      <w:pPr>
        <w:spacing w:after="0" w:line="259" w:lineRule="auto"/>
        <w:ind w:left="708" w:firstLine="0"/>
        <w:jc w:val="left"/>
      </w:pPr>
      <w:r>
        <w:t xml:space="preserve"> </w:t>
      </w:r>
    </w:p>
    <w:p w:rsidR="007617AD" w:rsidRDefault="00EE75C8">
      <w:pPr>
        <w:numPr>
          <w:ilvl w:val="0"/>
          <w:numId w:val="94"/>
        </w:numPr>
        <w:ind w:left="877" w:right="62" w:hanging="184"/>
      </w:pPr>
      <w:r>
        <w:t xml:space="preserve">de los concejales del Grupo Mixto (SSP), Doña Lourdes del Carmen Mondéjar Rondón y Don Antonio Delgado García. </w:t>
      </w:r>
    </w:p>
    <w:p w:rsidR="007617AD" w:rsidRDefault="00EE75C8">
      <w:pPr>
        <w:spacing w:after="98" w:line="259" w:lineRule="auto"/>
        <w:ind w:left="708" w:firstLine="0"/>
        <w:jc w:val="left"/>
      </w:pPr>
      <w:r>
        <w:t xml:space="preserve"> </w:t>
      </w:r>
    </w:p>
    <w:p w:rsidR="007617AD" w:rsidRDefault="00EE75C8">
      <w:pPr>
        <w:spacing w:after="98" w:line="259" w:lineRule="auto"/>
        <w:ind w:left="708" w:firstLine="0"/>
        <w:jc w:val="left"/>
      </w:pPr>
      <w:r>
        <w:t xml:space="preserve"> </w:t>
      </w:r>
    </w:p>
    <w:p w:rsidR="007617AD" w:rsidRDefault="00EE75C8">
      <w:pPr>
        <w:pStyle w:val="Ttulo4"/>
        <w:ind w:left="905" w:right="255"/>
      </w:pPr>
      <w:r>
        <w:t xml:space="preserve">ACUERDO DEL PLENO DE FECHA 30 DE JUNIO DE 2022 </w:t>
      </w:r>
    </w:p>
    <w:p w:rsidR="007617AD" w:rsidRDefault="00EE75C8">
      <w:pPr>
        <w:ind w:left="703" w:right="58"/>
      </w:pPr>
      <w:r>
        <w:rPr>
          <w:b/>
        </w:rPr>
        <w:t>Único. - La aprobación del Plan de Acción para el Clima y la Energía Sos</w:t>
      </w:r>
      <w:r>
        <w:rPr>
          <w:b/>
        </w:rPr>
        <w:t>tenible (PACES) de Candelaria, cuyo documento obra en el expediente.</w:t>
      </w: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numPr>
          <w:ilvl w:val="0"/>
          <w:numId w:val="95"/>
        </w:numPr>
        <w:spacing w:after="10" w:line="249" w:lineRule="auto"/>
        <w:ind w:hanging="360"/>
        <w:jc w:val="left"/>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ind w:left="703" w:right="58"/>
      </w:pPr>
      <w:r>
        <w:rPr>
          <w:b/>
        </w:rPr>
        <w:t xml:space="preserve">10.- Dación de Cuenta de los Decretos de la Alcaldía-Presidencia y de los Concejales delegados. </w:t>
      </w:r>
    </w:p>
    <w:p w:rsidR="007617AD" w:rsidRDefault="00EE75C8">
      <w:pPr>
        <w:spacing w:after="0" w:line="259" w:lineRule="auto"/>
        <w:ind w:left="708" w:firstLine="0"/>
        <w:jc w:val="left"/>
      </w:pPr>
      <w:r>
        <w:rPr>
          <w:b/>
        </w:rPr>
        <w:t xml:space="preserve"> </w:t>
      </w:r>
    </w:p>
    <w:p w:rsidR="007617AD" w:rsidRDefault="00EE75C8">
      <w:pPr>
        <w:spacing w:after="0"/>
        <w:ind w:left="703" w:right="136"/>
      </w:pPr>
      <w:r>
        <w:rPr>
          <w:b/>
        </w:rPr>
        <w:t xml:space="preserve">11.- </w:t>
      </w:r>
      <w:r>
        <w:rPr>
          <w:b/>
        </w:rPr>
        <w:t>Informe del Interventor en su caso de las resoluciones adoptadas por la Presidenta de la Corporación Local contrarias a los reparos efectuados en cumplimiento de la Ley 27/2013, de 27 de diciembre de racionalización y sostenibilidad de la Administración Lo</w:t>
      </w:r>
      <w:r>
        <w:rPr>
          <w:b/>
        </w:rPr>
        <w:t>cal</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t xml:space="preserve"> </w:t>
      </w:r>
    </w:p>
    <w:p w:rsidR="007617AD" w:rsidRDefault="00EE75C8">
      <w:pPr>
        <w:numPr>
          <w:ilvl w:val="0"/>
          <w:numId w:val="95"/>
        </w:numPr>
        <w:spacing w:after="10" w:line="249" w:lineRule="auto"/>
        <w:ind w:hanging="360"/>
        <w:jc w:val="left"/>
      </w:pPr>
      <w:r>
        <w:rPr>
          <w:b/>
          <w:u w:val="single" w:color="000000"/>
        </w:rPr>
        <w:t>Ruegos y preguntas</w:t>
      </w:r>
      <w:r>
        <w:rPr>
          <w:b/>
        </w:rPr>
        <w:t>.</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12.- Ruegos y preguntas.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rPr>
          <w:b/>
          <w:color w:val="141823"/>
        </w:rPr>
        <w:t xml:space="preserve">- RUEGOS Y PREGUNTAS. </w:t>
      </w:r>
      <w:r>
        <w:rPr>
          <w:rFonts w:ascii="Times New Roman" w:eastAsia="Times New Roman" w:hAnsi="Times New Roman" w:cs="Times New Roman"/>
          <w:sz w:val="24"/>
        </w:rPr>
        <w:t xml:space="preserve"> </w:t>
      </w:r>
    </w:p>
    <w:p w:rsidR="007617AD" w:rsidRDefault="00EE75C8">
      <w:pPr>
        <w:spacing w:after="0" w:line="259" w:lineRule="auto"/>
        <w:ind w:left="708" w:firstLine="0"/>
        <w:jc w:val="left"/>
      </w:pPr>
      <w:r>
        <w:rPr>
          <w:b/>
          <w:color w:val="141823"/>
        </w:rPr>
        <w:t xml:space="preserve"> </w:t>
      </w:r>
    </w:p>
    <w:p w:rsidR="007617AD" w:rsidRDefault="00EE75C8">
      <w:pPr>
        <w:spacing w:after="43"/>
        <w:ind w:left="703" w:right="2987"/>
      </w:pPr>
      <w:r>
        <w:rPr>
          <w:rFonts w:ascii="Calibri" w:eastAsia="Calibri" w:hAnsi="Calibri" w:cs="Calibri"/>
          <w:noProof/>
        </w:rPr>
        <mc:AlternateContent>
          <mc:Choice Requires="wpg">
            <w:drawing>
              <wp:anchor distT="0" distB="0" distL="114300" distR="114300" simplePos="0" relativeHeight="25184972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5126" name="Group 285126"/>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0575" name="Rectangle 3057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30576" name="Rectangle 30576"/>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185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5126" style="width:12.7031pt;height:280.02pt;position:absolute;mso-position-horizontal-relative:page;mso-position-horizontal:absolute;margin-left:682.278pt;mso-position-vertical-relative:page;margin-top:531.9pt;" coordsize="1613,35562">
                <v:rect id="Rectangle 3057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0576"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185 de 192 </w:t>
                        </w:r>
                      </w:p>
                    </w:txbxContent>
                  </v:textbox>
                </v:rect>
                <w10:wrap type="square"/>
              </v:group>
            </w:pict>
          </mc:Fallback>
        </mc:AlternateContent>
      </w:r>
      <w:r>
        <w:rPr>
          <w:b/>
        </w:rPr>
        <w:t xml:space="preserve">INTERVIENE LA SEÑORA ALCALDESA-PRESIDENTA.  </w:t>
      </w:r>
      <w:r>
        <w:t xml:space="preserve"> Pasamos al punto de Ruegos y Preguntas. </w:t>
      </w:r>
    </w:p>
    <w:p w:rsidR="007617AD" w:rsidRDefault="00EE75C8">
      <w:pPr>
        <w:spacing w:after="11"/>
        <w:ind w:left="703" w:right="62"/>
      </w:pPr>
      <w:r>
        <w:t>Ruegos, Doña Alicia. -</w:t>
      </w:r>
      <w:r>
        <w:rPr>
          <w:rFonts w:ascii="Times New Roman" w:eastAsia="Times New Roman" w:hAnsi="Times New Roman" w:cs="Times New Roman"/>
          <w:sz w:val="24"/>
        </w:rPr>
        <w:t xml:space="preserve"> </w:t>
      </w:r>
    </w:p>
    <w:p w:rsidR="007617AD" w:rsidRDefault="00EE75C8">
      <w:pPr>
        <w:spacing w:after="19" w:line="259" w:lineRule="auto"/>
        <w:ind w:left="708" w:firstLine="0"/>
        <w:jc w:val="left"/>
      </w:pPr>
      <w:r>
        <w:rPr>
          <w:b/>
        </w:rPr>
        <w:t xml:space="preserve"> </w:t>
      </w:r>
    </w:p>
    <w:p w:rsidR="007617AD" w:rsidRDefault="00EE75C8">
      <w:pPr>
        <w:spacing w:after="30"/>
        <w:ind w:left="703" w:right="58"/>
      </w:pPr>
      <w:r>
        <w:rPr>
          <w:b/>
        </w:rPr>
        <w:t xml:space="preserve">INTERVIENE DOÑA ALICIA MERCEDES MARRERO MENESES. </w:t>
      </w:r>
      <w:r>
        <w:rPr>
          <w:b/>
        </w:rPr>
        <w:t xml:space="preserve"> </w:t>
      </w:r>
    </w:p>
    <w:p w:rsidR="007617AD" w:rsidRDefault="00EE75C8">
      <w:pPr>
        <w:spacing w:after="26"/>
        <w:ind w:left="703" w:right="62"/>
      </w:pPr>
      <w:r>
        <w:t xml:space="preserve">Nos indican nuestros vecinos la presencia de malos olores que emanan en ciertas partes de nuestro saneamiento público, así, zona cercana a Residencial el Carmen y alrededores, la confluencia de la calle Getón con dicha Avenida Marítima, y al llegar a la </w:t>
      </w:r>
      <w:r>
        <w:t xml:space="preserve">Plaza de la Patrona de Canarias, por la calle Obispo Pérez Cáceres se percibe un mal olor que resulta desagradable y molesto para vecinos y para quienes nos visitan. </w:t>
      </w:r>
    </w:p>
    <w:p w:rsidR="007617AD" w:rsidRDefault="00EE75C8">
      <w:pPr>
        <w:spacing w:after="25"/>
        <w:ind w:left="703" w:right="62"/>
      </w:pPr>
      <w:r>
        <w:t xml:space="preserve">Ruego se proceda a solventar con los medios disponibles esta desagradable incidencia que </w:t>
      </w:r>
      <w:r>
        <w:t xml:space="preserve">emana del saneamiento existente. - </w:t>
      </w:r>
    </w:p>
    <w:p w:rsidR="007617AD" w:rsidRDefault="00EE75C8">
      <w:pPr>
        <w:spacing w:after="19" w:line="259" w:lineRule="auto"/>
        <w:ind w:left="708" w:firstLine="0"/>
        <w:jc w:val="left"/>
      </w:pPr>
      <w:r>
        <w:rPr>
          <w:b/>
        </w:rPr>
        <w:t xml:space="preserve"> </w:t>
      </w:r>
    </w:p>
    <w:p w:rsidR="007617AD" w:rsidRDefault="00EE75C8">
      <w:pPr>
        <w:spacing w:after="30"/>
        <w:ind w:left="703" w:right="58"/>
      </w:pPr>
      <w:r>
        <w:rPr>
          <w:b/>
        </w:rPr>
        <w:t xml:space="preserve">INTERVIENE LA SEÑORA ALCALDESA-PRESIDENTA.  </w:t>
      </w:r>
    </w:p>
    <w:p w:rsidR="007617AD" w:rsidRDefault="00EE75C8">
      <w:pPr>
        <w:spacing w:after="25"/>
        <w:ind w:left="703" w:right="62"/>
      </w:pPr>
      <w:r>
        <w:t xml:space="preserve">Pues lo vemos Jorge, lo vemos con Aqualia a ver qué es lo que, si hay alguna incidencia. Gracias. Si Doña Ángela.  </w:t>
      </w:r>
    </w:p>
    <w:p w:rsidR="007617AD" w:rsidRDefault="00EE75C8">
      <w:pPr>
        <w:spacing w:after="16" w:line="259" w:lineRule="auto"/>
        <w:ind w:left="708" w:firstLine="0"/>
        <w:jc w:val="left"/>
      </w:pPr>
      <w:r>
        <w:t xml:space="preserve"> </w:t>
      </w:r>
    </w:p>
    <w:p w:rsidR="007617AD" w:rsidRDefault="00EE75C8">
      <w:pPr>
        <w:spacing w:after="30"/>
        <w:ind w:left="703" w:right="58"/>
      </w:pPr>
      <w:r>
        <w:rPr>
          <w:b/>
        </w:rPr>
        <w:t xml:space="preserve">INTERVIENE DOÑA ÁNGELA CRUZ PERERA  </w:t>
      </w:r>
    </w:p>
    <w:p w:rsidR="007617AD" w:rsidRDefault="00EE75C8">
      <w:pPr>
        <w:spacing w:after="25"/>
        <w:ind w:left="703" w:right="62"/>
      </w:pPr>
      <w:r>
        <w:t xml:space="preserve">Ruego que se tome </w:t>
      </w:r>
      <w:r>
        <w:t>de manera urgente las medidas pertinentes para solucionar el hundimiento de una alcantarilla en la Calle Mencey Adjona, que está ubicada exactamente en un paso de peatones y que ya ha ocasionado la caída de una vecina en esta zona muy transitada y que se u</w:t>
      </w:r>
      <w:r>
        <w:t>tiliza por mucha gente para el trasvase de la Avenida Marítima a la Rambla de los Menceyes y agradecer que se haya arreglado también en el paso de peatones, esta vez en el cruce de la Calle Pelicar con la Avenida Marítima ese boquete que se estaba abriendo</w:t>
      </w:r>
      <w:r>
        <w:t xml:space="preserve"> junto a la rejilla de recogida de pluviales, que casi se me queda la rueda del coche, agradecer al Ayuntamiento que haya realizado la obra de forma urgente.  </w:t>
      </w:r>
    </w:p>
    <w:p w:rsidR="007617AD" w:rsidRDefault="00EE75C8">
      <w:pPr>
        <w:spacing w:after="14" w:line="259" w:lineRule="auto"/>
        <w:ind w:left="708" w:firstLine="0"/>
        <w:jc w:val="left"/>
      </w:pPr>
      <w:r>
        <w:t xml:space="preserve"> </w:t>
      </w:r>
    </w:p>
    <w:p w:rsidR="007617AD" w:rsidRDefault="00EE75C8">
      <w:pPr>
        <w:spacing w:after="32"/>
        <w:ind w:left="703" w:right="58"/>
      </w:pPr>
      <w:r>
        <w:rPr>
          <w:b/>
        </w:rPr>
        <w:t xml:space="preserve">INTERVIENE LA SEÑORA ALCALDESA-PRESIDENTA. -.  </w:t>
      </w:r>
    </w:p>
    <w:p w:rsidR="007617AD" w:rsidRDefault="00EE75C8">
      <w:pPr>
        <w:spacing w:after="28"/>
        <w:ind w:left="703" w:right="62"/>
      </w:pPr>
      <w:r>
        <w:t xml:space="preserve">Gracias Doña Ángela, vemos lo de la alcantarilla a ver de qué se trata. </w:t>
      </w:r>
    </w:p>
    <w:p w:rsidR="007617AD" w:rsidRDefault="00EE75C8">
      <w:pPr>
        <w:spacing w:after="27"/>
        <w:ind w:left="703" w:right="62"/>
      </w:pPr>
      <w:r>
        <w:t xml:space="preserve">Ruegos por parte de Si se Puede, Don Antonio. - </w:t>
      </w:r>
    </w:p>
    <w:p w:rsidR="007617AD" w:rsidRDefault="00EE75C8">
      <w:pPr>
        <w:spacing w:after="14" w:line="259" w:lineRule="auto"/>
        <w:ind w:left="708" w:firstLine="0"/>
        <w:jc w:val="left"/>
      </w:pPr>
      <w:r>
        <w:t xml:space="preserve"> </w:t>
      </w:r>
    </w:p>
    <w:p w:rsidR="007617AD" w:rsidRDefault="00EE75C8">
      <w:pPr>
        <w:spacing w:after="30"/>
        <w:ind w:left="703" w:right="58"/>
      </w:pPr>
      <w:r>
        <w:rPr>
          <w:b/>
        </w:rPr>
        <w:t xml:space="preserve">INTERVIENE DON ANTONIO DELGADO GARCÍA - </w:t>
      </w:r>
    </w:p>
    <w:p w:rsidR="007617AD" w:rsidRDefault="00EE75C8">
      <w:pPr>
        <w:spacing w:after="30"/>
        <w:ind w:left="703" w:right="62"/>
      </w:pPr>
      <w:r>
        <w:t xml:space="preserve">Buenos días a todos y a todas. </w:t>
      </w:r>
    </w:p>
    <w:p w:rsidR="007617AD" w:rsidRDefault="00EE75C8">
      <w:pPr>
        <w:spacing w:after="25"/>
        <w:ind w:left="703" w:right="62"/>
      </w:pPr>
      <w:r>
        <w:t>Solicitamos la realización del mantenimiento en la Plaza de</w:t>
      </w:r>
      <w:r>
        <w:t xml:space="preserve"> Las Caletillas hasta que se puedan realizar las obras de nuevo, la plaza se encuentra llena de escombros de las obras, incluso hay una tapa de la instalación eléctrica que está abierta, que puede ser un peligro para los vecinos. </w:t>
      </w:r>
    </w:p>
    <w:p w:rsidR="007617AD" w:rsidRDefault="00EE75C8">
      <w:pPr>
        <w:spacing w:after="19" w:line="259" w:lineRule="auto"/>
        <w:ind w:left="708" w:firstLine="0"/>
        <w:jc w:val="left"/>
      </w:pPr>
      <w:r>
        <w:t xml:space="preserve"> </w:t>
      </w:r>
    </w:p>
    <w:p w:rsidR="007617AD" w:rsidRDefault="00EE75C8">
      <w:pPr>
        <w:spacing w:after="27"/>
        <w:ind w:left="703" w:right="62"/>
      </w:pPr>
      <w:r>
        <w:t xml:space="preserve">(Habla don Jorge Baute </w:t>
      </w:r>
      <w:r>
        <w:t xml:space="preserve">Delgado, pero no se oye lo que dice) </w:t>
      </w:r>
    </w:p>
    <w:p w:rsidR="007617AD" w:rsidRDefault="00EE75C8">
      <w:pPr>
        <w:spacing w:after="16" w:line="259" w:lineRule="auto"/>
        <w:ind w:left="708" w:firstLine="0"/>
        <w:jc w:val="left"/>
      </w:pPr>
      <w:r>
        <w:t xml:space="preserve"> </w:t>
      </w:r>
    </w:p>
    <w:p w:rsidR="007617AD" w:rsidRDefault="00EE75C8">
      <w:pPr>
        <w:spacing w:after="0" w:line="311" w:lineRule="auto"/>
        <w:ind w:left="703" w:right="62"/>
      </w:pPr>
      <w:r>
        <w:t xml:space="preserve">…la obra hay que realizar un mantenimiento, porque se está llenando de basura y eso, no se puede dejar la plaza sin… </w:t>
      </w:r>
    </w:p>
    <w:p w:rsidR="007617AD" w:rsidRDefault="00EE75C8">
      <w:pPr>
        <w:spacing w:after="16" w:line="259" w:lineRule="auto"/>
        <w:ind w:left="708" w:firstLine="0"/>
        <w:jc w:val="left"/>
      </w:pPr>
      <w:r>
        <w:t xml:space="preserve"> </w:t>
      </w:r>
    </w:p>
    <w:p w:rsidR="007617AD" w:rsidRDefault="00EE75C8">
      <w:pPr>
        <w:spacing w:after="30"/>
        <w:ind w:left="703" w:right="58"/>
      </w:pPr>
      <w:r>
        <w:rPr>
          <w:rFonts w:ascii="Calibri" w:eastAsia="Calibri" w:hAnsi="Calibri" w:cs="Calibri"/>
          <w:noProof/>
        </w:rPr>
        <mc:AlternateContent>
          <mc:Choice Requires="wpg">
            <w:drawing>
              <wp:anchor distT="0" distB="0" distL="114300" distR="114300" simplePos="0" relativeHeight="25185075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5802" name="Group 28580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0691" name="Rectangle 3069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30692" name="Rectangle 30692"/>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186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5802" style="width:12.7031pt;height:280.02pt;position:absolute;mso-position-horizontal-relative:page;mso-position-horizontal:absolute;margin-left:682.278pt;mso-position-vertical-relative:page;margin-top:531.9pt;" coordsize="1613,35562">
                <v:rect id="Rectangle 3069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0692"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186 de 192 </w:t>
                        </w:r>
                      </w:p>
                    </w:txbxContent>
                  </v:textbox>
                </v:rect>
                <w10:wrap type="square"/>
              </v:group>
            </w:pict>
          </mc:Fallback>
        </mc:AlternateContent>
      </w:r>
      <w:r>
        <w:rPr>
          <w:b/>
        </w:rPr>
        <w:t xml:space="preserve">INTERVIENE DON JORGE BAUTE DELGADO: - </w:t>
      </w:r>
    </w:p>
    <w:p w:rsidR="007617AD" w:rsidRDefault="00EE75C8">
      <w:pPr>
        <w:spacing w:after="27"/>
        <w:ind w:left="703" w:right="62"/>
      </w:pPr>
      <w:r>
        <w:t xml:space="preserve">Está vallado </w:t>
      </w:r>
    </w:p>
    <w:p w:rsidR="007617AD" w:rsidRDefault="00EE75C8">
      <w:pPr>
        <w:spacing w:after="14" w:line="259" w:lineRule="auto"/>
        <w:ind w:left="708" w:firstLine="0"/>
        <w:jc w:val="left"/>
      </w:pPr>
      <w:r>
        <w:t xml:space="preserve"> </w:t>
      </w:r>
    </w:p>
    <w:p w:rsidR="007617AD" w:rsidRDefault="00EE75C8">
      <w:pPr>
        <w:spacing w:after="32"/>
        <w:ind w:left="703" w:right="58"/>
      </w:pPr>
      <w:r>
        <w:rPr>
          <w:b/>
        </w:rPr>
        <w:t>INTERV</w:t>
      </w:r>
      <w:r>
        <w:rPr>
          <w:b/>
        </w:rPr>
        <w:t xml:space="preserve">IENE DON ANTONIO DELGADO GARCÍA - </w:t>
      </w:r>
    </w:p>
    <w:p w:rsidR="007617AD" w:rsidRDefault="00EE75C8">
      <w:pPr>
        <w:spacing w:after="27"/>
        <w:ind w:left="703" w:right="62"/>
      </w:pPr>
      <w:r>
        <w:t xml:space="preserve">Sí, está vallado. - </w:t>
      </w:r>
    </w:p>
    <w:p w:rsidR="007617AD" w:rsidRDefault="00EE75C8">
      <w:pPr>
        <w:spacing w:after="15" w:line="259" w:lineRule="auto"/>
        <w:ind w:left="708" w:firstLine="0"/>
        <w:jc w:val="left"/>
      </w:pPr>
      <w:r>
        <w:t xml:space="preserve"> </w:t>
      </w:r>
    </w:p>
    <w:p w:rsidR="007617AD" w:rsidRDefault="00EE75C8">
      <w:pPr>
        <w:spacing w:after="30"/>
        <w:ind w:left="703" w:right="58"/>
      </w:pPr>
      <w:r>
        <w:rPr>
          <w:b/>
        </w:rPr>
        <w:t xml:space="preserve">INTERVIENE LA SEÑORA ALCALDESA-PRESIDENTA. – </w:t>
      </w:r>
    </w:p>
    <w:p w:rsidR="007617AD" w:rsidRDefault="00EE75C8">
      <w:pPr>
        <w:spacing w:after="26"/>
        <w:ind w:left="703" w:right="62"/>
      </w:pPr>
      <w:r>
        <w:t>Claro si está vallado no podemos hacer porque hay un centro de trabajo porque la obra está paralizada, pero hasta que no se reinicie nosotros ahí no pod</w:t>
      </w:r>
      <w:r>
        <w:t xml:space="preserve">emos, habría que ver con la empresa, pero vamos echamos un vistazo si podemos hacer algo porque en teoría no podemos acceder porque hay un centro de trabajo ahí abierto. - </w:t>
      </w:r>
    </w:p>
    <w:p w:rsidR="007617AD" w:rsidRDefault="00EE75C8">
      <w:pPr>
        <w:spacing w:after="14" w:line="259" w:lineRule="auto"/>
        <w:ind w:left="708" w:firstLine="0"/>
        <w:jc w:val="left"/>
      </w:pPr>
      <w:r>
        <w:t xml:space="preserve"> </w:t>
      </w:r>
    </w:p>
    <w:p w:rsidR="007617AD" w:rsidRDefault="00EE75C8">
      <w:pPr>
        <w:spacing w:after="32"/>
        <w:ind w:left="703" w:right="58"/>
      </w:pPr>
      <w:r>
        <w:rPr>
          <w:b/>
        </w:rPr>
        <w:t xml:space="preserve">INTERVIENE DON ANTONIO DELGADO GARCÍA - </w:t>
      </w:r>
    </w:p>
    <w:p w:rsidR="007617AD" w:rsidRDefault="00EE75C8">
      <w:pPr>
        <w:spacing w:after="25"/>
        <w:ind w:left="703" w:right="62"/>
      </w:pPr>
      <w:r>
        <w:t xml:space="preserve">Lo digo porque hay una tapa eléctrica que tiene unos fusibles que está muy pegada a la valla y a lo mejor algún niño puede llegar  </w:t>
      </w:r>
    </w:p>
    <w:p w:rsidR="007617AD" w:rsidRDefault="00EE75C8">
      <w:pPr>
        <w:spacing w:after="14" w:line="259" w:lineRule="auto"/>
        <w:ind w:left="708" w:firstLine="0"/>
        <w:jc w:val="left"/>
      </w:pPr>
      <w:r>
        <w:t xml:space="preserve"> </w:t>
      </w:r>
    </w:p>
    <w:p w:rsidR="007617AD" w:rsidRDefault="00EE75C8">
      <w:pPr>
        <w:spacing w:after="30"/>
        <w:ind w:left="703" w:right="58"/>
      </w:pPr>
      <w:r>
        <w:rPr>
          <w:b/>
        </w:rPr>
        <w:t xml:space="preserve">INTERVIENE LA SEÑORA ALCALDESA-PRESIDENTA. - </w:t>
      </w:r>
    </w:p>
    <w:p w:rsidR="007617AD" w:rsidRDefault="00EE75C8">
      <w:pPr>
        <w:spacing w:after="30"/>
        <w:ind w:left="703" w:right="62"/>
      </w:pPr>
      <w:r>
        <w:t xml:space="preserve">Lo vemos, si, gracias. </w:t>
      </w:r>
    </w:p>
    <w:p w:rsidR="007617AD" w:rsidRDefault="00EE75C8">
      <w:pPr>
        <w:spacing w:after="25"/>
        <w:ind w:left="703" w:right="62"/>
      </w:pPr>
      <w:r>
        <w:t xml:space="preserve">Don Jacobo, ruegos </w:t>
      </w:r>
    </w:p>
    <w:p w:rsidR="007617AD" w:rsidRDefault="00EE75C8">
      <w:pPr>
        <w:spacing w:after="17" w:line="259" w:lineRule="auto"/>
        <w:ind w:left="708" w:firstLine="0"/>
        <w:jc w:val="left"/>
      </w:pPr>
      <w:r>
        <w:rPr>
          <w:b/>
        </w:rPr>
        <w:t xml:space="preserve"> </w:t>
      </w:r>
    </w:p>
    <w:p w:rsidR="007617AD" w:rsidRDefault="00EE75C8">
      <w:pPr>
        <w:spacing w:after="30"/>
        <w:ind w:left="703" w:right="58"/>
      </w:pPr>
      <w:r>
        <w:rPr>
          <w:b/>
        </w:rPr>
        <w:t>INTERVIENE JACOBO LÓPEZ FARIÑA</w:t>
      </w:r>
      <w:r>
        <w:rPr>
          <w:b/>
        </w:rPr>
        <w:t xml:space="preserve">. - </w:t>
      </w:r>
    </w:p>
    <w:p w:rsidR="007617AD" w:rsidRDefault="00EE75C8">
      <w:pPr>
        <w:spacing w:after="11"/>
        <w:ind w:left="703" w:right="62"/>
      </w:pPr>
      <w:r>
        <w:t xml:space="preserve">Si, gracias, tenemos dos ruegos. </w:t>
      </w:r>
    </w:p>
    <w:p w:rsidR="007617AD" w:rsidRDefault="00EE75C8">
      <w:pPr>
        <w:spacing w:after="26"/>
        <w:ind w:left="703" w:right="62"/>
      </w:pPr>
      <w:r>
        <w:t xml:space="preserve">Somos conocedores de la polémica que se ha generado por el baile de magos de Santa Ana y el mal estar de los vecinos del barrio, que se sienten a disgusto con el nuevo emplazamiento que se tiene previsto, solicitamos </w:t>
      </w:r>
      <w:r>
        <w:t>al Grupo de Gobierno que tengan en cuenta la opinión de quienes son los vecinos que disfrutan de las fiestas y su entorno y dado que ya se  celebró un encuentro entre la Alcaldesa, el Concejal de Fiestas y algunos representantes que hoy celebramos este for</w:t>
      </w:r>
      <w:r>
        <w:t xml:space="preserve">o, entendemos que entre el blanco y el negro existe una extensa gama de gris y la posibilidad de llegar a acuerdos y entendimientos con los vecinos para celebrar el baile en la plaza de Santa Ana que es el lugar de celebración. - </w:t>
      </w:r>
    </w:p>
    <w:p w:rsidR="007617AD" w:rsidRDefault="00EE75C8">
      <w:pPr>
        <w:spacing w:after="14" w:line="259" w:lineRule="auto"/>
        <w:ind w:left="708" w:firstLine="0"/>
        <w:jc w:val="left"/>
      </w:pPr>
      <w:r>
        <w:t xml:space="preserve"> </w:t>
      </w:r>
    </w:p>
    <w:p w:rsidR="007617AD" w:rsidRDefault="00EE75C8">
      <w:pPr>
        <w:spacing w:after="30"/>
        <w:ind w:left="703" w:right="58"/>
      </w:pPr>
      <w:r>
        <w:rPr>
          <w:b/>
        </w:rPr>
        <w:t>INTERVIENE LA SEÑORA AL</w:t>
      </w:r>
      <w:r>
        <w:rPr>
          <w:b/>
        </w:rPr>
        <w:t xml:space="preserve">CALDESA-PRESIDENTA. - </w:t>
      </w:r>
    </w:p>
    <w:p w:rsidR="007617AD" w:rsidRDefault="00EE75C8">
      <w:pPr>
        <w:spacing w:after="30"/>
        <w:ind w:left="703" w:right="62"/>
      </w:pPr>
      <w:r>
        <w:t xml:space="preserve">Manolo, quieres comentar algo, ¿sí? </w:t>
      </w:r>
    </w:p>
    <w:p w:rsidR="007617AD" w:rsidRDefault="00EE75C8">
      <w:pPr>
        <w:spacing w:after="27"/>
        <w:ind w:left="703" w:right="62"/>
      </w:pPr>
      <w:r>
        <w:t xml:space="preserve">Ha habido una reunión con los vecinos y otra que ha solicitado un vecino. </w:t>
      </w:r>
    </w:p>
    <w:p w:rsidR="007617AD" w:rsidRDefault="00EE75C8">
      <w:pPr>
        <w:spacing w:after="15" w:line="259" w:lineRule="auto"/>
        <w:ind w:left="708" w:firstLine="0"/>
        <w:jc w:val="left"/>
      </w:pPr>
      <w:r>
        <w:t xml:space="preserve"> </w:t>
      </w:r>
    </w:p>
    <w:p w:rsidR="007617AD" w:rsidRDefault="00EE75C8">
      <w:pPr>
        <w:spacing w:after="30"/>
        <w:ind w:left="703" w:right="58"/>
      </w:pPr>
      <w:r>
        <w:rPr>
          <w:b/>
        </w:rPr>
        <w:t xml:space="preserve">INTERVIENE DON MANUEL ALBERTO GONZÁLEZ PESTANO. – </w:t>
      </w:r>
    </w:p>
    <w:p w:rsidR="007617AD" w:rsidRDefault="00EE75C8">
      <w:pPr>
        <w:spacing w:after="30"/>
        <w:ind w:left="703" w:right="62"/>
      </w:pPr>
      <w:r>
        <w:t xml:space="preserve">Si, muchas gracias. </w:t>
      </w:r>
    </w:p>
    <w:p w:rsidR="007617AD" w:rsidRDefault="00EE75C8">
      <w:pPr>
        <w:spacing w:after="26"/>
        <w:ind w:left="703" w:right="62"/>
      </w:pPr>
      <w:r>
        <w:rPr>
          <w:rFonts w:ascii="Calibri" w:eastAsia="Calibri" w:hAnsi="Calibri" w:cs="Calibri"/>
          <w:noProof/>
        </w:rPr>
        <mc:AlternateContent>
          <mc:Choice Requires="wpg">
            <w:drawing>
              <wp:anchor distT="0" distB="0" distL="114300" distR="114300" simplePos="0" relativeHeight="25185177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5428" name="Group 285428"/>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0790" name="Rectangle 30790"/>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30791" name="Rectangle 30791"/>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187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5428" style="width:12.7031pt;height:280.02pt;position:absolute;mso-position-horizontal-relative:page;mso-position-horizontal:absolute;margin-left:682.278pt;mso-position-vertical-relative:page;margin-top:531.9pt;" coordsize="1613,35562">
                <v:rect id="Rectangle 30790"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0791"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187 de 192 </w:t>
                        </w:r>
                      </w:p>
                    </w:txbxContent>
                  </v:textbox>
                </v:rect>
                <w10:wrap type="square"/>
              </v:group>
            </w:pict>
          </mc:Fallback>
        </mc:AlternateContent>
      </w:r>
      <w:r>
        <w:t>Nosotros desde hace ya algunos años estamos teniendo reunione</w:t>
      </w:r>
      <w:r>
        <w:t>s públicas para consensuar con los vecinos las actividades, no solo el baile de magos sino todo el calendario de las fiestas de julio de Santa Ana y del Carmen, zona de Santa Ana y zona del Pozo, tuvimos esa reunión, hablamos largo y tendido, se puso sobre</w:t>
      </w:r>
      <w:r>
        <w:t xml:space="preserve"> la mesa las dificultades que hay para cumplir con la seguridad, que yo respeto, no saben cuánto la tradición, pero de igual manera o un poquito más la seguridad, porque si que no vamos a dejar al libre albedrío cualquier cuestión de seguridad porque creo </w:t>
      </w:r>
      <w:r>
        <w:t>que es lo que prima en estas circunstancias. Después de esa reunión se consensó en la primera, que es la que se realizó con todos los vecinos, haciéndolo público en la agenda municipal, dándole publicidad, evidentemente, para que cualquier persona que quis</w:t>
      </w:r>
      <w:r>
        <w:t>iera venir, yo creo que podríamos ser en torno a unas cuarenta o cincuenta personas en el cine viejo, no podemos atender a los deseos de todos y cada uno y lo que hemos tratado es que la ciudadanía, tanto los vecinos del casco de Santa Ana como cualquier p</w:t>
      </w:r>
      <w:r>
        <w:t>ersona que quiera disfrutar de la cena y del baile para compartir ese momento tan entrañable, pues lo pueda hacer en las condiciones de seguridad posible y en el entorno más próximo a Santa Ana, ya digo, hay gente que, hay tantas posturas como vecinos veci</w:t>
      </w:r>
      <w:r>
        <w:t>nos tiene Candelaria y hemos llegado al consenso, yo creo honestamente, con la gran mayoría, es cierto, evidentemente, como todas las decisiones que se toman en este Pleno no nos ponemos de acuerdo ni siquiera los 21 que somos aquí, imagínense los más de 3</w:t>
      </w:r>
      <w:r>
        <w:t>0 mil habitantes de Candelaria, pero yo creo que las explicaciones que se han dado han sido más que entendidas y de verdad creo que también compartidas, con todo ello, entiendo que haya parte de la población que no esté de acuerdo, pero de verdad que nunca</w:t>
      </w:r>
      <w:r>
        <w:t xml:space="preserve"> se ha actuado con mala fe, sino en el interés y en el deseo de que todos podamos disfrutar de las fiestas en un entorno tradicional y sobre todo en un entorno seguro. </w:t>
      </w:r>
    </w:p>
    <w:p w:rsidR="007617AD" w:rsidRDefault="00EE75C8">
      <w:pPr>
        <w:spacing w:after="30"/>
        <w:ind w:left="703" w:right="62"/>
      </w:pPr>
      <w:r>
        <w:t xml:space="preserve">Yo poco más que añadir. Mari.  </w:t>
      </w:r>
    </w:p>
    <w:p w:rsidR="007617AD" w:rsidRDefault="00EE75C8">
      <w:pPr>
        <w:spacing w:after="14" w:line="259" w:lineRule="auto"/>
        <w:ind w:left="708" w:firstLine="0"/>
        <w:jc w:val="left"/>
      </w:pPr>
      <w:r>
        <w:t xml:space="preserve"> </w:t>
      </w:r>
    </w:p>
    <w:p w:rsidR="007617AD" w:rsidRDefault="00EE75C8">
      <w:pPr>
        <w:spacing w:after="30"/>
        <w:ind w:left="703" w:right="58"/>
      </w:pPr>
      <w:r>
        <w:rPr>
          <w:b/>
        </w:rPr>
        <w:t xml:space="preserve">INTERVIENE LA SEÑORA ALCALDESA-PRESIDENTA. - </w:t>
      </w:r>
    </w:p>
    <w:p w:rsidR="007617AD" w:rsidRDefault="00EE75C8">
      <w:pPr>
        <w:spacing w:after="27"/>
        <w:ind w:left="703" w:right="62"/>
      </w:pPr>
      <w:r>
        <w:t>Si, gra</w:t>
      </w:r>
      <w:r>
        <w:t xml:space="preserve">cias si, efectivamente. </w:t>
      </w:r>
    </w:p>
    <w:p w:rsidR="007617AD" w:rsidRDefault="00EE75C8">
      <w:pPr>
        <w:spacing w:after="11"/>
        <w:ind w:left="703" w:right="62"/>
      </w:pPr>
      <w:r>
        <w:t xml:space="preserve">Otro ruego, Don Jacobo. </w:t>
      </w:r>
    </w:p>
    <w:p w:rsidR="007617AD" w:rsidRDefault="00EE75C8">
      <w:pPr>
        <w:spacing w:after="14" w:line="259" w:lineRule="auto"/>
        <w:ind w:left="708" w:firstLine="0"/>
        <w:jc w:val="left"/>
      </w:pPr>
      <w:r>
        <w:t xml:space="preserve"> </w:t>
      </w:r>
    </w:p>
    <w:p w:rsidR="007617AD" w:rsidRDefault="00EE75C8">
      <w:pPr>
        <w:spacing w:after="32"/>
        <w:ind w:left="703" w:right="58"/>
      </w:pPr>
      <w:r>
        <w:rPr>
          <w:b/>
        </w:rPr>
        <w:t xml:space="preserve">INTERVIENE DON JACOBO LÓPEZ FARIÑA. - </w:t>
      </w:r>
    </w:p>
    <w:p w:rsidR="007617AD" w:rsidRDefault="00EE75C8">
      <w:pPr>
        <w:spacing w:after="25"/>
        <w:ind w:left="703" w:right="62"/>
      </w:pPr>
      <w:r>
        <w:t>Nos hacemos eco de la petición de los vecinos de la mejora de la seguridad de las escaleras de la zona conocida como El Paso o la zona ajardinada de la calle Condes de Abona, donde hay un grupo de jóvenes que en las horas de tarde noche se reúnen en los es</w:t>
      </w:r>
      <w:r>
        <w:t xml:space="preserve">pacios más escondidos.  </w:t>
      </w:r>
    </w:p>
    <w:p w:rsidR="007617AD" w:rsidRDefault="00EE75C8">
      <w:pPr>
        <w:spacing w:after="17" w:line="259" w:lineRule="auto"/>
        <w:ind w:left="708" w:firstLine="0"/>
        <w:jc w:val="left"/>
      </w:pPr>
      <w:r>
        <w:t xml:space="preserve"> </w:t>
      </w:r>
    </w:p>
    <w:p w:rsidR="007617AD" w:rsidRDefault="00EE75C8">
      <w:pPr>
        <w:spacing w:after="69"/>
        <w:ind w:left="703" w:right="58"/>
      </w:pPr>
      <w:r>
        <w:rPr>
          <w:b/>
        </w:rPr>
        <w:t xml:space="preserve">INTERVIENE LA SEÑORA ALCALDESA-PRESIDENTA. – </w:t>
      </w:r>
    </w:p>
    <w:p w:rsidR="007617AD" w:rsidRDefault="00EE75C8">
      <w:pPr>
        <w:spacing w:after="27"/>
        <w:ind w:left="703" w:right="62"/>
      </w:pPr>
      <w:r>
        <w:t xml:space="preserve">Ahí en El Paso teníamos pendiente de acometer alguna… en las aceras. - </w:t>
      </w:r>
    </w:p>
    <w:p w:rsidR="007617AD" w:rsidRDefault="00EE75C8">
      <w:pPr>
        <w:spacing w:after="14" w:line="259" w:lineRule="auto"/>
        <w:ind w:left="708" w:firstLine="0"/>
        <w:jc w:val="left"/>
      </w:pPr>
      <w:r>
        <w:t xml:space="preserve"> </w:t>
      </w:r>
    </w:p>
    <w:p w:rsidR="007617AD" w:rsidRDefault="00EE75C8">
      <w:pPr>
        <w:spacing w:after="62"/>
        <w:ind w:left="703" w:right="58"/>
      </w:pPr>
      <w:r>
        <w:rPr>
          <w:b/>
        </w:rPr>
        <w:t xml:space="preserve">INTERVIENE DON JORGE BAUTE DELGADO. - </w:t>
      </w:r>
    </w:p>
    <w:p w:rsidR="007617AD" w:rsidRDefault="00EE75C8">
      <w:pPr>
        <w:spacing w:after="30"/>
        <w:ind w:left="703" w:right="62"/>
      </w:pPr>
      <w:r>
        <w:t xml:space="preserve">Y en las escaleras Jacobo qué… </w:t>
      </w:r>
    </w:p>
    <w:p w:rsidR="007617AD" w:rsidRDefault="00EE75C8">
      <w:pPr>
        <w:spacing w:after="16" w:line="259" w:lineRule="auto"/>
        <w:ind w:left="708" w:firstLine="0"/>
        <w:jc w:val="left"/>
      </w:pPr>
      <w:r>
        <w:t xml:space="preserve"> </w:t>
      </w:r>
    </w:p>
    <w:p w:rsidR="007617AD" w:rsidRDefault="00EE75C8">
      <w:pPr>
        <w:spacing w:after="27"/>
        <w:ind w:left="703" w:right="62"/>
      </w:pPr>
      <w:r>
        <w:t>(Don Jacobo López Fariña habla, pero</w:t>
      </w:r>
      <w:r>
        <w:t xml:space="preserve"> no se le entiende lo que dice) </w:t>
      </w:r>
    </w:p>
    <w:p w:rsidR="007617AD" w:rsidRDefault="00EE75C8">
      <w:pPr>
        <w:spacing w:after="16" w:line="259" w:lineRule="auto"/>
        <w:ind w:left="708" w:firstLine="0"/>
        <w:jc w:val="left"/>
      </w:pPr>
      <w:r>
        <w:t xml:space="preserve"> </w:t>
      </w:r>
    </w:p>
    <w:p w:rsidR="007617AD" w:rsidRDefault="00EE75C8">
      <w:pPr>
        <w:spacing w:after="30"/>
        <w:ind w:left="703" w:right="62"/>
      </w:pPr>
      <w:r>
        <w:t xml:space="preserve">… si, aparte de eso me refiero a la infraestructura, al pavimento era algo de eso o solo el tema de seguridad. – </w:t>
      </w:r>
    </w:p>
    <w:p w:rsidR="007617AD" w:rsidRDefault="00EE75C8">
      <w:pPr>
        <w:spacing w:after="15" w:line="259" w:lineRule="auto"/>
        <w:ind w:left="708" w:firstLine="0"/>
        <w:jc w:val="left"/>
      </w:pPr>
      <w:r>
        <w:t xml:space="preserve"> </w:t>
      </w:r>
    </w:p>
    <w:p w:rsidR="007617AD" w:rsidRDefault="00EE75C8">
      <w:pPr>
        <w:spacing w:after="30"/>
        <w:ind w:left="703" w:right="58"/>
      </w:pPr>
      <w:r>
        <w:rPr>
          <w:b/>
        </w:rPr>
        <w:t xml:space="preserve">INTERVIENE LA SEÑORA ALCALDESA-PRESIDENTA. – </w:t>
      </w:r>
    </w:p>
    <w:p w:rsidR="007617AD" w:rsidRDefault="00EE75C8">
      <w:pPr>
        <w:spacing w:after="27"/>
        <w:ind w:left="703" w:right="3884"/>
      </w:pPr>
      <w:r>
        <w:t xml:space="preserve">Fran, vemos por allí si hay alguna incidencia, vale </w:t>
      </w:r>
      <w:r>
        <w:t xml:space="preserve">Gracias, Preguntas, Doña Alicia. </w:t>
      </w:r>
    </w:p>
    <w:p w:rsidR="007617AD" w:rsidRDefault="00EE75C8">
      <w:pPr>
        <w:spacing w:after="28" w:line="259" w:lineRule="auto"/>
        <w:ind w:left="708" w:firstLine="0"/>
        <w:jc w:val="left"/>
      </w:pPr>
      <w:r>
        <w:rPr>
          <w:rFonts w:ascii="Calibri" w:eastAsia="Calibri" w:hAnsi="Calibri" w:cs="Calibri"/>
          <w:noProof/>
        </w:rPr>
        <mc:AlternateContent>
          <mc:Choice Requires="wpg">
            <w:drawing>
              <wp:anchor distT="0" distB="0" distL="114300" distR="114300" simplePos="0" relativeHeight="251852800"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5479" name="Group 285479"/>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0902" name="Rectangle 30902"/>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30903" name="Rectangle 30903"/>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188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5479" style="width:12.7031pt;height:280.02pt;position:absolute;mso-position-horizontal-relative:page;mso-position-horizontal:absolute;margin-left:682.278pt;mso-position-vertical-relative:page;margin-top:531.9pt;" coordsize="1613,35562">
                <v:rect id="Rectangle 30902"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0903"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188 de 192 </w:t>
                        </w:r>
                      </w:p>
                    </w:txbxContent>
                  </v:textbox>
                </v:rect>
                <w10:wrap type="square"/>
              </v:group>
            </w:pict>
          </mc:Fallback>
        </mc:AlternateContent>
      </w:r>
      <w:r>
        <w:t xml:space="preserve"> </w:t>
      </w:r>
    </w:p>
    <w:p w:rsidR="007617AD" w:rsidRDefault="00EE75C8">
      <w:pPr>
        <w:spacing w:after="11"/>
        <w:ind w:left="703" w:right="58"/>
      </w:pPr>
      <w:r>
        <w:rPr>
          <w:b/>
        </w:rPr>
        <w:t>INTERVIENE DOÑA ALICIA MERCEDES MARRERO MENESES.</w:t>
      </w:r>
      <w:r>
        <w:rPr>
          <w:rFonts w:ascii="Times New Roman" w:eastAsia="Times New Roman" w:hAnsi="Times New Roman" w:cs="Times New Roman"/>
          <w:sz w:val="24"/>
        </w:rPr>
        <w:t xml:space="preserve"> </w:t>
      </w:r>
    </w:p>
    <w:p w:rsidR="007617AD" w:rsidRDefault="00EE75C8">
      <w:pPr>
        <w:spacing w:after="0"/>
        <w:ind w:left="703" w:right="62"/>
      </w:pPr>
      <w:r>
        <w:t>Nuestro municipio lleva ya varios meses sin un servicio adecuado de taxis nocturno, son muchas las quejas presentadas por los vecinos, muchas que se han presentado por el SAC y llamadas varias que nos han l</w:t>
      </w:r>
      <w:r>
        <w:t xml:space="preserve">lamado a nosotros. ¿Qué es lo que se ha hecho por parte del Grupo de Gobierno y qué soluciones se han ofrecido a la falta de este servicio público esencial en horario nocturno para solventar este problema?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DON JORGE BAUTE DELGADO. - </w:t>
      </w:r>
    </w:p>
    <w:p w:rsidR="007617AD" w:rsidRDefault="00EE75C8">
      <w:pPr>
        <w:spacing w:after="0"/>
        <w:ind w:left="703" w:right="62"/>
      </w:pPr>
      <w:r>
        <w:t>Con est</w:t>
      </w:r>
      <w:r>
        <w:t>a cuestión nos hemos sentado con los taxistas que trabajan en la parada aquí de Candelaria y el compromiso de ellos en principio están trabajando hasta las 10, las 12 de la noche normalmente, a las 4 de la mañana vuelven a entrar y al mismo tiempo están op</w:t>
      </w:r>
      <w:r>
        <w:t xml:space="preserve">erativos a través de la línea de teléfono para si hay cualquier solicitud para cualquier carrera pues que se les pueda llamar, seguimos en conversaciones con ellos para ver si podemos todavía esa situación. </w:t>
      </w:r>
    </w:p>
    <w:p w:rsidR="007617AD" w:rsidRDefault="00EE75C8">
      <w:pPr>
        <w:spacing w:after="0" w:line="259" w:lineRule="auto"/>
        <w:ind w:left="708" w:firstLine="0"/>
        <w:jc w:val="left"/>
      </w:pPr>
      <w:r>
        <w:t xml:space="preserve"> </w:t>
      </w:r>
    </w:p>
    <w:p w:rsidR="007617AD" w:rsidRDefault="00EE75C8">
      <w:pPr>
        <w:spacing w:after="11"/>
        <w:ind w:left="703" w:right="62"/>
      </w:pPr>
      <w:r>
        <w:t>(habla Doña Alicia Mercedes Marrero Meneses, p</w:t>
      </w:r>
      <w:r>
        <w:t xml:space="preserve">ero no se escucha lo que dice) </w:t>
      </w:r>
    </w:p>
    <w:p w:rsidR="007617AD" w:rsidRDefault="00EE75C8">
      <w:pPr>
        <w:spacing w:after="0" w:line="259" w:lineRule="auto"/>
        <w:ind w:left="708" w:firstLine="0"/>
        <w:jc w:val="left"/>
      </w:pPr>
      <w:r>
        <w:t xml:space="preserve"> </w:t>
      </w:r>
    </w:p>
    <w:p w:rsidR="007617AD" w:rsidRDefault="00EE75C8">
      <w:pPr>
        <w:spacing w:after="0"/>
        <w:ind w:left="703" w:right="62"/>
      </w:pPr>
      <w:r>
        <w:t>…Hay coches, hay coches lo que no están presentes en la parada, pero si es verdad que a través de los teléfonos y es verdad que ellos lo comentan y así es la realidad, en muchos municipios ya no solo aquí sino en península, los coches no están en la parada</w:t>
      </w:r>
      <w:r>
        <w:t xml:space="preserve"> esperando, si necesitan un coche, normalmente le llamas y te atienden, pero bueno vamos a intentar todavía mejorar dentro de las posibilidades que tenemos esa situación.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rPr>
          <w:b/>
        </w:rPr>
        <w:t xml:space="preserve"> </w:t>
      </w:r>
    </w:p>
    <w:p w:rsidR="007617AD" w:rsidRDefault="00EE75C8">
      <w:pPr>
        <w:spacing w:after="0" w:line="259" w:lineRule="auto"/>
        <w:ind w:left="708" w:firstLine="0"/>
        <w:jc w:val="left"/>
      </w:pPr>
      <w:r>
        <w:rPr>
          <w:b/>
        </w:rPr>
        <w:t xml:space="preserve"> </w:t>
      </w:r>
    </w:p>
    <w:p w:rsidR="007617AD" w:rsidRDefault="00EE75C8">
      <w:pPr>
        <w:spacing w:after="11"/>
        <w:ind w:left="703" w:right="58"/>
      </w:pPr>
      <w:r>
        <w:rPr>
          <w:b/>
        </w:rPr>
        <w:t xml:space="preserve">INTERVIENE LA SEÑORA ALCALDESA-PRESIDENTA.  </w:t>
      </w:r>
    </w:p>
    <w:p w:rsidR="007617AD" w:rsidRDefault="00EE75C8">
      <w:pPr>
        <w:spacing w:after="0"/>
        <w:ind w:left="703" w:right="62"/>
      </w:pPr>
      <w:r>
        <w:t>Somos conscientes de que ha habi</w:t>
      </w:r>
      <w:r>
        <w:t>do, nos han trasladado quejas e incidencias al respecto y se la hemos trasladado porque efectivamente, si hay llamadas que por favor sean atendidas porque ha habido alguna incidencia que nos han trasladado en la que no les han contestado, entonces eso ya q</w:t>
      </w:r>
      <w:r>
        <w:t xml:space="preserve">ue tienen ese, después del COVID pues ha habido o hubo muchas incidencias con el servicio y demás y una merma también en el servicio pues a la hora de la propia utilización de los taxis, si tienen ese compromiso de que en ese horario atienden las llamadas </w:t>
      </w:r>
      <w:r>
        <w:t>a la demanda, vamos, si nos han trasladado alguna incidencia al respecto que no han sido atendida con lo cual eso obviamente no se puede dar porque el servicio es obligatorio, está en la ordenanza y eso es lo que también estamos gestionando con el colectiv</w:t>
      </w:r>
      <w:r>
        <w:t xml:space="preserve">o para que no existan estas incidencias, pero es verdad que hay que seguir hablando porque se siguen sucediendo lamentablemente o sea, que tiene que haber disponibilidad de al menos un vehículo para poder atender esa demanda porque es lo que debe pasar. </w:t>
      </w:r>
    </w:p>
    <w:p w:rsidR="007617AD" w:rsidRDefault="00EE75C8">
      <w:pPr>
        <w:spacing w:after="11"/>
        <w:ind w:left="703" w:right="62"/>
      </w:pPr>
      <w:r>
        <w:t>M</w:t>
      </w:r>
      <w:r>
        <w:t xml:space="preserve">ás preguntas Doña Ángela. -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(No se escucha la pregunta formulada por Doña. Ángela Cruz Perera).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DON AIRAM PÉREZ CHINEA. -  </w:t>
      </w:r>
    </w:p>
    <w:p w:rsidR="007617AD" w:rsidRDefault="00EE75C8">
      <w:pPr>
        <w:spacing w:after="0"/>
        <w:ind w:left="703" w:right="62"/>
      </w:pPr>
      <w:r>
        <w:t>No sé por qué, pero sabía que la pregunta iba a ir para mi, bueno si no me falla la memoria creo que en la Comisión</w:t>
      </w:r>
      <w:r>
        <w:t xml:space="preserve"> Informativa comentamos algo, lo expliqué, pero bueno, lo vuelvo a explicar, no hay problema. </w:t>
      </w:r>
    </w:p>
    <w:p w:rsidR="007617AD" w:rsidRDefault="00EE75C8">
      <w:pPr>
        <w:spacing w:after="0"/>
        <w:ind w:left="703" w:right="62"/>
      </w:pPr>
      <w:r>
        <w:rPr>
          <w:rFonts w:ascii="Calibri" w:eastAsia="Calibri" w:hAnsi="Calibri" w:cs="Calibri"/>
          <w:noProof/>
        </w:rPr>
        <mc:AlternateContent>
          <mc:Choice Requires="wpg">
            <w:drawing>
              <wp:anchor distT="0" distB="0" distL="114300" distR="114300" simplePos="0" relativeHeight="251853824"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5630" name="Group 285630"/>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1025" name="Rectangle 31025"/>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 xml:space="preserve">Cód. Validación: 6ZZKGX4GJD4WS6MQ5AJX5N2EM | Verificación: https://candelaria.sedelectronica.es/ </w:t>
                              </w:r>
                            </w:p>
                          </w:txbxContent>
                        </wps:txbx>
                        <wps:bodyPr horzOverflow="overflow" vert="horz" lIns="0" tIns="0" rIns="0" bIns="0" rtlCol="0">
                          <a:noAutofit/>
                        </wps:bodyPr>
                      </wps:wsp>
                      <wps:wsp>
                        <wps:cNvPr id="31026" name="Rectangle 31026"/>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Documento firmado electrónicamente desde la plataforma esP</w:t>
                              </w:r>
                              <w:r>
                                <w:rPr>
                                  <w:sz w:val="12"/>
                                </w:rPr>
                                <w:t xml:space="preserve">ublico Gestiona | Página 189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5630" style="width:12.7031pt;height:280.02pt;position:absolute;mso-position-horizontal-relative:page;mso-position-horizontal:absolute;margin-left:682.278pt;mso-position-vertical-relative:page;margin-top:531.9pt;" coordsize="1613,35562">
                <v:rect id="Rectangle 31025"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1026"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189 de 192 </w:t>
                        </w:r>
                      </w:p>
                    </w:txbxContent>
                  </v:textbox>
                </v:rect>
                <w10:wrap type="square"/>
              </v:group>
            </w:pict>
          </mc:Fallback>
        </mc:AlternateContent>
      </w:r>
      <w:r>
        <w:t>Bueno ahora mismo se dio traslado hace ya algunas semanas del borrador del documento a las diferentes elecciones sindicales que tienen representación en el Ayuntamiento a efectos de que presentaran las alegaciones que p</w:t>
      </w:r>
      <w:r>
        <w:t>usieran al documento, se ha hecho, se lanzaron a la empresa, la empresa según conversación mantenida en el día de ayer, si no esta semana, lo que queda de semana, la semana que viene lanzará o remitirá la respuesta a esas alegaciones con el documento de la</w:t>
      </w:r>
      <w:r>
        <w:t xml:space="preserve">s que se hayan estimado y las que no. Una vez que esté el documento definitivo pasaremos a la siguiente fase, que no es otra que sentarnos ya en el foro que corresponde que es las mesas generales de negociación para poder negociar ese documento, o sea que </w:t>
      </w:r>
      <w:r>
        <w:t xml:space="preserve">más pronto que tarde podamos ya iniciar esa fase y seguir con la continuación de este expediente que también es uno de los más importante que tiene el Ayuntamiento ahora mismo sobre la mesa… </w:t>
      </w:r>
    </w:p>
    <w:p w:rsidR="007617AD" w:rsidRDefault="00EE75C8">
      <w:pPr>
        <w:spacing w:after="0" w:line="259" w:lineRule="auto"/>
        <w:ind w:left="708" w:firstLine="0"/>
        <w:jc w:val="left"/>
      </w:pPr>
      <w:r>
        <w:t xml:space="preserve"> </w:t>
      </w:r>
    </w:p>
    <w:p w:rsidR="007617AD" w:rsidRDefault="00EE75C8">
      <w:pPr>
        <w:spacing w:after="11"/>
        <w:ind w:left="703" w:right="62"/>
      </w:pPr>
      <w:r>
        <w:t xml:space="preserve">(habla Doña Ángela Cruz Perera, pero no se entiende lo que dice) </w:t>
      </w:r>
    </w:p>
    <w:p w:rsidR="007617AD" w:rsidRDefault="00EE75C8">
      <w:pPr>
        <w:spacing w:after="15" w:line="259" w:lineRule="auto"/>
        <w:ind w:left="708" w:firstLine="0"/>
        <w:jc w:val="left"/>
      </w:pPr>
      <w:r>
        <w:t xml:space="preserve"> </w:t>
      </w:r>
    </w:p>
    <w:p w:rsidR="007617AD" w:rsidRDefault="00EE75C8">
      <w:pPr>
        <w:spacing w:after="11"/>
        <w:ind w:left="703" w:right="62"/>
      </w:pPr>
      <w:r>
        <w:t xml:space="preserve">…correcto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LA SEÑORA ALCALDESA-PRESIDENTA. - </w:t>
      </w:r>
    </w:p>
    <w:p w:rsidR="007617AD" w:rsidRDefault="00EE75C8">
      <w:pPr>
        <w:spacing w:after="11"/>
        <w:ind w:left="703" w:right="62"/>
      </w:pPr>
      <w:r>
        <w:t xml:space="preserve">Gracias Doña Ángela, Don Antonio, alguna pregunta. –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DON ANTONIO DELGADO GARCÍA. - </w:t>
      </w:r>
    </w:p>
    <w:p w:rsidR="007617AD" w:rsidRDefault="00EE75C8">
      <w:pPr>
        <w:spacing w:after="11"/>
        <w:ind w:left="703" w:right="62"/>
      </w:pPr>
      <w:r>
        <w:t>Antes pregunté por el tema de l</w:t>
      </w:r>
      <w:r>
        <w:t xml:space="preserve">a plaza, cuando se van a reanudad las obras en la plaza de Caletillas.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LA SEÑORA ALCALDESA-PRESIDENTA. - </w:t>
      </w:r>
    </w:p>
    <w:p w:rsidR="007617AD" w:rsidRDefault="00EE75C8">
      <w:pPr>
        <w:spacing w:after="0"/>
        <w:ind w:left="703" w:right="62"/>
      </w:pPr>
      <w:r>
        <w:t xml:space="preserve">Pues no tenemos todavía fecha, estamos pendientes </w:t>
      </w:r>
      <w:r>
        <w:t>con el expediente, se está trabajando con el técnico, con la jurista también para poder continuar y estamos en esa gestión, no le puedo decir fecha en la que se van a terminar, pero ha habido varias incidencias en ese expediente y estamos intentando sacarl</w:t>
      </w:r>
      <w:r>
        <w:t xml:space="preserve">o adelante.  </w:t>
      </w:r>
    </w:p>
    <w:p w:rsidR="007617AD" w:rsidRDefault="00EE75C8">
      <w:pPr>
        <w:spacing w:after="0" w:line="259" w:lineRule="auto"/>
        <w:ind w:left="708" w:firstLine="0"/>
        <w:jc w:val="left"/>
      </w:pPr>
      <w:r>
        <w:t xml:space="preserve">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DON ANTONIO DELGADO GARCÍA. - </w:t>
      </w:r>
    </w:p>
    <w:p w:rsidR="007617AD" w:rsidRDefault="00EE75C8">
      <w:pPr>
        <w:spacing w:after="11"/>
        <w:ind w:left="703" w:right="62"/>
      </w:pPr>
      <w:r>
        <w:t xml:space="preserve">De acuerdo, muchas gracias. –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LA SEÑORA ALCALDESA-PRESIDENTA. - </w:t>
      </w:r>
    </w:p>
    <w:p w:rsidR="007617AD" w:rsidRDefault="00EE75C8">
      <w:pPr>
        <w:spacing w:after="11"/>
        <w:ind w:left="703" w:right="62"/>
      </w:pPr>
      <w:r>
        <w:t xml:space="preserve">Gracias, Don Jacobo. -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JACOBO LÓPEZ FARIÑA. - </w:t>
      </w:r>
    </w:p>
    <w:p w:rsidR="007617AD" w:rsidRDefault="00EE75C8">
      <w:pPr>
        <w:spacing w:after="0"/>
        <w:ind w:left="703" w:right="62"/>
      </w:pPr>
      <w:r>
        <w:t xml:space="preserve">Gracias, vamos a formular un único planteamiento al Concejal de Hacienda y Empresas Concesionarias. </w:t>
      </w:r>
    </w:p>
    <w:p w:rsidR="007617AD" w:rsidRDefault="00EE75C8">
      <w:pPr>
        <w:spacing w:after="0"/>
        <w:ind w:left="703" w:right="62"/>
      </w:pPr>
      <w:r>
        <w:t>El 21 de julio se celebró un juicio entre Aqualia y la Comunidad de Propietarios Tiuna en reclamación de unas cantidades por supuesto consumo de agua que a</w:t>
      </w:r>
      <w:r>
        <w:t xml:space="preserve">parecen después de que se instalara en la Comunidad un contador control o padre, este consumo está por ver y habrá que determinar las posibilidades de la Comunidad si existiera. Usted como Concejal de Hacienda y Empresas Concesionarias nos consta que está </w:t>
      </w:r>
      <w:r>
        <w:t xml:space="preserve">al tanto del asunto porque ha sido en varias reuniones en las que ha participado. </w:t>
      </w:r>
    </w:p>
    <w:p w:rsidR="007617AD" w:rsidRDefault="00EE75C8">
      <w:pPr>
        <w:spacing w:after="0"/>
        <w:ind w:left="703" w:right="62"/>
      </w:pPr>
      <w:r>
        <w:t xml:space="preserve">La primera pregunta es, qué ha cambiado desde el año 2016 para que surja un problema que antes no existía.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DON AIRAM PÉREZ CHINEA. – </w:t>
      </w:r>
    </w:p>
    <w:p w:rsidR="007617AD" w:rsidRDefault="00EE75C8">
      <w:pPr>
        <w:spacing w:after="0"/>
        <w:ind w:left="703" w:right="62"/>
      </w:pPr>
      <w:r>
        <w:t xml:space="preserve">No entiendo muy bien la </w:t>
      </w:r>
      <w:r>
        <w:t xml:space="preserve">pregunta, qué ha cambiado desde el 2016 un problema que no existía, el problema ha existido, sigo sin entender muy bien la pregunta, me gustaría que la aclarara para contestarla concretamente, porque no entiendo que me quiere decir.  </w:t>
      </w:r>
    </w:p>
    <w:p w:rsidR="007617AD" w:rsidRDefault="00EE75C8">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854848"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6121" name="Group 286121"/>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1146" name="Rectangle 31146"/>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w:t>
                              </w:r>
                              <w:r>
                                <w:rPr>
                                  <w:sz w:val="12"/>
                                </w:rPr>
                                <w:t xml:space="preserve">ZZKGX4GJD4WS6MQ5AJX5N2EM | Verificación: https://candelaria.sedelectronica.es/ </w:t>
                              </w:r>
                            </w:p>
                          </w:txbxContent>
                        </wps:txbx>
                        <wps:bodyPr horzOverflow="overflow" vert="horz" lIns="0" tIns="0" rIns="0" bIns="0" rtlCol="0">
                          <a:noAutofit/>
                        </wps:bodyPr>
                      </wps:wsp>
                      <wps:wsp>
                        <wps:cNvPr id="31147" name="Rectangle 31147"/>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190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6121" style="width:12.7031pt;height:280.02pt;position:absolute;mso-position-horizontal-relative:page;mso-position-horizontal:absolute;margin-left:682.278pt;mso-position-vertical-relative:page;margin-top:531.9pt;" coordsize="1613,35562">
                <v:rect id="Rectangle 31146"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1147"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190 de 192 </w:t>
                        </w:r>
                      </w:p>
                    </w:txbxContent>
                  </v:textbox>
                </v:rect>
                <w10:wrap type="square"/>
              </v:group>
            </w:pict>
          </mc:Fallback>
        </mc:AlternateContent>
      </w:r>
      <w:r>
        <w:t xml:space="preserve"> </w:t>
      </w:r>
    </w:p>
    <w:p w:rsidR="007617AD" w:rsidRDefault="00EE75C8">
      <w:pPr>
        <w:spacing w:after="11"/>
        <w:ind w:left="703" w:right="58"/>
      </w:pPr>
      <w:r>
        <w:rPr>
          <w:b/>
        </w:rPr>
        <w:t xml:space="preserve">INTERVIENE JACOBO LÓPEZ FARIÑA. - </w:t>
      </w:r>
    </w:p>
    <w:p w:rsidR="007617AD" w:rsidRDefault="00EE75C8">
      <w:pPr>
        <w:spacing w:after="0"/>
        <w:ind w:left="703" w:right="62"/>
      </w:pPr>
      <w:r>
        <w:t>Si, supuestamente ahora les exigen unas ca</w:t>
      </w:r>
      <w:r>
        <w:t xml:space="preserve">ntidades a los propietarios que antiguamente, anteriormente no se las exigían, entonces mi pregunta es, qué ha pasado para que ahora mismo se exijan esas cantidades.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DON AIRAM PÉREZ CHINEA. – </w:t>
      </w:r>
    </w:p>
    <w:p w:rsidR="007617AD" w:rsidRDefault="00EE75C8">
      <w:pPr>
        <w:spacing w:after="0"/>
        <w:ind w:left="703" w:right="62"/>
      </w:pPr>
      <w:r>
        <w:t>Es que la respuesta a su pregunta usted mismo la</w:t>
      </w:r>
      <w:r>
        <w:t xml:space="preserve"> ha hecho, es decir, hasta la información que yo tengo es que en esa urbanización históricamente no existía un contador padre, años A, vale, por parte de la empresa Aqualia, como hace con todo el servicio, hace un servicio de inspección en el afán de inten</w:t>
      </w:r>
      <w:r>
        <w:t>tar erradicar los fraudes que puedan haber en el servicio de abastecimiento de agua y detectan esa incidencia, se le insta a la Comunidad a la colocación de ese contador padre, se coloca y empiezan a haber diferencias entre el consumo global con el que ent</w:t>
      </w:r>
      <w:r>
        <w:t>ra con el contador padre, a raíz de ahí se empiezan hacer las averiguaciones y paralelamente se insta a esa Comunidad, repito como a muchas comunidades y a muchos propietarios y consumidores a la modernización de sus contadores. Hasta donde yo sé, a lo mej</w:t>
      </w:r>
      <w:r>
        <w:t xml:space="preserve">or usted tiene más información porque le remiten le información, no se han cambiado esos contadores, que es obligación por parte del propio servicio, por lo tanto, usted mismo se ha respondido a la pregunta, antes no había contador padre y ahora si lo hay </w:t>
      </w:r>
      <w:r>
        <w:t xml:space="preserve">y a raíz de esa instalación del contador padre pues se ha detectado esa incidencia y como la Comunidad mantiene una postura y la empresa concesionaria ha mantenido otra, acabando en un litigio y se determinará la responsabilidad o lo que decidan.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INTERV</w:t>
      </w:r>
      <w:r>
        <w:rPr>
          <w:b/>
        </w:rPr>
        <w:t xml:space="preserve">IENE DON JACOBO LÓPEZ FARIÑA. – </w:t>
      </w:r>
    </w:p>
    <w:p w:rsidR="007617AD" w:rsidRDefault="00EE75C8">
      <w:pPr>
        <w:spacing w:after="0" w:line="259" w:lineRule="auto"/>
        <w:ind w:left="708" w:firstLine="0"/>
        <w:jc w:val="left"/>
      </w:pPr>
      <w:r>
        <w:rPr>
          <w:b/>
        </w:rPr>
        <w:t xml:space="preserve"> </w:t>
      </w:r>
    </w:p>
    <w:p w:rsidR="007617AD" w:rsidRDefault="00EE75C8">
      <w:pPr>
        <w:spacing w:after="11"/>
        <w:ind w:left="703" w:right="62"/>
      </w:pPr>
      <w:r>
        <w:t xml:space="preserve">(Dado que Don Jacobo López Fariña no enciende el micrófono, no se entiende lo que dice) </w:t>
      </w:r>
      <w:r>
        <w:rPr>
          <w:b/>
        </w:rPr>
        <w:t xml:space="preserve">INTERVIENE DON AIRAM PÉREZ CHINEA. </w:t>
      </w:r>
    </w:p>
    <w:p w:rsidR="007617AD" w:rsidRDefault="00EE75C8">
      <w:pPr>
        <w:spacing w:after="27"/>
        <w:ind w:left="703" w:right="62"/>
      </w:pPr>
      <w:r>
        <w:t xml:space="preserve">Requerírselo hasta la saciedad a la Comunidad, más que a la Comunidad, al administrador de la </w:t>
      </w:r>
    </w:p>
    <w:p w:rsidR="007617AD" w:rsidRDefault="00EE75C8">
      <w:pPr>
        <w:spacing w:after="11"/>
        <w:ind w:left="703" w:right="62"/>
      </w:pPr>
      <w:r>
        <w:t xml:space="preserve">Comunidad… -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LA SEÑORA ALCALDESA-PRESIDENTA. </w:t>
      </w:r>
    </w:p>
    <w:p w:rsidR="007617AD" w:rsidRDefault="00EE75C8">
      <w:pPr>
        <w:spacing w:after="28"/>
        <w:ind w:left="703" w:right="62"/>
      </w:pPr>
      <w:r>
        <w:t xml:space="preserve">No es un problema, es una problemática de años en las que ha habido múltiples reuniones, múltiples compromisos que, hasta donde yo sé también, creo que no se habían cumplido…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INTERVIENE DON AIR</w:t>
      </w:r>
      <w:r>
        <w:rPr>
          <w:b/>
        </w:rPr>
        <w:t xml:space="preserve">AM PÉREZ CHINEA. </w:t>
      </w:r>
    </w:p>
    <w:p w:rsidR="007617AD" w:rsidRDefault="00EE75C8">
      <w:pPr>
        <w:spacing w:after="0"/>
        <w:ind w:left="703" w:right="62"/>
      </w:pPr>
      <w:r>
        <w:t xml:space="preserve">Si me permite Alcaldesa, me faltarían dedos de las dos manos para contar las veces que yo me he reunido tanto con el administrador como con diferentes presidentes de esa Comunidad para intentar llegar a acuerdos y para intentar solventar </w:t>
      </w:r>
      <w:r>
        <w:t xml:space="preserve">el problema de instalación de los nuevos contadores, repito no es una cuestión ni del Concejal que le habla ni del Grupo de Gobierno ni del Ayuntamiento, es una cuestión simple y llanamente de que la propiedad como ocurre con el resto de propietarios a lo </w:t>
      </w:r>
      <w:r>
        <w:t>largo y ancho de este municipio, tiene que tener los contadores actualizados y homologados, algo que no ocurre y eso es lo que ha ocurrido aquí y reitero y sí que quiero dejar claro, este Concejal se ha reunido, le digo, he perdido el número de veces la cu</w:t>
      </w:r>
      <w:r>
        <w:t xml:space="preserve">enta con el administrador de esa Comunidad, me imagino que seguirá siendo el mismo para intentar llegar a soluciones y puntos de encuentro con la Comunidad para que se instalen esos contadores y la negativa ha sido una respuesta reiterada. </w:t>
      </w:r>
    </w:p>
    <w:p w:rsidR="007617AD" w:rsidRDefault="00EE75C8">
      <w:pPr>
        <w:spacing w:after="0" w:line="259" w:lineRule="auto"/>
        <w:ind w:left="708" w:firstLine="0"/>
        <w:jc w:val="left"/>
      </w:pPr>
      <w:r>
        <w:t xml:space="preserve"> </w:t>
      </w:r>
    </w:p>
    <w:p w:rsidR="007617AD" w:rsidRDefault="00EE75C8">
      <w:pPr>
        <w:spacing w:after="30"/>
        <w:ind w:left="703" w:right="58"/>
      </w:pPr>
      <w:r>
        <w:rPr>
          <w:rFonts w:ascii="Calibri" w:eastAsia="Calibri" w:hAnsi="Calibri" w:cs="Calibri"/>
          <w:noProof/>
        </w:rPr>
        <mc:AlternateContent>
          <mc:Choice Requires="wpg">
            <w:drawing>
              <wp:anchor distT="0" distB="0" distL="114300" distR="114300" simplePos="0" relativeHeight="251855872"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6522" name="Group 286522"/>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1271" name="Rectangle 31271"/>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w:t>
                              </w:r>
                              <w:r>
                                <w:rPr>
                                  <w:sz w:val="12"/>
                                </w:rPr>
                                <w:t xml:space="preserve">ación: 6ZZKGX4GJD4WS6MQ5AJX5N2EM | Verificación: https://candelaria.sedelectronica.es/ </w:t>
                              </w:r>
                            </w:p>
                          </w:txbxContent>
                        </wps:txbx>
                        <wps:bodyPr horzOverflow="overflow" vert="horz" lIns="0" tIns="0" rIns="0" bIns="0" rtlCol="0">
                          <a:noAutofit/>
                        </wps:bodyPr>
                      </wps:wsp>
                      <wps:wsp>
                        <wps:cNvPr id="31272" name="Rectangle 31272"/>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191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6522" style="width:12.7031pt;height:280.02pt;position:absolute;mso-position-horizontal-relative:page;mso-position-horizontal:absolute;margin-left:682.278pt;mso-position-vertical-relative:page;margin-top:531.9pt;" coordsize="1613,35562">
                <v:rect id="Rectangle 31271"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1272"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191 de 192 </w:t>
                        </w:r>
                      </w:p>
                    </w:txbxContent>
                  </v:textbox>
                </v:rect>
                <w10:wrap type="square"/>
              </v:group>
            </w:pict>
          </mc:Fallback>
        </mc:AlternateContent>
      </w:r>
      <w:r>
        <w:rPr>
          <w:b/>
        </w:rPr>
        <w:t xml:space="preserve">INTERVIENE LA SEÑORA ALCALDESA-PRESIDENTA. - </w:t>
      </w:r>
    </w:p>
    <w:p w:rsidR="007617AD" w:rsidRDefault="00EE75C8">
      <w:pPr>
        <w:spacing w:after="11"/>
        <w:ind w:left="703" w:right="62"/>
      </w:pPr>
      <w:r>
        <w:t xml:space="preserve">Sí, es un problema de años, unos cuantos años…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DON AIRAM PÉREZ CHINEA. – </w:t>
      </w:r>
    </w:p>
    <w:p w:rsidR="007617AD" w:rsidRDefault="00EE75C8">
      <w:pPr>
        <w:spacing w:after="0"/>
        <w:ind w:left="703" w:right="62"/>
      </w:pPr>
      <w:r>
        <w:t xml:space="preserve">Años, creo que la última reunión, empezamos a mantener reuniones, si no me falla la memoria en 2015 y ustedes tienen más memoria que yo, en 2015, 2016. </w:t>
      </w:r>
    </w:p>
    <w:p w:rsidR="007617AD" w:rsidRDefault="00EE75C8">
      <w:pPr>
        <w:spacing w:after="0" w:line="259" w:lineRule="auto"/>
        <w:ind w:left="708" w:firstLine="0"/>
        <w:jc w:val="left"/>
      </w:pPr>
      <w:r>
        <w:t xml:space="preserve"> </w:t>
      </w:r>
    </w:p>
    <w:p w:rsidR="007617AD" w:rsidRDefault="00EE75C8">
      <w:pPr>
        <w:spacing w:after="32"/>
        <w:ind w:left="703" w:right="58"/>
      </w:pPr>
      <w:r>
        <w:rPr>
          <w:b/>
        </w:rPr>
        <w:t>INTERVIENE LA</w:t>
      </w:r>
      <w:r>
        <w:rPr>
          <w:b/>
        </w:rPr>
        <w:t xml:space="preserve"> SEÑORA ALCALDESA-PRESIDENTA. </w:t>
      </w:r>
    </w:p>
    <w:p w:rsidR="007617AD" w:rsidRDefault="00EE75C8">
      <w:pPr>
        <w:spacing w:after="11"/>
        <w:ind w:left="703" w:right="62"/>
      </w:pPr>
      <w:r>
        <w:t xml:space="preserve">Y era anterior o sea que…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DON JACOBO LÓPEZ FARIÑA. </w:t>
      </w:r>
    </w:p>
    <w:p w:rsidR="007617AD" w:rsidRDefault="00EE75C8">
      <w:pPr>
        <w:spacing w:after="0"/>
        <w:ind w:left="703" w:right="62"/>
      </w:pPr>
      <w:r>
        <w:t xml:space="preserve">Bueno, reiteramos sobre el asunto, qué papel piensa jugar el Grupo de Gobierno como responsables del servicio municipal de agua en la resolución de este grave </w:t>
      </w:r>
      <w:r>
        <w:t xml:space="preserve">problema creado o surgido a las casi 200 familias de la Comunidad de propietarios de Residencial Tiuna.  </w:t>
      </w:r>
    </w:p>
    <w:p w:rsidR="007617AD" w:rsidRDefault="00EE75C8">
      <w:pPr>
        <w:spacing w:after="0" w:line="259" w:lineRule="auto"/>
        <w:ind w:left="708" w:firstLine="0"/>
        <w:jc w:val="left"/>
      </w:pPr>
      <w:r>
        <w:t xml:space="preserve"> </w:t>
      </w:r>
    </w:p>
    <w:p w:rsidR="007617AD" w:rsidRDefault="00EE75C8">
      <w:pPr>
        <w:spacing w:after="30"/>
        <w:ind w:left="703" w:right="58"/>
      </w:pPr>
      <w:r>
        <w:rPr>
          <w:b/>
        </w:rPr>
        <w:t xml:space="preserve">INTERVIENE LA SEÑORA ALCALDESA-PRESIDENTA. – </w:t>
      </w:r>
    </w:p>
    <w:p w:rsidR="007617AD" w:rsidRDefault="00EE75C8">
      <w:pPr>
        <w:spacing w:after="11"/>
        <w:ind w:left="703" w:right="62"/>
      </w:pPr>
      <w:r>
        <w:t xml:space="preserve">Pero es que no hemos creado ningún problema ni hemos… </w:t>
      </w:r>
    </w:p>
    <w:p w:rsidR="007617AD" w:rsidRDefault="00EE75C8">
      <w:pPr>
        <w:spacing w:after="0" w:line="259" w:lineRule="auto"/>
        <w:ind w:left="708" w:firstLine="0"/>
        <w:jc w:val="left"/>
      </w:pPr>
      <w:r>
        <w:t xml:space="preserve"> </w:t>
      </w:r>
    </w:p>
    <w:p w:rsidR="007617AD" w:rsidRDefault="00EE75C8">
      <w:pPr>
        <w:spacing w:after="11"/>
        <w:ind w:left="703" w:right="62"/>
      </w:pPr>
      <w:r>
        <w:t>(habla Don Jacobo López Fariña, pero no se en</w:t>
      </w:r>
      <w:r>
        <w:t xml:space="preserve">tiende lo que dice) </w:t>
      </w:r>
    </w:p>
    <w:p w:rsidR="007617AD" w:rsidRDefault="00EE75C8">
      <w:pPr>
        <w:spacing w:after="17" w:line="259" w:lineRule="auto"/>
        <w:ind w:left="708" w:firstLine="0"/>
        <w:jc w:val="left"/>
      </w:pPr>
      <w:r>
        <w:t xml:space="preserve"> </w:t>
      </w:r>
    </w:p>
    <w:p w:rsidR="007617AD" w:rsidRDefault="00EE75C8">
      <w:pPr>
        <w:spacing w:after="11"/>
        <w:ind w:left="703" w:right="62"/>
      </w:pPr>
      <w:r>
        <w:t xml:space="preserve">…Si, si,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DON AIRAM PÉREZ CHINEA. – </w:t>
      </w:r>
    </w:p>
    <w:p w:rsidR="007617AD" w:rsidRDefault="00EE75C8">
      <w:pPr>
        <w:spacing w:after="11"/>
        <w:ind w:left="703" w:right="62"/>
      </w:pPr>
      <w:r>
        <w:t xml:space="preserve">Indudablemente, mire, suscribo la palabra de la Señora Alcaldesa, este Grupo de Gobierno, este </w:t>
      </w:r>
    </w:p>
    <w:p w:rsidR="007617AD" w:rsidRDefault="00EE75C8">
      <w:pPr>
        <w:spacing w:after="0"/>
        <w:ind w:left="703" w:right="62"/>
      </w:pPr>
      <w:r>
        <w:t>Ayuntamiento no ha creado ningún tipo de problema en esa cuestión, al contrario, me atrevería a decir que hemos intentado ser un elemento aglutinador de las posturas entre la empresa concesionaria y la comunidad, representada reitero y repito por el Admini</w:t>
      </w:r>
      <w:r>
        <w:t>strador, lo que pasa es que si hay voluntades pues se pueden solucionar los problemas, pero nos encontramos muchas veces negaciones  que igual que si dos no quieren no pelean, si dos no se quieren entender pues es muy difícil que se entiendan a pesar de qu</w:t>
      </w:r>
      <w:r>
        <w:t>e, repito, la voluntad de este Concejal que les habla que ha estado presente en todas y cada una de esas reuniones ha sido de aglutinar las posturas, pero repito, no somos nosotros ni el creador del problema ni nada que se le parezca, eso es un problema ex</w:t>
      </w:r>
      <w:r>
        <w:t>istente de hace muchísimos, muchísimos, muchísimos años y desde que hemos tenido constancia de ese problema lo único que hemos intentado es solucionarlo y aglutinar, como le digo intentar llegar a puntos de encuentro para que ese problema se solvente y pas</w:t>
      </w:r>
      <w:r>
        <w:t>a entre otras cosas por una obligatoriedad que tiene la propiedad entre ocas cosas de intentar corregir los posibles fraudes que pudieran existir, asumir las consecuencias económicas que pudieran derivarse de ese fraude y por otro lado la obligación que ti</w:t>
      </w:r>
      <w:r>
        <w:t xml:space="preserve">ene el Reglamento Municipal de Aguas de mantener homologados y al día los contadores de la comunidad, solo es lo que ocurre en este caso. </w:t>
      </w:r>
    </w:p>
    <w:p w:rsidR="007617AD" w:rsidRDefault="00EE75C8">
      <w:pPr>
        <w:spacing w:after="0" w:line="259" w:lineRule="auto"/>
        <w:ind w:left="708" w:firstLine="0"/>
        <w:jc w:val="left"/>
      </w:pPr>
      <w:r>
        <w:t xml:space="preserve"> </w:t>
      </w:r>
    </w:p>
    <w:p w:rsidR="007617AD" w:rsidRDefault="00EE75C8">
      <w:pPr>
        <w:spacing w:after="11"/>
        <w:ind w:left="703" w:right="58"/>
      </w:pPr>
      <w:r>
        <w:rPr>
          <w:b/>
        </w:rPr>
        <w:t xml:space="preserve">INTERVIENE LA SEÑORA ALCALDESA-PRESIDENTA. – </w:t>
      </w:r>
    </w:p>
    <w:p w:rsidR="007617AD" w:rsidRDefault="00EE75C8">
      <w:pPr>
        <w:spacing w:after="11"/>
        <w:ind w:left="703" w:right="62"/>
      </w:pPr>
      <w:r>
        <w:t xml:space="preserve">Gracias Don Airam. </w:t>
      </w:r>
    </w:p>
    <w:p w:rsidR="007617AD" w:rsidRDefault="00EE75C8">
      <w:pPr>
        <w:spacing w:after="0"/>
        <w:ind w:left="703" w:right="62"/>
      </w:pPr>
      <w:r>
        <w:rPr>
          <w:rFonts w:ascii="Calibri" w:eastAsia="Calibri" w:hAnsi="Calibri" w:cs="Calibri"/>
          <w:noProof/>
        </w:rPr>
        <mc:AlternateContent>
          <mc:Choice Requires="wpg">
            <w:drawing>
              <wp:anchor distT="0" distB="0" distL="114300" distR="114300" simplePos="0" relativeHeight="251856896" behindDoc="0" locked="0" layoutInCell="1" allowOverlap="1">
                <wp:simplePos x="0" y="0"/>
                <wp:positionH relativeFrom="page">
                  <wp:posOffset>8664935</wp:posOffset>
                </wp:positionH>
                <wp:positionV relativeFrom="page">
                  <wp:posOffset>6755130</wp:posOffset>
                </wp:positionV>
                <wp:extent cx="161330" cy="3556254"/>
                <wp:effectExtent l="0" t="0" r="0" b="0"/>
                <wp:wrapSquare wrapText="bothSides"/>
                <wp:docPr id="286707" name="Group 286707"/>
                <wp:cNvGraphicFramePr/>
                <a:graphic xmlns:a="http://schemas.openxmlformats.org/drawingml/2006/main">
                  <a:graphicData uri="http://schemas.microsoft.com/office/word/2010/wordprocessingGroup">
                    <wpg:wgp>
                      <wpg:cNvGrpSpPr/>
                      <wpg:grpSpPr>
                        <a:xfrm>
                          <a:off x="0" y="0"/>
                          <a:ext cx="161330" cy="3556254"/>
                          <a:chOff x="0" y="0"/>
                          <a:chExt cx="161330" cy="3556254"/>
                        </a:xfrm>
                      </wpg:grpSpPr>
                      <wps:wsp>
                        <wps:cNvPr id="31363" name="Rectangle 31363"/>
                        <wps:cNvSpPr/>
                        <wps:spPr>
                          <a:xfrm rot="-5399999">
                            <a:off x="-2308297" y="1134733"/>
                            <a:ext cx="4729819" cy="113224"/>
                          </a:xfrm>
                          <a:prstGeom prst="rect">
                            <a:avLst/>
                          </a:prstGeom>
                          <a:ln>
                            <a:noFill/>
                          </a:ln>
                        </wps:spPr>
                        <wps:txbx>
                          <w:txbxContent>
                            <w:p w:rsidR="007617AD" w:rsidRDefault="00EE75C8">
                              <w:pPr>
                                <w:spacing w:after="160" w:line="259" w:lineRule="auto"/>
                                <w:ind w:left="0" w:firstLine="0"/>
                                <w:jc w:val="left"/>
                              </w:pPr>
                              <w:r>
                                <w:rPr>
                                  <w:sz w:val="12"/>
                                </w:rPr>
                                <w:t>Cód. Validación: 6ZZKGX4GJD4WS6MQ5AJX5N2EM | V</w:t>
                              </w:r>
                              <w:r>
                                <w:rPr>
                                  <w:sz w:val="12"/>
                                </w:rPr>
                                <w:t xml:space="preserve">erificación: https://candelaria.sedelectronica.es/ </w:t>
                              </w:r>
                            </w:p>
                          </w:txbxContent>
                        </wps:txbx>
                        <wps:bodyPr horzOverflow="overflow" vert="horz" lIns="0" tIns="0" rIns="0" bIns="0" rtlCol="0">
                          <a:noAutofit/>
                        </wps:bodyPr>
                      </wps:wsp>
                      <wps:wsp>
                        <wps:cNvPr id="31364" name="Rectangle 31364"/>
                        <wps:cNvSpPr/>
                        <wps:spPr>
                          <a:xfrm rot="-5399999">
                            <a:off x="-2098575" y="1268256"/>
                            <a:ext cx="4462772" cy="113224"/>
                          </a:xfrm>
                          <a:prstGeom prst="rect">
                            <a:avLst/>
                          </a:prstGeom>
                          <a:ln>
                            <a:noFill/>
                          </a:ln>
                        </wps:spPr>
                        <wps:txbx>
                          <w:txbxContent>
                            <w:p w:rsidR="007617AD" w:rsidRDefault="00EE75C8">
                              <w:pPr>
                                <w:spacing w:after="160" w:line="259" w:lineRule="auto"/>
                                <w:ind w:left="0" w:firstLine="0"/>
                                <w:jc w:val="left"/>
                              </w:pPr>
                              <w:r>
                                <w:rPr>
                                  <w:sz w:val="12"/>
                                </w:rPr>
                                <w:t xml:space="preserve">Documento firmado electrónicamente desde la plataforma esPublico Gestiona | Página 192 de 192 </w:t>
                              </w:r>
                            </w:p>
                          </w:txbxContent>
                        </wps:txbx>
                        <wps:bodyPr horzOverflow="overflow" vert="horz" lIns="0" tIns="0" rIns="0" bIns="0" rtlCol="0">
                          <a:noAutofit/>
                        </wps:bodyPr>
                      </wps:wsp>
                    </wpg:wgp>
                  </a:graphicData>
                </a:graphic>
              </wp:anchor>
            </w:drawing>
          </mc:Choice>
          <mc:Fallback xmlns:a="http://schemas.openxmlformats.org/drawingml/2006/main">
            <w:pict>
              <v:group id="Group 286707" style="width:12.7031pt;height:280.02pt;position:absolute;mso-position-horizontal-relative:page;mso-position-horizontal:absolute;margin-left:682.278pt;mso-position-vertical-relative:page;margin-top:531.9pt;" coordsize="1613,35562">
                <v:rect id="Rectangle 31363" style="position:absolute;width:47298;height:1132;left:-23082;top:1134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6ZZKGX4GJD4WS6MQ5AJX5N2EM | Verificación: https://candelaria.sedelectronica.es/ </w:t>
                        </w:r>
                      </w:p>
                    </w:txbxContent>
                  </v:textbox>
                </v:rect>
                <v:rect id="Rectangle 31364" style="position:absolute;width:44627;height:1132;left:-20985;top:126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192 de 192 </w:t>
                        </w:r>
                      </w:p>
                    </w:txbxContent>
                  </v:textbox>
                </v:rect>
                <w10:wrap type="square"/>
              </v:group>
            </w:pict>
          </mc:Fallback>
        </mc:AlternateContent>
      </w:r>
      <w:r>
        <w:t xml:space="preserve">Terminado el turno de preguntas, concluimos también el Pleno, muchas gracias a todos y buenos días.  </w:t>
      </w:r>
    </w:p>
    <w:p w:rsidR="007617AD" w:rsidRDefault="00EE75C8">
      <w:pPr>
        <w:spacing w:after="0" w:line="259" w:lineRule="auto"/>
        <w:ind w:left="708" w:firstLine="0"/>
        <w:jc w:val="left"/>
      </w:pPr>
      <w:r>
        <w:t xml:space="preserve"> </w:t>
      </w:r>
    </w:p>
    <w:p w:rsidR="007617AD" w:rsidRDefault="00EE75C8">
      <w:pPr>
        <w:spacing w:after="0"/>
        <w:ind w:left="703" w:right="62"/>
      </w:pPr>
      <w:r>
        <w:t xml:space="preserve"> Se</w:t>
      </w:r>
      <w:r>
        <w:t xml:space="preserve"> levanta la sesión a las 12:40 horas del mismo día. De todo lo cual yo, como Secretario General, doy fe. </w:t>
      </w:r>
    </w:p>
    <w:p w:rsidR="007617AD" w:rsidRDefault="00EE75C8">
      <w:pPr>
        <w:spacing w:after="101" w:line="259" w:lineRule="auto"/>
        <w:ind w:left="708" w:firstLine="0"/>
        <w:jc w:val="left"/>
      </w:pPr>
      <w:r>
        <w:rPr>
          <w:b/>
        </w:rPr>
        <w:t xml:space="preserve"> </w:t>
      </w:r>
    </w:p>
    <w:p w:rsidR="007617AD" w:rsidRDefault="00EE75C8">
      <w:pPr>
        <w:ind w:left="703" w:right="58"/>
      </w:pPr>
      <w:r>
        <w:t xml:space="preserve">                              </w:t>
      </w:r>
      <w:r>
        <w:rPr>
          <w:b/>
        </w:rPr>
        <w:t>Vº. Bº.</w:t>
      </w:r>
      <w:r>
        <w:rPr>
          <w:vertAlign w:val="subscript"/>
        </w:rPr>
        <w:t xml:space="preserve"> </w:t>
      </w:r>
    </w:p>
    <w:p w:rsidR="007617AD" w:rsidRDefault="00EE75C8">
      <w:pPr>
        <w:spacing w:after="0" w:line="259" w:lineRule="auto"/>
        <w:ind w:left="708" w:firstLine="0"/>
        <w:jc w:val="left"/>
      </w:pPr>
      <w:r>
        <w:t xml:space="preserve"> </w:t>
      </w:r>
    </w:p>
    <w:p w:rsidR="007617AD" w:rsidRDefault="00EE75C8">
      <w:pPr>
        <w:tabs>
          <w:tab w:val="center" w:pos="708"/>
          <w:tab w:val="center" w:pos="3029"/>
          <w:tab w:val="center" w:pos="4957"/>
          <w:tab w:val="center" w:pos="7359"/>
        </w:tabs>
        <w:spacing w:after="284"/>
        <w:ind w:left="0" w:firstLine="0"/>
        <w:jc w:val="left"/>
      </w:pPr>
      <w:r>
        <w:rPr>
          <w:rFonts w:ascii="Calibri" w:eastAsia="Calibri" w:hAnsi="Calibri" w:cs="Calibri"/>
        </w:rPr>
        <w:tab/>
      </w:r>
      <w:r>
        <w:rPr>
          <w:b/>
        </w:rPr>
        <w:t xml:space="preserve"> </w:t>
      </w:r>
      <w:r>
        <w:rPr>
          <w:b/>
        </w:rPr>
        <w:tab/>
        <w:t xml:space="preserve">LA ALCALDESA-PRESIDENTA, </w:t>
      </w:r>
      <w:r>
        <w:rPr>
          <w:b/>
        </w:rPr>
        <w:tab/>
        <w:t xml:space="preserve"> </w:t>
      </w:r>
      <w:r>
        <w:rPr>
          <w:b/>
        </w:rPr>
        <w:tab/>
        <w:t xml:space="preserve">       EL SECRETARIO GENERAL,</w:t>
      </w:r>
      <w:r>
        <w:rPr>
          <w:vertAlign w:val="subscript"/>
        </w:rPr>
        <w:t xml:space="preserve"> </w:t>
      </w:r>
    </w:p>
    <w:p w:rsidR="007617AD" w:rsidRDefault="00EE75C8">
      <w:pPr>
        <w:spacing w:after="272"/>
        <w:ind w:left="703" w:right="62"/>
      </w:pPr>
      <w:r>
        <w:t xml:space="preserve">             </w:t>
      </w:r>
      <w:r>
        <w:t xml:space="preserve">María Concepción Brito Núñez                     Octavio Manuel Hernández Fernández  </w:t>
      </w:r>
    </w:p>
    <w:p w:rsidR="007617AD" w:rsidRDefault="00EE75C8">
      <w:pPr>
        <w:spacing w:after="0" w:line="259" w:lineRule="auto"/>
        <w:ind w:left="708" w:firstLine="0"/>
        <w:jc w:val="left"/>
      </w:pPr>
      <w:r>
        <w:t xml:space="preserve"> </w:t>
      </w:r>
    </w:p>
    <w:p w:rsidR="007617AD" w:rsidRDefault="00EE75C8">
      <w:pPr>
        <w:spacing w:after="101" w:line="259" w:lineRule="auto"/>
        <w:ind w:left="699" w:firstLine="0"/>
        <w:jc w:val="center"/>
      </w:pPr>
      <w:r>
        <w:rPr>
          <w:b/>
        </w:rPr>
        <w:t xml:space="preserve"> </w:t>
      </w:r>
    </w:p>
    <w:p w:rsidR="007617AD" w:rsidRDefault="00EE75C8">
      <w:pPr>
        <w:pStyle w:val="Ttulo4"/>
        <w:ind w:left="905" w:right="257"/>
      </w:pPr>
      <w:r>
        <w:t>DOCUMENTO FIRMADO ELECTRÓNICAMENTE</w:t>
      </w:r>
      <w:r>
        <w:rPr>
          <w:b w:val="0"/>
        </w:rPr>
        <w:t xml:space="preserve">  </w:t>
      </w:r>
    </w:p>
    <w:p w:rsidR="007617AD" w:rsidRDefault="00EE75C8">
      <w:pPr>
        <w:spacing w:after="0" w:line="259" w:lineRule="auto"/>
        <w:ind w:left="708" w:firstLine="0"/>
        <w:jc w:val="left"/>
      </w:pPr>
      <w:r>
        <w:t xml:space="preserve"> </w:t>
      </w:r>
    </w:p>
    <w:sectPr w:rsidR="007617AD">
      <w:headerReference w:type="even" r:id="rId21"/>
      <w:headerReference w:type="default" r:id="rId22"/>
      <w:footerReference w:type="even" r:id="rId23"/>
      <w:footerReference w:type="default" r:id="rId24"/>
      <w:headerReference w:type="first" r:id="rId25"/>
      <w:footerReference w:type="first" r:id="rId26"/>
      <w:pgSz w:w="14174" w:h="16838"/>
      <w:pgMar w:top="693" w:right="1988" w:bottom="572" w:left="1844"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E75C8">
      <w:pPr>
        <w:spacing w:after="0" w:line="240" w:lineRule="auto"/>
      </w:pPr>
      <w:r>
        <w:separator/>
      </w:r>
    </w:p>
  </w:endnote>
  <w:endnote w:type="continuationSeparator" w:id="0">
    <w:p w:rsidR="00000000" w:rsidRDefault="00EE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7AD" w:rsidRDefault="00EE75C8">
    <w:pPr>
      <w:spacing w:after="0" w:line="259" w:lineRule="auto"/>
      <w:ind w:left="762"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309939" name="Group 30993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309940" name="Shape 30994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9939" style="width:459.1pt;height:1.34998pt;position:absolute;mso-position-horizontal-relative:page;mso-position-horizontal:absolute;margin-left:130.31pt;mso-position-vertical-relative:page;margin-top:783.42pt;" coordsize="58305,171">
              <v:shape id="Shape 30994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7617AD" w:rsidRDefault="00EE75C8">
    <w:pPr>
      <w:spacing w:after="57" w:line="238" w:lineRule="auto"/>
      <w:ind w:left="4828" w:right="1817" w:hanging="1976"/>
    </w:pPr>
    <w:r>
      <w:rPr>
        <w:sz w:val="14"/>
      </w:rPr>
      <w:t xml:space="preserve">Avenida Constitución Nº 7. Código postal: 38530, Candelaria. Teléfono: 922.500.800. </w:t>
    </w:r>
    <w:r>
      <w:rPr>
        <w:b/>
        <w:sz w:val="14"/>
      </w:rPr>
      <w:t xml:space="preserve">www. candelaria. es </w:t>
    </w:r>
  </w:p>
  <w:p w:rsidR="007617AD" w:rsidRDefault="00EE75C8">
    <w:pPr>
      <w:spacing w:after="0" w:line="259" w:lineRule="auto"/>
      <w:ind w:left="0" w:right="67"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7AD" w:rsidRDefault="00EE75C8">
    <w:pPr>
      <w:spacing w:after="0" w:line="259" w:lineRule="auto"/>
      <w:ind w:left="762"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309905" name="Group 30990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309906" name="Shape 30990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9905" style="width:459.1pt;height:1.34998pt;position:absolute;mso-position-horizontal-relative:page;mso-position-horizontal:absolute;margin-left:130.31pt;mso-position-vertical-relative:page;margin-top:783.42pt;" coordsize="58305,171">
              <v:shape id="Shape 30990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7617AD" w:rsidRDefault="00EE75C8">
    <w:pPr>
      <w:spacing w:after="57" w:line="238" w:lineRule="auto"/>
      <w:ind w:left="4828" w:right="1817" w:hanging="1976"/>
    </w:pPr>
    <w:r>
      <w:rPr>
        <w:sz w:val="14"/>
      </w:rPr>
      <w:t xml:space="preserve">Avenida Constitución Nº 7. Código postal: 38530, Candelaria. Teléfono: 922.500.800. </w:t>
    </w:r>
    <w:r>
      <w:rPr>
        <w:b/>
        <w:sz w:val="14"/>
      </w:rPr>
      <w:t xml:space="preserve">www. candelaria. es </w:t>
    </w:r>
  </w:p>
  <w:p w:rsidR="007617AD" w:rsidRDefault="00EE75C8">
    <w:pPr>
      <w:spacing w:after="0" w:line="259" w:lineRule="auto"/>
      <w:ind w:left="0" w:right="67" w:firstLine="0"/>
      <w:jc w:val="right"/>
    </w:pPr>
    <w:r>
      <w:fldChar w:fldCharType="begin"/>
    </w:r>
    <w:r>
      <w:instrText xml:space="preserve"> PAGE   \* M</w:instrText>
    </w:r>
    <w:r>
      <w:instrText xml:space="preserve">ERGEFORMAT </w:instrText>
    </w:r>
    <w:r>
      <w:fldChar w:fldCharType="separate"/>
    </w:r>
    <w:r w:rsidRPr="00EE75C8">
      <w:rPr>
        <w:noProof/>
        <w:sz w:val="14"/>
      </w:rPr>
      <w:t>2</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7AD" w:rsidRDefault="007617A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E75C8">
      <w:pPr>
        <w:spacing w:after="0" w:line="240" w:lineRule="auto"/>
      </w:pPr>
      <w:r>
        <w:separator/>
      </w:r>
    </w:p>
  </w:footnote>
  <w:footnote w:type="continuationSeparator" w:id="0">
    <w:p w:rsidR="00000000" w:rsidRDefault="00EE75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7AD" w:rsidRDefault="00EE75C8">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309924" name="Group 30992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309925" name="Shape 30992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309927" name="Rectangle 309927"/>
                      <wps:cNvSpPr/>
                      <wps:spPr>
                        <a:xfrm>
                          <a:off x="1137158" y="0"/>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9928" name="Rectangle 309928"/>
                      <wps:cNvSpPr/>
                      <wps:spPr>
                        <a:xfrm>
                          <a:off x="495554" y="175260"/>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9929" name="Rectangle 309929"/>
                      <wps:cNvSpPr/>
                      <wps:spPr>
                        <a:xfrm>
                          <a:off x="495554" y="350520"/>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9930" name="Rectangle 309930"/>
                      <wps:cNvSpPr/>
                      <wps:spPr>
                        <a:xfrm>
                          <a:off x="495554" y="526034"/>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09926" name="Picture 30992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309924" style="width:472.41pt;height:64.392pt;position:absolute;mso-position-horizontal-relative:page;mso-position-horizontal:absolute;margin-left:130.25pt;mso-position-vertical-relative:page;margin-top:34.668pt;" coordsize="59996,8177">
              <v:shape id="Shape 309925" style="position:absolute;width:59988;height:0;left:7;top:8177;" coordsize="5998845,0" path="m0,0l5998845,0">
                <v:stroke weight="2.04pt" endcap="square" joinstyle="miter" miterlimit="10" on="true" color="#993366"/>
                <v:fill on="false" color="#000000" opacity="0"/>
              </v:shape>
              <v:rect id="Rectangle 309927"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09928"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09929"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09930"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309926" style="position:absolute;width:3992;height:5699;left:0;top:565;" filled="f">
                <v:imagedata r:id="rId19"/>
              </v:shape>
              <w10:wrap type="square"/>
            </v:group>
          </w:pict>
        </mc:Fallback>
      </mc:AlternateContent>
    </w:r>
    <w:r>
      <w:rPr>
        <w:rFonts w:ascii="Times New Roman" w:eastAsia="Times New Roman" w:hAnsi="Times New Roman" w:cs="Times New Roman"/>
        <w:sz w:val="24"/>
      </w:rPr>
      <w:t xml:space="preserve"> </w:t>
    </w:r>
  </w:p>
  <w:p w:rsidR="007617AD" w:rsidRDefault="00EE75C8">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309931" name="Group 30993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09932" name="Picture 309932"/>
                        <pic:cNvPicPr/>
                      </pic:nvPicPr>
                      <pic:blipFill>
                        <a:blip r:embed="rId20"/>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309931" style="width:28pt;height:310pt;position:absolute;z-index:-2147483648;mso-position-horizontal-relative:page;mso-position-horizontal:absolute;margin-left:653.71pt;mso-position-vertical-relative:page;margin-top:501.92pt;" coordsize="3556,39370">
              <v:shape id="Picture 309932" style="position:absolute;width:39369;height:3556;left:-17906;top:17906;rotation:-89;" filled="f">
                <v:imagedata r:id="rId18"/>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7AD" w:rsidRDefault="00EE75C8">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309890" name="Group 309890"/>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309891" name="Shape 309891"/>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309893" name="Rectangle 309893"/>
                      <wps:cNvSpPr/>
                      <wps:spPr>
                        <a:xfrm>
                          <a:off x="1137158" y="0"/>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9894" name="Rectangle 309894"/>
                      <wps:cNvSpPr/>
                      <wps:spPr>
                        <a:xfrm>
                          <a:off x="495554" y="175260"/>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9895" name="Rectangle 309895"/>
                      <wps:cNvSpPr/>
                      <wps:spPr>
                        <a:xfrm>
                          <a:off x="495554" y="350520"/>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9896" name="Rectangle 309896"/>
                      <wps:cNvSpPr/>
                      <wps:spPr>
                        <a:xfrm>
                          <a:off x="495554" y="526034"/>
                          <a:ext cx="50673" cy="224380"/>
                        </a:xfrm>
                        <a:prstGeom prst="rect">
                          <a:avLst/>
                        </a:prstGeom>
                        <a:ln>
                          <a:noFill/>
                        </a:ln>
                      </wps:spPr>
                      <wps:txbx>
                        <w:txbxContent>
                          <w:p w:rsidR="007617AD" w:rsidRDefault="00EE75C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09892" name="Picture 309892"/>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309890" style="width:472.41pt;height:64.392pt;position:absolute;mso-position-horizontal-relative:page;mso-position-horizontal:absolute;margin-left:130.25pt;mso-position-vertical-relative:page;margin-top:34.668pt;" coordsize="59996,8177">
              <v:shape id="Shape 309891" style="position:absolute;width:59988;height:0;left:7;top:8177;" coordsize="5998845,0" path="m0,0l5998845,0">
                <v:stroke weight="2.04pt" endcap="square" joinstyle="miter" miterlimit="10" on="true" color="#993366"/>
                <v:fill on="false" color="#000000" opacity="0"/>
              </v:shape>
              <v:rect id="Rectangle 309893"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09894"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09895"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09896"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309892" style="position:absolute;width:3992;height:5699;left:0;top:565;" filled="f">
                <v:imagedata r:id="rId19"/>
              </v:shape>
              <w10:wrap type="square"/>
            </v:group>
          </w:pict>
        </mc:Fallback>
      </mc:AlternateContent>
    </w:r>
    <w:r>
      <w:rPr>
        <w:rFonts w:ascii="Times New Roman" w:eastAsia="Times New Roman" w:hAnsi="Times New Roman" w:cs="Times New Roman"/>
        <w:sz w:val="24"/>
      </w:rPr>
      <w:t xml:space="preserve"> </w:t>
    </w:r>
  </w:p>
  <w:p w:rsidR="007617AD" w:rsidRDefault="00EE75C8">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309897" name="Group 30989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09898" name="Picture 309898"/>
                        <pic:cNvPicPr/>
                      </pic:nvPicPr>
                      <pic:blipFill>
                        <a:blip r:embed="rId20"/>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309897" style="width:28pt;height:310pt;position:absolute;z-index:-2147483648;mso-position-horizontal-relative:page;mso-position-horizontal:absolute;margin-left:653.71pt;mso-position-vertical-relative:page;margin-top:501.92pt;" coordsize="3556,39370">
              <v:shape id="Picture 309898" style="position:absolute;width:39369;height:3556;left:-17906;top:17906;rotation:-89;" filled="f">
                <v:imagedata r:id="rId18"/>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7AD" w:rsidRDefault="00EE75C8">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309881" name="Group 30988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09882" name="Picture 309882"/>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309881" style="width:28pt;height:310pt;position:absolute;z-index:-2147483648;mso-position-horizontal-relative:page;mso-position-horizontal:absolute;margin-left:653.71pt;mso-position-vertical-relative:page;margin-top:501.92pt;" coordsize="3556,39370">
              <v:shape id="Picture 309882" style="position:absolute;width:39369;height:3556;left:-17906;top:17906;rotation:-89;" filled="f">
                <v:imagedata r:id="rId18"/>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15423" o:spid="_x0000_i1026" style="width:102.75pt;height:125.25pt" coordsize="" o:spt="100" o:bullet="t" adj="0,,0" path="" stroked="f">
        <v:stroke joinstyle="miter"/>
        <v:imagedata r:id="rId1" o:title="image20"/>
        <v:formulas/>
        <v:path o:connecttype="segments"/>
      </v:shape>
    </w:pict>
  </w:numPicBullet>
  <w:abstractNum w:abstractNumId="0" w15:restartNumberingAfterBreak="0">
    <w:nsid w:val="008E7FDA"/>
    <w:multiLevelType w:val="hybridMultilevel"/>
    <w:tmpl w:val="4490A126"/>
    <w:lvl w:ilvl="0" w:tplc="A7969BDA">
      <w:start w:val="1"/>
      <w:numFmt w:val="lowerLetter"/>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0C8716">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86D196">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A196E">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CA336E">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8279D4">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260B78">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9A237E">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06F786">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7510DA"/>
    <w:multiLevelType w:val="hybridMultilevel"/>
    <w:tmpl w:val="4FDE695C"/>
    <w:lvl w:ilvl="0" w:tplc="8064DEB0">
      <w:start w:val="1"/>
      <w:numFmt w:val="decimal"/>
      <w:lvlText w:val="(%1)"/>
      <w:lvlJc w:val="left"/>
      <w:pPr>
        <w:ind w:left="1891"/>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935CB400">
      <w:start w:val="1"/>
      <w:numFmt w:val="lowerLetter"/>
      <w:lvlText w:val="%2"/>
      <w:lvlJc w:val="left"/>
      <w:pPr>
        <w:ind w:left="20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1A42C83E">
      <w:start w:val="1"/>
      <w:numFmt w:val="lowerRoman"/>
      <w:lvlText w:val="%3"/>
      <w:lvlJc w:val="left"/>
      <w:pPr>
        <w:ind w:left="27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949464D0">
      <w:start w:val="1"/>
      <w:numFmt w:val="decimal"/>
      <w:lvlText w:val="%4"/>
      <w:lvlJc w:val="left"/>
      <w:pPr>
        <w:ind w:left="35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E0E42C66">
      <w:start w:val="1"/>
      <w:numFmt w:val="lowerLetter"/>
      <w:lvlText w:val="%5"/>
      <w:lvlJc w:val="left"/>
      <w:pPr>
        <w:ind w:left="42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D278BD78">
      <w:start w:val="1"/>
      <w:numFmt w:val="lowerRoman"/>
      <w:lvlText w:val="%6"/>
      <w:lvlJc w:val="left"/>
      <w:pPr>
        <w:ind w:left="494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20781F76">
      <w:start w:val="1"/>
      <w:numFmt w:val="decimal"/>
      <w:lvlText w:val="%7"/>
      <w:lvlJc w:val="left"/>
      <w:pPr>
        <w:ind w:left="56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3B186432">
      <w:start w:val="1"/>
      <w:numFmt w:val="lowerLetter"/>
      <w:lvlText w:val="%8"/>
      <w:lvlJc w:val="left"/>
      <w:pPr>
        <w:ind w:left="63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2FA05770">
      <w:start w:val="1"/>
      <w:numFmt w:val="lowerRoman"/>
      <w:lvlText w:val="%9"/>
      <w:lvlJc w:val="left"/>
      <w:pPr>
        <w:ind w:left="71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2" w15:restartNumberingAfterBreak="0">
    <w:nsid w:val="034C264F"/>
    <w:multiLevelType w:val="hybridMultilevel"/>
    <w:tmpl w:val="9E247C6C"/>
    <w:lvl w:ilvl="0" w:tplc="9D92833A">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D27A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AE70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7E16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60825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42F8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B8F3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568E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4AB0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910E19"/>
    <w:multiLevelType w:val="hybridMultilevel"/>
    <w:tmpl w:val="000E9994"/>
    <w:lvl w:ilvl="0" w:tplc="3198E9B8">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D80C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B0DCE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5E35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6E59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7083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08BA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4E19A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76D1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F040CE"/>
    <w:multiLevelType w:val="hybridMultilevel"/>
    <w:tmpl w:val="E54416FC"/>
    <w:lvl w:ilvl="0" w:tplc="1B8C0F80">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BE03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028E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38A5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BE4D5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54B2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E4C4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9498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DA76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2F2F49"/>
    <w:multiLevelType w:val="hybridMultilevel"/>
    <w:tmpl w:val="A032133A"/>
    <w:lvl w:ilvl="0" w:tplc="021AE0EC">
      <w:start w:val="1"/>
      <w:numFmt w:val="decimal"/>
      <w:lvlText w:val="(%1)"/>
      <w:lvlJc w:val="left"/>
      <w:pPr>
        <w:ind w:left="1674"/>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7D3CD458">
      <w:start w:val="1"/>
      <w:numFmt w:val="lowerLetter"/>
      <w:lvlText w:val="%2"/>
      <w:lvlJc w:val="left"/>
      <w:pPr>
        <w:ind w:left="201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C696E316">
      <w:start w:val="1"/>
      <w:numFmt w:val="lowerRoman"/>
      <w:lvlText w:val="%3"/>
      <w:lvlJc w:val="left"/>
      <w:pPr>
        <w:ind w:left="273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55F40590">
      <w:start w:val="1"/>
      <w:numFmt w:val="decimal"/>
      <w:lvlText w:val="%4"/>
      <w:lvlJc w:val="left"/>
      <w:pPr>
        <w:ind w:left="345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BDBEC0AC">
      <w:start w:val="1"/>
      <w:numFmt w:val="lowerLetter"/>
      <w:lvlText w:val="%5"/>
      <w:lvlJc w:val="left"/>
      <w:pPr>
        <w:ind w:left="417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FEC0C3E0">
      <w:start w:val="1"/>
      <w:numFmt w:val="lowerRoman"/>
      <w:lvlText w:val="%6"/>
      <w:lvlJc w:val="left"/>
      <w:pPr>
        <w:ind w:left="489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FD1A6DA0">
      <w:start w:val="1"/>
      <w:numFmt w:val="decimal"/>
      <w:lvlText w:val="%7"/>
      <w:lvlJc w:val="left"/>
      <w:pPr>
        <w:ind w:left="561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EF1A4E64">
      <w:start w:val="1"/>
      <w:numFmt w:val="lowerLetter"/>
      <w:lvlText w:val="%8"/>
      <w:lvlJc w:val="left"/>
      <w:pPr>
        <w:ind w:left="633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C83658EA">
      <w:start w:val="1"/>
      <w:numFmt w:val="lowerRoman"/>
      <w:lvlText w:val="%9"/>
      <w:lvlJc w:val="left"/>
      <w:pPr>
        <w:ind w:left="705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6" w15:restartNumberingAfterBreak="0">
    <w:nsid w:val="0C2359AF"/>
    <w:multiLevelType w:val="hybridMultilevel"/>
    <w:tmpl w:val="A788A760"/>
    <w:lvl w:ilvl="0" w:tplc="BB5C5FCE">
      <w:start w:val="1"/>
      <w:numFmt w:val="lowerLetter"/>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EA00E3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A441C9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49A9AC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0C09F3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DE00BC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11CE95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68445B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A60C25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C8A42F6"/>
    <w:multiLevelType w:val="hybridMultilevel"/>
    <w:tmpl w:val="510EF8DE"/>
    <w:lvl w:ilvl="0" w:tplc="19D2E198">
      <w:start w:val="1"/>
      <w:numFmt w:val="bullet"/>
      <w:lvlText w:val="-"/>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400C94">
      <w:start w:val="1"/>
      <w:numFmt w:val="bullet"/>
      <w:lvlText w:val="o"/>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D23730">
      <w:start w:val="1"/>
      <w:numFmt w:val="bullet"/>
      <w:lvlText w:val="▪"/>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92A5F0">
      <w:start w:val="1"/>
      <w:numFmt w:val="bullet"/>
      <w:lvlText w:val="•"/>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84CF12">
      <w:start w:val="1"/>
      <w:numFmt w:val="bullet"/>
      <w:lvlText w:val="o"/>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788FEE">
      <w:start w:val="1"/>
      <w:numFmt w:val="bullet"/>
      <w:lvlText w:val="▪"/>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8860A4">
      <w:start w:val="1"/>
      <w:numFmt w:val="bullet"/>
      <w:lvlText w:val="•"/>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7328B88">
      <w:start w:val="1"/>
      <w:numFmt w:val="bullet"/>
      <w:lvlText w:val="o"/>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C5800">
      <w:start w:val="1"/>
      <w:numFmt w:val="bullet"/>
      <w:lvlText w:val="▪"/>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1B62CFB"/>
    <w:multiLevelType w:val="hybridMultilevel"/>
    <w:tmpl w:val="8790496E"/>
    <w:lvl w:ilvl="0" w:tplc="5706F982">
      <w:start w:val="1"/>
      <w:numFmt w:val="decimal"/>
      <w:lvlText w:val="%1."/>
      <w:lvlJc w:val="left"/>
      <w:pPr>
        <w:ind w:left="2134"/>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1" w:tplc="A8D45C7A">
      <w:start w:val="1"/>
      <w:numFmt w:val="lowerLetter"/>
      <w:lvlText w:val="%2"/>
      <w:lvlJc w:val="left"/>
      <w:pPr>
        <w:ind w:left="2213"/>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2" w:tplc="3372FB9A">
      <w:start w:val="1"/>
      <w:numFmt w:val="lowerRoman"/>
      <w:lvlText w:val="%3"/>
      <w:lvlJc w:val="left"/>
      <w:pPr>
        <w:ind w:left="2933"/>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3" w:tplc="0D84DE72">
      <w:start w:val="1"/>
      <w:numFmt w:val="decimal"/>
      <w:lvlText w:val="%4"/>
      <w:lvlJc w:val="left"/>
      <w:pPr>
        <w:ind w:left="3653"/>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4" w:tplc="7A940746">
      <w:start w:val="1"/>
      <w:numFmt w:val="lowerLetter"/>
      <w:lvlText w:val="%5"/>
      <w:lvlJc w:val="left"/>
      <w:pPr>
        <w:ind w:left="4373"/>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5" w:tplc="685C2B4E">
      <w:start w:val="1"/>
      <w:numFmt w:val="lowerRoman"/>
      <w:lvlText w:val="%6"/>
      <w:lvlJc w:val="left"/>
      <w:pPr>
        <w:ind w:left="5093"/>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6" w:tplc="ACE20822">
      <w:start w:val="1"/>
      <w:numFmt w:val="decimal"/>
      <w:lvlText w:val="%7"/>
      <w:lvlJc w:val="left"/>
      <w:pPr>
        <w:ind w:left="5813"/>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7" w:tplc="48D691FE">
      <w:start w:val="1"/>
      <w:numFmt w:val="lowerLetter"/>
      <w:lvlText w:val="%8"/>
      <w:lvlJc w:val="left"/>
      <w:pPr>
        <w:ind w:left="6533"/>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8" w:tplc="4FA279BE">
      <w:start w:val="1"/>
      <w:numFmt w:val="lowerRoman"/>
      <w:lvlText w:val="%9"/>
      <w:lvlJc w:val="left"/>
      <w:pPr>
        <w:ind w:left="7253"/>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abstractNum>
  <w:abstractNum w:abstractNumId="9" w15:restartNumberingAfterBreak="0">
    <w:nsid w:val="12975807"/>
    <w:multiLevelType w:val="hybridMultilevel"/>
    <w:tmpl w:val="BDA61CAA"/>
    <w:lvl w:ilvl="0" w:tplc="F514805A">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64F40A">
      <w:start w:val="1"/>
      <w:numFmt w:val="bullet"/>
      <w:lvlText w:val="o"/>
      <w:lvlJc w:val="left"/>
      <w:pPr>
        <w:ind w:left="1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B2F512">
      <w:start w:val="1"/>
      <w:numFmt w:val="bullet"/>
      <w:lvlText w:val="▪"/>
      <w:lvlJc w:val="left"/>
      <w:pPr>
        <w:ind w:left="2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C80DA8">
      <w:start w:val="1"/>
      <w:numFmt w:val="bullet"/>
      <w:lvlText w:val="•"/>
      <w:lvlJc w:val="left"/>
      <w:pPr>
        <w:ind w:left="2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2AD7C6">
      <w:start w:val="1"/>
      <w:numFmt w:val="bullet"/>
      <w:lvlText w:val="o"/>
      <w:lvlJc w:val="left"/>
      <w:pPr>
        <w:ind w:left="36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ECC8B2">
      <w:start w:val="1"/>
      <w:numFmt w:val="bullet"/>
      <w:lvlText w:val="▪"/>
      <w:lvlJc w:val="left"/>
      <w:pPr>
        <w:ind w:left="4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C6FA06">
      <w:start w:val="1"/>
      <w:numFmt w:val="bullet"/>
      <w:lvlText w:val="•"/>
      <w:lvlJc w:val="left"/>
      <w:pPr>
        <w:ind w:left="5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0E5652">
      <w:start w:val="1"/>
      <w:numFmt w:val="bullet"/>
      <w:lvlText w:val="o"/>
      <w:lvlJc w:val="left"/>
      <w:pPr>
        <w:ind w:left="5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0A74CE">
      <w:start w:val="1"/>
      <w:numFmt w:val="bullet"/>
      <w:lvlText w:val="▪"/>
      <w:lvlJc w:val="left"/>
      <w:pPr>
        <w:ind w:left="6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4F415D5"/>
    <w:multiLevelType w:val="hybridMultilevel"/>
    <w:tmpl w:val="A4FE350C"/>
    <w:lvl w:ilvl="0" w:tplc="7B0E64A4">
      <w:start w:val="1"/>
      <w:numFmt w:val="bullet"/>
      <w:lvlText w:val="-"/>
      <w:lvlJc w:val="left"/>
      <w:pPr>
        <w:ind w:left="20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04210E">
      <w:start w:val="1"/>
      <w:numFmt w:val="bullet"/>
      <w:lvlText w:val="o"/>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30889E">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16036E">
      <w:start w:val="1"/>
      <w:numFmt w:val="bullet"/>
      <w:lvlText w:val="•"/>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70EE3A">
      <w:start w:val="1"/>
      <w:numFmt w:val="bullet"/>
      <w:lvlText w:val="o"/>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E4EC36">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A01ECC">
      <w:start w:val="1"/>
      <w:numFmt w:val="bullet"/>
      <w:lvlText w:val="•"/>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481986">
      <w:start w:val="1"/>
      <w:numFmt w:val="bullet"/>
      <w:lvlText w:val="o"/>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6064FDE">
      <w:start w:val="1"/>
      <w:numFmt w:val="bullet"/>
      <w:lvlText w:val="▪"/>
      <w:lvlJc w:val="left"/>
      <w:pPr>
        <w:ind w:left="7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66E1C7E"/>
    <w:multiLevelType w:val="hybridMultilevel"/>
    <w:tmpl w:val="69FC6468"/>
    <w:lvl w:ilvl="0" w:tplc="5EA66F52">
      <w:start w:val="1"/>
      <w:numFmt w:val="bullet"/>
      <w:lvlText w:val="-"/>
      <w:lvlJc w:val="left"/>
      <w:pPr>
        <w:ind w:left="14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1E26846">
      <w:start w:val="1"/>
      <w:numFmt w:val="bullet"/>
      <w:lvlText w:val="o"/>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7A6D8F8">
      <w:start w:val="1"/>
      <w:numFmt w:val="bullet"/>
      <w:lvlText w:val="▪"/>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2883A46">
      <w:start w:val="1"/>
      <w:numFmt w:val="bullet"/>
      <w:lvlText w:val="•"/>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2BC0560">
      <w:start w:val="1"/>
      <w:numFmt w:val="bullet"/>
      <w:lvlText w:val="o"/>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4683CCC">
      <w:start w:val="1"/>
      <w:numFmt w:val="bullet"/>
      <w:lvlText w:val="▪"/>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8482D2A">
      <w:start w:val="1"/>
      <w:numFmt w:val="bullet"/>
      <w:lvlText w:val="•"/>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CB68A1E">
      <w:start w:val="1"/>
      <w:numFmt w:val="bullet"/>
      <w:lvlText w:val="o"/>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C90952C">
      <w:start w:val="1"/>
      <w:numFmt w:val="bullet"/>
      <w:lvlText w:val="▪"/>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6851AFC"/>
    <w:multiLevelType w:val="hybridMultilevel"/>
    <w:tmpl w:val="B570095C"/>
    <w:lvl w:ilvl="0" w:tplc="59EC3074">
      <w:start w:val="4"/>
      <w:numFmt w:val="upperLetter"/>
      <w:lvlText w:val="%1."/>
      <w:lvlJc w:val="left"/>
      <w:pPr>
        <w:ind w:left="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3CB8B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3081D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6A1A3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2EBFB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EE4B2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E2FEA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B28BD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BA0FC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CFC240A"/>
    <w:multiLevelType w:val="hybridMultilevel"/>
    <w:tmpl w:val="7CE82C6C"/>
    <w:lvl w:ilvl="0" w:tplc="8AB0E31A">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42896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28E1E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7AA3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12FEF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D2C69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5A7AE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066CF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55EB21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DDE0398"/>
    <w:multiLevelType w:val="hybridMultilevel"/>
    <w:tmpl w:val="09ECE132"/>
    <w:lvl w:ilvl="0" w:tplc="EF842DB6">
      <w:start w:val="3"/>
      <w:numFmt w:val="decimal"/>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DB282A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00A5F2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3EE545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058E33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9DE413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AE6FBE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F006B4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A247C6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E7813C5"/>
    <w:multiLevelType w:val="hybridMultilevel"/>
    <w:tmpl w:val="3D1489A6"/>
    <w:lvl w:ilvl="0" w:tplc="4E601FE2">
      <w:start w:val="1"/>
      <w:numFmt w:val="bullet"/>
      <w:lvlText w:val="•"/>
      <w:lvlJc w:val="left"/>
      <w:pPr>
        <w:ind w:left="360"/>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1" w:tplc="7EC02AC2">
      <w:start w:val="1"/>
      <w:numFmt w:val="bullet"/>
      <w:lvlText w:val="o"/>
      <w:lvlJc w:val="left"/>
      <w:pPr>
        <w:ind w:left="857"/>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2" w:tplc="C53AFEAC">
      <w:start w:val="1"/>
      <w:numFmt w:val="bullet"/>
      <w:lvlRestart w:val="0"/>
      <w:lvlText w:val="-"/>
      <w:lvlJc w:val="left"/>
      <w:pPr>
        <w:ind w:left="1841"/>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3" w:tplc="CBECD268">
      <w:start w:val="1"/>
      <w:numFmt w:val="bullet"/>
      <w:lvlText w:val="•"/>
      <w:lvlJc w:val="left"/>
      <w:pPr>
        <w:ind w:left="207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4" w:tplc="86C819CA">
      <w:start w:val="1"/>
      <w:numFmt w:val="bullet"/>
      <w:lvlText w:val="o"/>
      <w:lvlJc w:val="left"/>
      <w:pPr>
        <w:ind w:left="279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5" w:tplc="DDB2AA60">
      <w:start w:val="1"/>
      <w:numFmt w:val="bullet"/>
      <w:lvlText w:val="▪"/>
      <w:lvlJc w:val="left"/>
      <w:pPr>
        <w:ind w:left="351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6" w:tplc="D7DCAE92">
      <w:start w:val="1"/>
      <w:numFmt w:val="bullet"/>
      <w:lvlText w:val="•"/>
      <w:lvlJc w:val="left"/>
      <w:pPr>
        <w:ind w:left="423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7" w:tplc="8A009BC6">
      <w:start w:val="1"/>
      <w:numFmt w:val="bullet"/>
      <w:lvlText w:val="o"/>
      <w:lvlJc w:val="left"/>
      <w:pPr>
        <w:ind w:left="495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8" w:tplc="AAC6EB32">
      <w:start w:val="1"/>
      <w:numFmt w:val="bullet"/>
      <w:lvlText w:val="▪"/>
      <w:lvlJc w:val="left"/>
      <w:pPr>
        <w:ind w:left="567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EB52C78"/>
    <w:multiLevelType w:val="hybridMultilevel"/>
    <w:tmpl w:val="61E401DA"/>
    <w:lvl w:ilvl="0" w:tplc="7D26B7FE">
      <w:start w:val="3"/>
      <w:numFmt w:val="decimal"/>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DA80FA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B2473E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8767C4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47C250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8C6F4B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3BAF99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284BE3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29CBBA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EE435CC"/>
    <w:multiLevelType w:val="hybridMultilevel"/>
    <w:tmpl w:val="FCBEC79C"/>
    <w:lvl w:ilvl="0" w:tplc="50C65354">
      <w:start w:val="1"/>
      <w:numFmt w:val="decimal"/>
      <w:lvlText w:val="%1"/>
      <w:lvlJc w:val="left"/>
      <w:pPr>
        <w:ind w:left="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003F2E">
      <w:start w:val="1"/>
      <w:numFmt w:val="bullet"/>
      <w:lvlText w:val="-"/>
      <w:lvlJc w:val="left"/>
      <w:pPr>
        <w:ind w:left="20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20C2F6">
      <w:start w:val="1"/>
      <w:numFmt w:val="bullet"/>
      <w:lvlText w:val="▪"/>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E85444">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E6938E">
      <w:start w:val="1"/>
      <w:numFmt w:val="bullet"/>
      <w:lvlText w:val="o"/>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760D18">
      <w:start w:val="1"/>
      <w:numFmt w:val="bullet"/>
      <w:lvlText w:val="▪"/>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A4C162">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100710">
      <w:start w:val="1"/>
      <w:numFmt w:val="bullet"/>
      <w:lvlText w:val="o"/>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4A00A36">
      <w:start w:val="1"/>
      <w:numFmt w:val="bullet"/>
      <w:lvlText w:val="▪"/>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F250A25"/>
    <w:multiLevelType w:val="hybridMultilevel"/>
    <w:tmpl w:val="DDDA96C0"/>
    <w:lvl w:ilvl="0" w:tplc="E1D06256">
      <w:start w:val="1"/>
      <w:numFmt w:val="bullet"/>
      <w:lvlText w:val="-"/>
      <w:lvlJc w:val="left"/>
      <w:pPr>
        <w:ind w:left="14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4D6B030">
      <w:start w:val="1"/>
      <w:numFmt w:val="bullet"/>
      <w:lvlText w:val="o"/>
      <w:lvlJc w:val="left"/>
      <w:pPr>
        <w:ind w:left="129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24095B6">
      <w:start w:val="1"/>
      <w:numFmt w:val="bullet"/>
      <w:lvlText w:val="▪"/>
      <w:lvlJc w:val="left"/>
      <w:pPr>
        <w:ind w:left="201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B7E33EE">
      <w:start w:val="1"/>
      <w:numFmt w:val="bullet"/>
      <w:lvlText w:val="•"/>
      <w:lvlJc w:val="left"/>
      <w:pPr>
        <w:ind w:left="273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04C5AFC">
      <w:start w:val="1"/>
      <w:numFmt w:val="bullet"/>
      <w:lvlText w:val="o"/>
      <w:lvlJc w:val="left"/>
      <w:pPr>
        <w:ind w:left="345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9A2E1FA">
      <w:start w:val="1"/>
      <w:numFmt w:val="bullet"/>
      <w:lvlText w:val="▪"/>
      <w:lvlJc w:val="left"/>
      <w:pPr>
        <w:ind w:left="417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6C26176">
      <w:start w:val="1"/>
      <w:numFmt w:val="bullet"/>
      <w:lvlText w:val="•"/>
      <w:lvlJc w:val="left"/>
      <w:pPr>
        <w:ind w:left="489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9D0D1C4">
      <w:start w:val="1"/>
      <w:numFmt w:val="bullet"/>
      <w:lvlText w:val="o"/>
      <w:lvlJc w:val="left"/>
      <w:pPr>
        <w:ind w:left="561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C2CA83A">
      <w:start w:val="1"/>
      <w:numFmt w:val="bullet"/>
      <w:lvlText w:val="▪"/>
      <w:lvlJc w:val="left"/>
      <w:pPr>
        <w:ind w:left="633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0CF5C48"/>
    <w:multiLevelType w:val="hybridMultilevel"/>
    <w:tmpl w:val="EDA689C6"/>
    <w:lvl w:ilvl="0" w:tplc="E9C6E8C0">
      <w:start w:val="1"/>
      <w:numFmt w:val="decimal"/>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5E47BE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4DE48F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630B71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4D40CD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6F474D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23463C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0EA872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A0CC99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116006F"/>
    <w:multiLevelType w:val="hybridMultilevel"/>
    <w:tmpl w:val="BCF45CBE"/>
    <w:lvl w:ilvl="0" w:tplc="370AD928">
      <w:start w:val="3"/>
      <w:numFmt w:val="decimal"/>
      <w:lvlText w:val="%1."/>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565DD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7E0E64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747D2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E6260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84CB48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75499D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2A566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4B2910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1805F64"/>
    <w:multiLevelType w:val="hybridMultilevel"/>
    <w:tmpl w:val="73A27B20"/>
    <w:lvl w:ilvl="0" w:tplc="EEF82B40">
      <w:start w:val="22"/>
      <w:numFmt w:val="lowerLetter"/>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A6E9F8">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CFAD4">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B67AA4">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D09358">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09D68">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980162">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CE7E8C">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007B52">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574481"/>
    <w:multiLevelType w:val="hybridMultilevel"/>
    <w:tmpl w:val="A530BA68"/>
    <w:lvl w:ilvl="0" w:tplc="D2463CEA">
      <w:start w:val="1"/>
      <w:numFmt w:val="decimal"/>
      <w:lvlText w:val="%1"/>
      <w:lvlJc w:val="left"/>
      <w:pPr>
        <w:ind w:left="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28BBD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84143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4581E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4C50A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3A674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9AEF9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30DEE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FEC33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5F55D83"/>
    <w:multiLevelType w:val="hybridMultilevel"/>
    <w:tmpl w:val="5C8A6C82"/>
    <w:lvl w:ilvl="0" w:tplc="4F1AF7B0">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4A4B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CAA5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26C3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88C4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6A2BF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2EFB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C8E0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C88F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6900EBE"/>
    <w:multiLevelType w:val="hybridMultilevel"/>
    <w:tmpl w:val="87F69116"/>
    <w:lvl w:ilvl="0" w:tplc="70F4B46A">
      <w:start w:val="3"/>
      <w:numFmt w:val="decimal"/>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C9A7FC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09CB65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F287E8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EE09C2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7DE99D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CD62EE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5D4551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EC8266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7187B55"/>
    <w:multiLevelType w:val="hybridMultilevel"/>
    <w:tmpl w:val="92B49B0C"/>
    <w:lvl w:ilvl="0" w:tplc="9238100A">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8291F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868A2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4EF1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BC1EA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B2723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DAEF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9883C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3AD16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9165A19"/>
    <w:multiLevelType w:val="hybridMultilevel"/>
    <w:tmpl w:val="63D8AAC0"/>
    <w:lvl w:ilvl="0" w:tplc="27EC1766">
      <w:start w:val="3"/>
      <w:numFmt w:val="decimal"/>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FCC042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B527DE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F16229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702C22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F08F63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BA8148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5F2403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A34B00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927706A"/>
    <w:multiLevelType w:val="hybridMultilevel"/>
    <w:tmpl w:val="BD62E21C"/>
    <w:lvl w:ilvl="0" w:tplc="E57694F8">
      <w:start w:val="21"/>
      <w:numFmt w:val="lowerLetter"/>
      <w:lvlText w:val="%1)"/>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06906C">
      <w:start w:val="1"/>
      <w:numFmt w:val="bullet"/>
      <w:lvlText w:val="-"/>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B8772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9087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9053B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AE8FA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9AE9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8C109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48A72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ABA5A94"/>
    <w:multiLevelType w:val="hybridMultilevel"/>
    <w:tmpl w:val="6AB043E2"/>
    <w:lvl w:ilvl="0" w:tplc="B14C2046">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8AF8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C641D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189C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1CF19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B296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3402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E209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F289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CE93340"/>
    <w:multiLevelType w:val="hybridMultilevel"/>
    <w:tmpl w:val="D57C8EDC"/>
    <w:lvl w:ilvl="0" w:tplc="34C26630">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C28FE2">
      <w:start w:val="1"/>
      <w:numFmt w:val="bullet"/>
      <w:lvlText w:val="o"/>
      <w:lvlJc w:val="left"/>
      <w:pPr>
        <w:ind w:left="1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6EA2F4">
      <w:start w:val="1"/>
      <w:numFmt w:val="bullet"/>
      <w:lvlText w:val="▪"/>
      <w:lvlJc w:val="left"/>
      <w:pPr>
        <w:ind w:left="2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CE16C2">
      <w:start w:val="1"/>
      <w:numFmt w:val="bullet"/>
      <w:lvlText w:val="•"/>
      <w:lvlJc w:val="left"/>
      <w:pPr>
        <w:ind w:left="2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FAFC00">
      <w:start w:val="1"/>
      <w:numFmt w:val="bullet"/>
      <w:lvlText w:val="o"/>
      <w:lvlJc w:val="left"/>
      <w:pPr>
        <w:ind w:left="36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FA451C">
      <w:start w:val="1"/>
      <w:numFmt w:val="bullet"/>
      <w:lvlText w:val="▪"/>
      <w:lvlJc w:val="left"/>
      <w:pPr>
        <w:ind w:left="4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8EA6B2">
      <w:start w:val="1"/>
      <w:numFmt w:val="bullet"/>
      <w:lvlText w:val="•"/>
      <w:lvlJc w:val="left"/>
      <w:pPr>
        <w:ind w:left="5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A056A0">
      <w:start w:val="1"/>
      <w:numFmt w:val="bullet"/>
      <w:lvlText w:val="o"/>
      <w:lvlJc w:val="left"/>
      <w:pPr>
        <w:ind w:left="5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487FDC">
      <w:start w:val="1"/>
      <w:numFmt w:val="bullet"/>
      <w:lvlText w:val="▪"/>
      <w:lvlJc w:val="left"/>
      <w:pPr>
        <w:ind w:left="6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D880401"/>
    <w:multiLevelType w:val="hybridMultilevel"/>
    <w:tmpl w:val="6DDABA52"/>
    <w:lvl w:ilvl="0" w:tplc="654EF3DA">
      <w:start w:val="1"/>
      <w:numFmt w:val="decimal"/>
      <w:lvlText w:val="(%1)"/>
      <w:lvlJc w:val="left"/>
      <w:pPr>
        <w:ind w:left="1674"/>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AB3CCF12">
      <w:start w:val="1"/>
      <w:numFmt w:val="lowerLetter"/>
      <w:lvlText w:val="%2"/>
      <w:lvlJc w:val="left"/>
      <w:pPr>
        <w:ind w:left="201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8FB4980C">
      <w:start w:val="1"/>
      <w:numFmt w:val="lowerRoman"/>
      <w:lvlText w:val="%3"/>
      <w:lvlJc w:val="left"/>
      <w:pPr>
        <w:ind w:left="273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70B2C01E">
      <w:start w:val="1"/>
      <w:numFmt w:val="decimal"/>
      <w:lvlText w:val="%4"/>
      <w:lvlJc w:val="left"/>
      <w:pPr>
        <w:ind w:left="345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F05C9D9A">
      <w:start w:val="1"/>
      <w:numFmt w:val="lowerLetter"/>
      <w:lvlText w:val="%5"/>
      <w:lvlJc w:val="left"/>
      <w:pPr>
        <w:ind w:left="417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B66E1188">
      <w:start w:val="1"/>
      <w:numFmt w:val="lowerRoman"/>
      <w:lvlText w:val="%6"/>
      <w:lvlJc w:val="left"/>
      <w:pPr>
        <w:ind w:left="489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1180D7CC">
      <w:start w:val="1"/>
      <w:numFmt w:val="decimal"/>
      <w:lvlText w:val="%7"/>
      <w:lvlJc w:val="left"/>
      <w:pPr>
        <w:ind w:left="561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4AC4B7C6">
      <w:start w:val="1"/>
      <w:numFmt w:val="lowerLetter"/>
      <w:lvlText w:val="%8"/>
      <w:lvlJc w:val="left"/>
      <w:pPr>
        <w:ind w:left="633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9DD80FFC">
      <w:start w:val="1"/>
      <w:numFmt w:val="lowerRoman"/>
      <w:lvlText w:val="%9"/>
      <w:lvlJc w:val="left"/>
      <w:pPr>
        <w:ind w:left="705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31" w15:restartNumberingAfterBreak="0">
    <w:nsid w:val="2DBE7E7C"/>
    <w:multiLevelType w:val="hybridMultilevel"/>
    <w:tmpl w:val="6ABC0B26"/>
    <w:lvl w:ilvl="0" w:tplc="2D86F734">
      <w:start w:val="1"/>
      <w:numFmt w:val="decimal"/>
      <w:lvlText w:val="%1"/>
      <w:lvlJc w:val="left"/>
      <w:pPr>
        <w:ind w:left="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94EE3A">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CD4F176">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4A7D22">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464660">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4ED51C">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7804A0">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FE8D6C">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EE6651C">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F5F0233"/>
    <w:multiLevelType w:val="hybridMultilevel"/>
    <w:tmpl w:val="18969A50"/>
    <w:lvl w:ilvl="0" w:tplc="851E4DBA">
      <w:start w:val="1"/>
      <w:numFmt w:val="decimal"/>
      <w:lvlText w:val="%1"/>
      <w:lvlJc w:val="left"/>
      <w:pPr>
        <w:ind w:left="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C8E9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A4AF9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F05BA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123EE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F298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90A21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BC9A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288E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FFF0BB2"/>
    <w:multiLevelType w:val="hybridMultilevel"/>
    <w:tmpl w:val="A4FE2A6E"/>
    <w:lvl w:ilvl="0" w:tplc="20F259A0">
      <w:start w:val="7"/>
      <w:numFmt w:val="lowerLetter"/>
      <w:lvlText w:val="%1)"/>
      <w:lvlJc w:val="left"/>
      <w:pPr>
        <w:ind w:left="1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8CE6A50">
      <w:start w:val="1"/>
      <w:numFmt w:val="lowerLetter"/>
      <w:lvlText w:val="%2"/>
      <w:lvlJc w:val="left"/>
      <w:pPr>
        <w:ind w:left="19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078FBA2">
      <w:start w:val="1"/>
      <w:numFmt w:val="lowerRoman"/>
      <w:lvlText w:val="%3"/>
      <w:lvlJc w:val="left"/>
      <w:pPr>
        <w:ind w:left="26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B80501E">
      <w:start w:val="1"/>
      <w:numFmt w:val="decimal"/>
      <w:lvlText w:val="%4"/>
      <w:lvlJc w:val="left"/>
      <w:pPr>
        <w:ind w:left="33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E9A0EFA">
      <w:start w:val="1"/>
      <w:numFmt w:val="lowerLetter"/>
      <w:lvlText w:val="%5"/>
      <w:lvlJc w:val="left"/>
      <w:pPr>
        <w:ind w:left="41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8F482C6">
      <w:start w:val="1"/>
      <w:numFmt w:val="lowerRoman"/>
      <w:lvlText w:val="%6"/>
      <w:lvlJc w:val="left"/>
      <w:pPr>
        <w:ind w:left="482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7887A0E">
      <w:start w:val="1"/>
      <w:numFmt w:val="decimal"/>
      <w:lvlText w:val="%7"/>
      <w:lvlJc w:val="left"/>
      <w:pPr>
        <w:ind w:left="55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6AEB3E2">
      <w:start w:val="1"/>
      <w:numFmt w:val="lowerLetter"/>
      <w:lvlText w:val="%8"/>
      <w:lvlJc w:val="left"/>
      <w:pPr>
        <w:ind w:left="62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F36EA14">
      <w:start w:val="1"/>
      <w:numFmt w:val="lowerRoman"/>
      <w:lvlText w:val="%9"/>
      <w:lvlJc w:val="left"/>
      <w:pPr>
        <w:ind w:left="69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0562151"/>
    <w:multiLevelType w:val="hybridMultilevel"/>
    <w:tmpl w:val="9110882C"/>
    <w:lvl w:ilvl="0" w:tplc="98EC3F52">
      <w:start w:val="1"/>
      <w:numFmt w:val="bullet"/>
      <w:lvlText w:val="-"/>
      <w:lvlJc w:val="left"/>
      <w:pPr>
        <w:ind w:left="20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DC20EC">
      <w:start w:val="1"/>
      <w:numFmt w:val="bullet"/>
      <w:lvlText w:val="o"/>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EAE4AC">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4E7716">
      <w:start w:val="1"/>
      <w:numFmt w:val="bullet"/>
      <w:lvlText w:val="•"/>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CA74E4">
      <w:start w:val="1"/>
      <w:numFmt w:val="bullet"/>
      <w:lvlText w:val="o"/>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D8A88E">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B4FCDA">
      <w:start w:val="1"/>
      <w:numFmt w:val="bullet"/>
      <w:lvlText w:val="•"/>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A0EE22">
      <w:start w:val="1"/>
      <w:numFmt w:val="bullet"/>
      <w:lvlText w:val="o"/>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4CA598">
      <w:start w:val="1"/>
      <w:numFmt w:val="bullet"/>
      <w:lvlText w:val="▪"/>
      <w:lvlJc w:val="left"/>
      <w:pPr>
        <w:ind w:left="7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082193C"/>
    <w:multiLevelType w:val="hybridMultilevel"/>
    <w:tmpl w:val="937A1D40"/>
    <w:lvl w:ilvl="0" w:tplc="7CBCC786">
      <w:start w:val="1"/>
      <w:numFmt w:val="bullet"/>
      <w:lvlText w:val="•"/>
      <w:lvlJc w:val="left"/>
      <w:pPr>
        <w:ind w:left="1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F69332">
      <w:start w:val="1"/>
      <w:numFmt w:val="bullet"/>
      <w:lvlText w:val="o"/>
      <w:lvlJc w:val="left"/>
      <w:pPr>
        <w:ind w:left="11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6E0BF8">
      <w:start w:val="1"/>
      <w:numFmt w:val="bullet"/>
      <w:lvlText w:val="▪"/>
      <w:lvlJc w:val="left"/>
      <w:pPr>
        <w:ind w:left="18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9827CC">
      <w:start w:val="1"/>
      <w:numFmt w:val="bullet"/>
      <w:lvlText w:val="•"/>
      <w:lvlJc w:val="left"/>
      <w:pPr>
        <w:ind w:left="26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8272C0">
      <w:start w:val="1"/>
      <w:numFmt w:val="bullet"/>
      <w:lvlText w:val="o"/>
      <w:lvlJc w:val="left"/>
      <w:pPr>
        <w:ind w:left="33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189608">
      <w:start w:val="1"/>
      <w:numFmt w:val="bullet"/>
      <w:lvlText w:val="▪"/>
      <w:lvlJc w:val="left"/>
      <w:pPr>
        <w:ind w:left="40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804EC4">
      <w:start w:val="1"/>
      <w:numFmt w:val="bullet"/>
      <w:lvlText w:val="•"/>
      <w:lvlJc w:val="left"/>
      <w:pPr>
        <w:ind w:left="47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D06A14">
      <w:start w:val="1"/>
      <w:numFmt w:val="bullet"/>
      <w:lvlText w:val="o"/>
      <w:lvlJc w:val="left"/>
      <w:pPr>
        <w:ind w:left="54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301DCE">
      <w:start w:val="1"/>
      <w:numFmt w:val="bullet"/>
      <w:lvlText w:val="▪"/>
      <w:lvlJc w:val="left"/>
      <w:pPr>
        <w:ind w:left="62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30D35862"/>
    <w:multiLevelType w:val="hybridMultilevel"/>
    <w:tmpl w:val="BC5E1CFA"/>
    <w:lvl w:ilvl="0" w:tplc="FA729DF4">
      <w:start w:val="2"/>
      <w:numFmt w:val="upperLetter"/>
      <w:lvlText w:val="%1)"/>
      <w:lvlJc w:val="left"/>
      <w:pPr>
        <w:ind w:left="14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1287700">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A742BB8">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E1CAC1A">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EC01C32">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7DA069C">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6A261D4">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D6C295E">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8802AD8">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1682412"/>
    <w:multiLevelType w:val="hybridMultilevel"/>
    <w:tmpl w:val="EDF8E338"/>
    <w:lvl w:ilvl="0" w:tplc="64069868">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D003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E8CE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C62D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4410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B042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725D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047B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36F2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25C3ECA"/>
    <w:multiLevelType w:val="hybridMultilevel"/>
    <w:tmpl w:val="FD00AAA4"/>
    <w:lvl w:ilvl="0" w:tplc="CE2AA34C">
      <w:start w:val="1"/>
      <w:numFmt w:val="bullet"/>
      <w:lvlText w:val="-"/>
      <w:lvlJc w:val="left"/>
      <w:pPr>
        <w:ind w:left="123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53888C2">
      <w:start w:val="1"/>
      <w:numFmt w:val="bullet"/>
      <w:lvlText w:val="o"/>
      <w:lvlJc w:val="left"/>
      <w:pPr>
        <w:ind w:left="11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374BED8">
      <w:start w:val="1"/>
      <w:numFmt w:val="bullet"/>
      <w:lvlText w:val="▪"/>
      <w:lvlJc w:val="left"/>
      <w:pPr>
        <w:ind w:left="18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36A17E4">
      <w:start w:val="1"/>
      <w:numFmt w:val="bullet"/>
      <w:lvlText w:val="•"/>
      <w:lvlJc w:val="left"/>
      <w:pPr>
        <w:ind w:left="25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528A37C">
      <w:start w:val="1"/>
      <w:numFmt w:val="bullet"/>
      <w:lvlText w:val="o"/>
      <w:lvlJc w:val="left"/>
      <w:pPr>
        <w:ind w:left="33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9C8B862">
      <w:start w:val="1"/>
      <w:numFmt w:val="bullet"/>
      <w:lvlText w:val="▪"/>
      <w:lvlJc w:val="left"/>
      <w:pPr>
        <w:ind w:left="40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8DE1FB0">
      <w:start w:val="1"/>
      <w:numFmt w:val="bullet"/>
      <w:lvlText w:val="•"/>
      <w:lvlJc w:val="left"/>
      <w:pPr>
        <w:ind w:left="47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43468C4">
      <w:start w:val="1"/>
      <w:numFmt w:val="bullet"/>
      <w:lvlText w:val="o"/>
      <w:lvlJc w:val="left"/>
      <w:pPr>
        <w:ind w:left="5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4721C18">
      <w:start w:val="1"/>
      <w:numFmt w:val="bullet"/>
      <w:lvlText w:val="▪"/>
      <w:lvlJc w:val="left"/>
      <w:pPr>
        <w:ind w:left="61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2BB74F2"/>
    <w:multiLevelType w:val="hybridMultilevel"/>
    <w:tmpl w:val="738E6B6E"/>
    <w:lvl w:ilvl="0" w:tplc="ED28DA0A">
      <w:start w:val="11"/>
      <w:numFmt w:val="lowerLetter"/>
      <w:lvlText w:val="%1)"/>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60ED7E">
      <w:start w:val="1"/>
      <w:numFmt w:val="bullet"/>
      <w:lvlText w:val="-"/>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94E5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EA27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EC11A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707EB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D8DB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56F4E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3405B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2C1587D"/>
    <w:multiLevelType w:val="hybridMultilevel"/>
    <w:tmpl w:val="104CBA12"/>
    <w:lvl w:ilvl="0" w:tplc="CBAAE7DC">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E8672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A243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5E14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3E1E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BE3E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C2AE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BAFF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703B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2F528B6"/>
    <w:multiLevelType w:val="hybridMultilevel"/>
    <w:tmpl w:val="0B1EBE20"/>
    <w:lvl w:ilvl="0" w:tplc="6F601396">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50E98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165B1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14BC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988F8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0824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C8C6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424E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900C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3520C31"/>
    <w:multiLevelType w:val="hybridMultilevel"/>
    <w:tmpl w:val="CDB2CC26"/>
    <w:lvl w:ilvl="0" w:tplc="541C251E">
      <w:start w:val="1"/>
      <w:numFmt w:val="bullet"/>
      <w:lvlText w:val=""/>
      <w:lvlJc w:val="left"/>
      <w:pPr>
        <w:ind w:left="14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0C61468">
      <w:start w:val="1"/>
      <w:numFmt w:val="bullet"/>
      <w:lvlText w:val="o"/>
      <w:lvlJc w:val="left"/>
      <w:pPr>
        <w:ind w:left="15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A80F2E2">
      <w:start w:val="1"/>
      <w:numFmt w:val="bullet"/>
      <w:lvlText w:val="▪"/>
      <w:lvlJc w:val="left"/>
      <w:pPr>
        <w:ind w:left="22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BF64ABA">
      <w:start w:val="1"/>
      <w:numFmt w:val="bullet"/>
      <w:lvlText w:val="•"/>
      <w:lvlJc w:val="left"/>
      <w:pPr>
        <w:ind w:left="29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A60E7D2">
      <w:start w:val="1"/>
      <w:numFmt w:val="bullet"/>
      <w:lvlText w:val="o"/>
      <w:lvlJc w:val="left"/>
      <w:pPr>
        <w:ind w:left="36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1EAB552">
      <w:start w:val="1"/>
      <w:numFmt w:val="bullet"/>
      <w:lvlText w:val="▪"/>
      <w:lvlJc w:val="left"/>
      <w:pPr>
        <w:ind w:left="43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176FD9A">
      <w:start w:val="1"/>
      <w:numFmt w:val="bullet"/>
      <w:lvlText w:val="•"/>
      <w:lvlJc w:val="left"/>
      <w:pPr>
        <w:ind w:left="51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3385AA6">
      <w:start w:val="1"/>
      <w:numFmt w:val="bullet"/>
      <w:lvlText w:val="o"/>
      <w:lvlJc w:val="left"/>
      <w:pPr>
        <w:ind w:left="58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6DC0AEC">
      <w:start w:val="1"/>
      <w:numFmt w:val="bullet"/>
      <w:lvlText w:val="▪"/>
      <w:lvlJc w:val="left"/>
      <w:pPr>
        <w:ind w:left="65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3ED5190"/>
    <w:multiLevelType w:val="hybridMultilevel"/>
    <w:tmpl w:val="7D2EB2AE"/>
    <w:lvl w:ilvl="0" w:tplc="542A6082">
      <w:start w:val="1"/>
      <w:numFmt w:val="bullet"/>
      <w:lvlText w:val="•"/>
      <w:lvlPicBulletId w:val="0"/>
      <w:lvlJc w:val="left"/>
      <w:pPr>
        <w:ind w:left="2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D6B6F6">
      <w:start w:val="1"/>
      <w:numFmt w:val="bullet"/>
      <w:lvlText w:val="o"/>
      <w:lvlJc w:val="left"/>
      <w:pPr>
        <w:ind w:left="2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62C890">
      <w:start w:val="1"/>
      <w:numFmt w:val="bullet"/>
      <w:lvlText w:val="▪"/>
      <w:lvlJc w:val="left"/>
      <w:pPr>
        <w:ind w:left="3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9427DE">
      <w:start w:val="1"/>
      <w:numFmt w:val="bullet"/>
      <w:lvlText w:val="•"/>
      <w:lvlJc w:val="left"/>
      <w:pPr>
        <w:ind w:left="4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28AB66">
      <w:start w:val="1"/>
      <w:numFmt w:val="bullet"/>
      <w:lvlText w:val="o"/>
      <w:lvlJc w:val="left"/>
      <w:pPr>
        <w:ind w:left="4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50268C">
      <w:start w:val="1"/>
      <w:numFmt w:val="bullet"/>
      <w:lvlText w:val="▪"/>
      <w:lvlJc w:val="left"/>
      <w:pPr>
        <w:ind w:left="5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FC2774">
      <w:start w:val="1"/>
      <w:numFmt w:val="bullet"/>
      <w:lvlText w:val="•"/>
      <w:lvlJc w:val="left"/>
      <w:pPr>
        <w:ind w:left="6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EC1DEC">
      <w:start w:val="1"/>
      <w:numFmt w:val="bullet"/>
      <w:lvlText w:val="o"/>
      <w:lvlJc w:val="left"/>
      <w:pPr>
        <w:ind w:left="69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3E55C6">
      <w:start w:val="1"/>
      <w:numFmt w:val="bullet"/>
      <w:lvlText w:val="▪"/>
      <w:lvlJc w:val="left"/>
      <w:pPr>
        <w:ind w:left="7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4432D0C"/>
    <w:multiLevelType w:val="hybridMultilevel"/>
    <w:tmpl w:val="A5D0B41E"/>
    <w:lvl w:ilvl="0" w:tplc="7F3CC02E">
      <w:start w:val="1"/>
      <w:numFmt w:val="bullet"/>
      <w:lvlText w:val=""/>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0B63C3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2F67B8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7EAA64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97AB8F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8D48CE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01C2CD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2D63D2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34E807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4A14A09"/>
    <w:multiLevelType w:val="hybridMultilevel"/>
    <w:tmpl w:val="24460654"/>
    <w:lvl w:ilvl="0" w:tplc="2D2A0E2C">
      <w:start w:val="1"/>
      <w:numFmt w:val="decimal"/>
      <w:lvlText w:val="%1"/>
      <w:lvlJc w:val="left"/>
      <w:pPr>
        <w:ind w:left="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9E3F4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C0BBA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4C1A0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1E2A3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6E825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FCFA9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E455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550E8F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4D92F95"/>
    <w:multiLevelType w:val="hybridMultilevel"/>
    <w:tmpl w:val="69824006"/>
    <w:lvl w:ilvl="0" w:tplc="B4688752">
      <w:start w:val="1"/>
      <w:numFmt w:val="bullet"/>
      <w:lvlText w:val="-"/>
      <w:lvlJc w:val="left"/>
      <w:pPr>
        <w:ind w:left="12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498DAEA">
      <w:start w:val="1"/>
      <w:numFmt w:val="bullet"/>
      <w:lvlText w:val="o"/>
      <w:lvlJc w:val="left"/>
      <w:pPr>
        <w:ind w:left="15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3B2E5B0">
      <w:start w:val="1"/>
      <w:numFmt w:val="bullet"/>
      <w:lvlText w:val="▪"/>
      <w:lvlJc w:val="left"/>
      <w:pPr>
        <w:ind w:left="22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D961B40">
      <w:start w:val="1"/>
      <w:numFmt w:val="bullet"/>
      <w:lvlText w:val="•"/>
      <w:lvlJc w:val="left"/>
      <w:pPr>
        <w:ind w:left="30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9D41B56">
      <w:start w:val="1"/>
      <w:numFmt w:val="bullet"/>
      <w:lvlText w:val="o"/>
      <w:lvlJc w:val="left"/>
      <w:pPr>
        <w:ind w:left="37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6CEF1E2">
      <w:start w:val="1"/>
      <w:numFmt w:val="bullet"/>
      <w:lvlText w:val="▪"/>
      <w:lvlJc w:val="left"/>
      <w:pPr>
        <w:ind w:left="44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2D6BE84">
      <w:start w:val="1"/>
      <w:numFmt w:val="bullet"/>
      <w:lvlText w:val="•"/>
      <w:lvlJc w:val="left"/>
      <w:pPr>
        <w:ind w:left="51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2E8E5D8">
      <w:start w:val="1"/>
      <w:numFmt w:val="bullet"/>
      <w:lvlText w:val="o"/>
      <w:lvlJc w:val="left"/>
      <w:pPr>
        <w:ind w:left="58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36426CC">
      <w:start w:val="1"/>
      <w:numFmt w:val="bullet"/>
      <w:lvlText w:val="▪"/>
      <w:lvlJc w:val="left"/>
      <w:pPr>
        <w:ind w:left="66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5245B83"/>
    <w:multiLevelType w:val="hybridMultilevel"/>
    <w:tmpl w:val="D05AC5B6"/>
    <w:lvl w:ilvl="0" w:tplc="8B92D0FA">
      <w:start w:val="1"/>
      <w:numFmt w:val="bullet"/>
      <w:lvlText w:val=""/>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5AD13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38B2E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8B8E84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1802C8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6F0801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B222D6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3107DC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8989B9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52D3D93"/>
    <w:multiLevelType w:val="hybridMultilevel"/>
    <w:tmpl w:val="BDD4F2B2"/>
    <w:lvl w:ilvl="0" w:tplc="6152FCF4">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BEF1EE">
      <w:start w:val="1"/>
      <w:numFmt w:val="bullet"/>
      <w:lvlText w:val="o"/>
      <w:lvlJc w:val="left"/>
      <w:pPr>
        <w:ind w:left="1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9CE7B4">
      <w:start w:val="1"/>
      <w:numFmt w:val="bullet"/>
      <w:lvlText w:val="▪"/>
      <w:lvlJc w:val="left"/>
      <w:pPr>
        <w:ind w:left="2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3E6A0C">
      <w:start w:val="1"/>
      <w:numFmt w:val="bullet"/>
      <w:lvlText w:val="•"/>
      <w:lvlJc w:val="left"/>
      <w:pPr>
        <w:ind w:left="2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12410C">
      <w:start w:val="1"/>
      <w:numFmt w:val="bullet"/>
      <w:lvlText w:val="o"/>
      <w:lvlJc w:val="left"/>
      <w:pPr>
        <w:ind w:left="36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0CB764">
      <w:start w:val="1"/>
      <w:numFmt w:val="bullet"/>
      <w:lvlText w:val="▪"/>
      <w:lvlJc w:val="left"/>
      <w:pPr>
        <w:ind w:left="4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D86C2A">
      <w:start w:val="1"/>
      <w:numFmt w:val="bullet"/>
      <w:lvlText w:val="•"/>
      <w:lvlJc w:val="left"/>
      <w:pPr>
        <w:ind w:left="5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927EA4">
      <w:start w:val="1"/>
      <w:numFmt w:val="bullet"/>
      <w:lvlText w:val="o"/>
      <w:lvlJc w:val="left"/>
      <w:pPr>
        <w:ind w:left="5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5652DE">
      <w:start w:val="1"/>
      <w:numFmt w:val="bullet"/>
      <w:lvlText w:val="▪"/>
      <w:lvlJc w:val="left"/>
      <w:pPr>
        <w:ind w:left="6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52F09E1"/>
    <w:multiLevelType w:val="hybridMultilevel"/>
    <w:tmpl w:val="71EAB900"/>
    <w:lvl w:ilvl="0" w:tplc="D7CC6C76">
      <w:start w:val="1"/>
      <w:numFmt w:val="decimal"/>
      <w:lvlText w:val="%1"/>
      <w:lvlJc w:val="left"/>
      <w:pPr>
        <w:ind w:left="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E084B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7259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34F23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A45A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EC5B5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54F16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D0347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46143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5BD44EB"/>
    <w:multiLevelType w:val="hybridMultilevel"/>
    <w:tmpl w:val="481E163C"/>
    <w:lvl w:ilvl="0" w:tplc="5DEC81B8">
      <w:start w:val="1"/>
      <w:numFmt w:val="bullet"/>
      <w:lvlText w:val="-"/>
      <w:lvlJc w:val="left"/>
      <w:pPr>
        <w:ind w:left="20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DC7774">
      <w:start w:val="1"/>
      <w:numFmt w:val="bullet"/>
      <w:lvlText w:val="o"/>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3C4E5A">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584818">
      <w:start w:val="1"/>
      <w:numFmt w:val="bullet"/>
      <w:lvlText w:val="•"/>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A8C2B0">
      <w:start w:val="1"/>
      <w:numFmt w:val="bullet"/>
      <w:lvlText w:val="o"/>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A86718">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728B210">
      <w:start w:val="1"/>
      <w:numFmt w:val="bullet"/>
      <w:lvlText w:val="•"/>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CCBB3A">
      <w:start w:val="1"/>
      <w:numFmt w:val="bullet"/>
      <w:lvlText w:val="o"/>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249988">
      <w:start w:val="1"/>
      <w:numFmt w:val="bullet"/>
      <w:lvlText w:val="▪"/>
      <w:lvlJc w:val="left"/>
      <w:pPr>
        <w:ind w:left="7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6B3243C"/>
    <w:multiLevelType w:val="hybridMultilevel"/>
    <w:tmpl w:val="774ACC6A"/>
    <w:lvl w:ilvl="0" w:tplc="8B28FA6E">
      <w:start w:val="3"/>
      <w:numFmt w:val="decimal"/>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940DB3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5E695B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FDAD48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120816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0DAEC5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A7E675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5FCCEA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0D867D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82802C0"/>
    <w:multiLevelType w:val="hybridMultilevel"/>
    <w:tmpl w:val="40E4FFA0"/>
    <w:lvl w:ilvl="0" w:tplc="2CF03E08">
      <w:start w:val="1"/>
      <w:numFmt w:val="bullet"/>
      <w:lvlText w:val="•"/>
      <w:lvlJc w:val="left"/>
      <w:pPr>
        <w:ind w:left="360"/>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1" w:tplc="22383CCE">
      <w:start w:val="1"/>
      <w:numFmt w:val="bullet"/>
      <w:lvlText w:val="o"/>
      <w:lvlJc w:val="left"/>
      <w:pPr>
        <w:ind w:left="857"/>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2" w:tplc="17768A34">
      <w:start w:val="1"/>
      <w:numFmt w:val="bullet"/>
      <w:lvlRestart w:val="0"/>
      <w:lvlText w:val="-"/>
      <w:lvlJc w:val="left"/>
      <w:pPr>
        <w:ind w:left="1841"/>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3" w:tplc="50C28C6C">
      <w:start w:val="1"/>
      <w:numFmt w:val="bullet"/>
      <w:lvlText w:val="•"/>
      <w:lvlJc w:val="left"/>
      <w:pPr>
        <w:ind w:left="207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4" w:tplc="76588E22">
      <w:start w:val="1"/>
      <w:numFmt w:val="bullet"/>
      <w:lvlText w:val="o"/>
      <w:lvlJc w:val="left"/>
      <w:pPr>
        <w:ind w:left="279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5" w:tplc="2CD66DF4">
      <w:start w:val="1"/>
      <w:numFmt w:val="bullet"/>
      <w:lvlText w:val="▪"/>
      <w:lvlJc w:val="left"/>
      <w:pPr>
        <w:ind w:left="351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6" w:tplc="A8266C20">
      <w:start w:val="1"/>
      <w:numFmt w:val="bullet"/>
      <w:lvlText w:val="•"/>
      <w:lvlJc w:val="left"/>
      <w:pPr>
        <w:ind w:left="423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7" w:tplc="710AF34A">
      <w:start w:val="1"/>
      <w:numFmt w:val="bullet"/>
      <w:lvlText w:val="o"/>
      <w:lvlJc w:val="left"/>
      <w:pPr>
        <w:ind w:left="495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8" w:tplc="F858F488">
      <w:start w:val="1"/>
      <w:numFmt w:val="bullet"/>
      <w:lvlText w:val="▪"/>
      <w:lvlJc w:val="left"/>
      <w:pPr>
        <w:ind w:left="567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83B67EA"/>
    <w:multiLevelType w:val="hybridMultilevel"/>
    <w:tmpl w:val="B448B66A"/>
    <w:lvl w:ilvl="0" w:tplc="A97463DA">
      <w:start w:val="8"/>
      <w:numFmt w:val="lowerLetter"/>
      <w:lvlText w:val="%1)"/>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50A92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89E5B3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A60BF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F055E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8601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26C73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0E724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7020B4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A3B2050"/>
    <w:multiLevelType w:val="hybridMultilevel"/>
    <w:tmpl w:val="B79A2FCC"/>
    <w:lvl w:ilvl="0" w:tplc="2952B01E">
      <w:start w:val="1"/>
      <w:numFmt w:val="bullet"/>
      <w:lvlText w:val="•"/>
      <w:lvlJc w:val="left"/>
      <w:pPr>
        <w:ind w:left="360"/>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1" w:tplc="2510597C">
      <w:start w:val="1"/>
      <w:numFmt w:val="bullet"/>
      <w:lvlText w:val="o"/>
      <w:lvlJc w:val="left"/>
      <w:pPr>
        <w:ind w:left="857"/>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2" w:tplc="3CECB504">
      <w:start w:val="1"/>
      <w:numFmt w:val="bullet"/>
      <w:lvlRestart w:val="0"/>
      <w:lvlText w:val="-"/>
      <w:lvlJc w:val="left"/>
      <w:pPr>
        <w:ind w:left="1841"/>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3" w:tplc="0BC02FC0">
      <w:start w:val="1"/>
      <w:numFmt w:val="bullet"/>
      <w:lvlText w:val="•"/>
      <w:lvlJc w:val="left"/>
      <w:pPr>
        <w:ind w:left="207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4" w:tplc="44C23AC8">
      <w:start w:val="1"/>
      <w:numFmt w:val="bullet"/>
      <w:lvlText w:val="o"/>
      <w:lvlJc w:val="left"/>
      <w:pPr>
        <w:ind w:left="279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5" w:tplc="94D2D022">
      <w:start w:val="1"/>
      <w:numFmt w:val="bullet"/>
      <w:lvlText w:val="▪"/>
      <w:lvlJc w:val="left"/>
      <w:pPr>
        <w:ind w:left="351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6" w:tplc="681C771C">
      <w:start w:val="1"/>
      <w:numFmt w:val="bullet"/>
      <w:lvlText w:val="•"/>
      <w:lvlJc w:val="left"/>
      <w:pPr>
        <w:ind w:left="423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7" w:tplc="DB6AFDF0">
      <w:start w:val="1"/>
      <w:numFmt w:val="bullet"/>
      <w:lvlText w:val="o"/>
      <w:lvlJc w:val="left"/>
      <w:pPr>
        <w:ind w:left="495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8" w:tplc="6FEE57E6">
      <w:start w:val="1"/>
      <w:numFmt w:val="bullet"/>
      <w:lvlText w:val="▪"/>
      <w:lvlJc w:val="left"/>
      <w:pPr>
        <w:ind w:left="567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AA75CD3"/>
    <w:multiLevelType w:val="hybridMultilevel"/>
    <w:tmpl w:val="BB32E280"/>
    <w:lvl w:ilvl="0" w:tplc="EBCA2CFE">
      <w:start w:val="15"/>
      <w:numFmt w:val="lowerLetter"/>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760E62">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CA1A62">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EE9026">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92CBC2">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921870">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629288">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E88AA6">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100E8C">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D9F2DAE"/>
    <w:multiLevelType w:val="hybridMultilevel"/>
    <w:tmpl w:val="63CE5E38"/>
    <w:lvl w:ilvl="0" w:tplc="072EACA2">
      <w:start w:val="31"/>
      <w:numFmt w:val="lowerLetter"/>
      <w:lvlText w:val="%1)"/>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EC9AD2">
      <w:start w:val="1"/>
      <w:numFmt w:val="bullet"/>
      <w:lvlText w:val="-"/>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6AD8C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F028D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CA8AE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22D7A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2A4A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80012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D836E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E563B49"/>
    <w:multiLevelType w:val="hybridMultilevel"/>
    <w:tmpl w:val="4C22219A"/>
    <w:lvl w:ilvl="0" w:tplc="53A8CF6A">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861F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7204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C49F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5C3C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6878B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D212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E20D9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D613F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3E7F3DF3"/>
    <w:multiLevelType w:val="hybridMultilevel"/>
    <w:tmpl w:val="9C501052"/>
    <w:lvl w:ilvl="0" w:tplc="6A8613D6">
      <w:start w:val="1"/>
      <w:numFmt w:val="decimal"/>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63C29A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F5EDDF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978DE7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7F0913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4EEC38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4581F0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4D0E9F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F56B91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01B1D31"/>
    <w:multiLevelType w:val="hybridMultilevel"/>
    <w:tmpl w:val="1D2A4F80"/>
    <w:lvl w:ilvl="0" w:tplc="40A426EA">
      <w:start w:val="5"/>
      <w:numFmt w:val="decimal"/>
      <w:lvlText w:val="%1."/>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0602C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D5A6A7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58493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689F9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3AC3DB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00B4B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10A18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14A86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4027636C"/>
    <w:multiLevelType w:val="hybridMultilevel"/>
    <w:tmpl w:val="E6A29750"/>
    <w:lvl w:ilvl="0" w:tplc="4A2E4BEA">
      <w:start w:val="2"/>
      <w:numFmt w:val="lowerLetter"/>
      <w:lvlText w:val="%1)"/>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08DF0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42508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AADB1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CA32A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D65EC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26670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BC911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2C8D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05F4961"/>
    <w:multiLevelType w:val="hybridMultilevel"/>
    <w:tmpl w:val="C852858C"/>
    <w:lvl w:ilvl="0" w:tplc="D1041ABA">
      <w:start w:val="1"/>
      <w:numFmt w:val="decimal"/>
      <w:lvlText w:val="(%1)"/>
      <w:lvlJc w:val="left"/>
      <w:pPr>
        <w:ind w:left="1891"/>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CC8A6346">
      <w:start w:val="1"/>
      <w:numFmt w:val="lowerLetter"/>
      <w:lvlText w:val="%2"/>
      <w:lvlJc w:val="left"/>
      <w:pPr>
        <w:ind w:left="20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095E9DAA">
      <w:start w:val="1"/>
      <w:numFmt w:val="lowerRoman"/>
      <w:lvlText w:val="%3"/>
      <w:lvlJc w:val="left"/>
      <w:pPr>
        <w:ind w:left="27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F09410BE">
      <w:start w:val="1"/>
      <w:numFmt w:val="decimal"/>
      <w:lvlText w:val="%4"/>
      <w:lvlJc w:val="left"/>
      <w:pPr>
        <w:ind w:left="35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CC3A5ED4">
      <w:start w:val="1"/>
      <w:numFmt w:val="lowerLetter"/>
      <w:lvlText w:val="%5"/>
      <w:lvlJc w:val="left"/>
      <w:pPr>
        <w:ind w:left="42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7D6AE424">
      <w:start w:val="1"/>
      <w:numFmt w:val="lowerRoman"/>
      <w:lvlText w:val="%6"/>
      <w:lvlJc w:val="left"/>
      <w:pPr>
        <w:ind w:left="494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F47A8144">
      <w:start w:val="1"/>
      <w:numFmt w:val="decimal"/>
      <w:lvlText w:val="%7"/>
      <w:lvlJc w:val="left"/>
      <w:pPr>
        <w:ind w:left="56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6DCEDAD2">
      <w:start w:val="1"/>
      <w:numFmt w:val="lowerLetter"/>
      <w:lvlText w:val="%8"/>
      <w:lvlJc w:val="left"/>
      <w:pPr>
        <w:ind w:left="63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5F269494">
      <w:start w:val="1"/>
      <w:numFmt w:val="lowerRoman"/>
      <w:lvlText w:val="%9"/>
      <w:lvlJc w:val="left"/>
      <w:pPr>
        <w:ind w:left="71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62" w15:restartNumberingAfterBreak="0">
    <w:nsid w:val="40CC028A"/>
    <w:multiLevelType w:val="hybridMultilevel"/>
    <w:tmpl w:val="4B021D9A"/>
    <w:lvl w:ilvl="0" w:tplc="25C8DF02">
      <w:start w:val="1"/>
      <w:numFmt w:val="decimal"/>
      <w:lvlText w:val="%1"/>
      <w:lvlJc w:val="left"/>
      <w:pPr>
        <w:ind w:left="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30743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7287A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B8A94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26CFB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7ACA0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7A8BF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BE767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AC7BD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61E3507"/>
    <w:multiLevelType w:val="hybridMultilevel"/>
    <w:tmpl w:val="0C8809E8"/>
    <w:lvl w:ilvl="0" w:tplc="45066B38">
      <w:start w:val="20"/>
      <w:numFmt w:val="lowerLetter"/>
      <w:lvlText w:val="%1)"/>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1EDBB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3ABD4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F60EA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F01ED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7E7FD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E4DCC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D82F7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101F1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6A01DD0"/>
    <w:multiLevelType w:val="hybridMultilevel"/>
    <w:tmpl w:val="F7E6B9AA"/>
    <w:lvl w:ilvl="0" w:tplc="4DDA32F8">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D8D860">
      <w:start w:val="1"/>
      <w:numFmt w:val="bullet"/>
      <w:lvlText w:val="o"/>
      <w:lvlJc w:val="left"/>
      <w:pPr>
        <w:ind w:left="1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96CCA6">
      <w:start w:val="1"/>
      <w:numFmt w:val="bullet"/>
      <w:lvlText w:val="▪"/>
      <w:lvlJc w:val="left"/>
      <w:pPr>
        <w:ind w:left="2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C6E904">
      <w:start w:val="1"/>
      <w:numFmt w:val="bullet"/>
      <w:lvlText w:val="•"/>
      <w:lvlJc w:val="left"/>
      <w:pPr>
        <w:ind w:left="2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F09522">
      <w:start w:val="1"/>
      <w:numFmt w:val="bullet"/>
      <w:lvlText w:val="o"/>
      <w:lvlJc w:val="left"/>
      <w:pPr>
        <w:ind w:left="36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8C0C96">
      <w:start w:val="1"/>
      <w:numFmt w:val="bullet"/>
      <w:lvlText w:val="▪"/>
      <w:lvlJc w:val="left"/>
      <w:pPr>
        <w:ind w:left="4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96B042">
      <w:start w:val="1"/>
      <w:numFmt w:val="bullet"/>
      <w:lvlText w:val="•"/>
      <w:lvlJc w:val="left"/>
      <w:pPr>
        <w:ind w:left="5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200356">
      <w:start w:val="1"/>
      <w:numFmt w:val="bullet"/>
      <w:lvlText w:val="o"/>
      <w:lvlJc w:val="left"/>
      <w:pPr>
        <w:ind w:left="5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E4BD8E">
      <w:start w:val="1"/>
      <w:numFmt w:val="bullet"/>
      <w:lvlText w:val="▪"/>
      <w:lvlJc w:val="left"/>
      <w:pPr>
        <w:ind w:left="6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6B302CF"/>
    <w:multiLevelType w:val="hybridMultilevel"/>
    <w:tmpl w:val="00B21E9E"/>
    <w:lvl w:ilvl="0" w:tplc="0D549518">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B2245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B6AB0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5A16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5A738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9EE28D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C6C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16FD6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56070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8B624DC"/>
    <w:multiLevelType w:val="hybridMultilevel"/>
    <w:tmpl w:val="8A6E3784"/>
    <w:lvl w:ilvl="0" w:tplc="1D1AB83A">
      <w:start w:val="1"/>
      <w:numFmt w:val="decimal"/>
      <w:lvlText w:val="%1"/>
      <w:lvlJc w:val="left"/>
      <w:pPr>
        <w:ind w:left="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58AF44">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CA25B2">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E6FD42">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762E16">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A23638">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A097F2">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E867CE">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3AA078">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490E704E"/>
    <w:multiLevelType w:val="hybridMultilevel"/>
    <w:tmpl w:val="8348C4EA"/>
    <w:lvl w:ilvl="0" w:tplc="CC72B954">
      <w:start w:val="1"/>
      <w:numFmt w:val="decimal"/>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2F289D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418F36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6C4BE1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1AE701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DF475A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A609BD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55273E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FEC2C5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4A5138D2"/>
    <w:multiLevelType w:val="hybridMultilevel"/>
    <w:tmpl w:val="284A0E76"/>
    <w:lvl w:ilvl="0" w:tplc="008EA154">
      <w:start w:val="1"/>
      <w:numFmt w:val="lowerLetter"/>
      <w:lvlText w:val="%1)"/>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5E4ED2">
      <w:start w:val="1"/>
      <w:numFmt w:val="bullet"/>
      <w:lvlText w:val="-"/>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5E3E5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1E42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E65ED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A27CC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38E9B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DE7EC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BA7C0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CBA3269"/>
    <w:multiLevelType w:val="hybridMultilevel"/>
    <w:tmpl w:val="6CD83916"/>
    <w:lvl w:ilvl="0" w:tplc="78421DFC">
      <w:start w:val="1"/>
      <w:numFmt w:val="decimal"/>
      <w:lvlText w:val="%1."/>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FCB6B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D4E64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712633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76A1A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40E6E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4FA809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84F6B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10F2F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4DE34F14"/>
    <w:multiLevelType w:val="hybridMultilevel"/>
    <w:tmpl w:val="EE583474"/>
    <w:lvl w:ilvl="0" w:tplc="BC488E66">
      <w:start w:val="1"/>
      <w:numFmt w:val="bullet"/>
      <w:lvlText w:val="•"/>
      <w:lvlJc w:val="left"/>
      <w:pPr>
        <w:ind w:left="360"/>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1" w:tplc="6CB60450">
      <w:start w:val="1"/>
      <w:numFmt w:val="bullet"/>
      <w:lvlText w:val="o"/>
      <w:lvlJc w:val="left"/>
      <w:pPr>
        <w:ind w:left="857"/>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2" w:tplc="C7800162">
      <w:start w:val="1"/>
      <w:numFmt w:val="bullet"/>
      <w:lvlRestart w:val="0"/>
      <w:lvlText w:val="-"/>
      <w:lvlJc w:val="left"/>
      <w:pPr>
        <w:ind w:left="1841"/>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3" w:tplc="5FBE5510">
      <w:start w:val="1"/>
      <w:numFmt w:val="bullet"/>
      <w:lvlText w:val="•"/>
      <w:lvlJc w:val="left"/>
      <w:pPr>
        <w:ind w:left="207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4" w:tplc="D73A4CFA">
      <w:start w:val="1"/>
      <w:numFmt w:val="bullet"/>
      <w:lvlText w:val="o"/>
      <w:lvlJc w:val="left"/>
      <w:pPr>
        <w:ind w:left="279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5" w:tplc="64AC6EFE">
      <w:start w:val="1"/>
      <w:numFmt w:val="bullet"/>
      <w:lvlText w:val="▪"/>
      <w:lvlJc w:val="left"/>
      <w:pPr>
        <w:ind w:left="351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6" w:tplc="71926E5A">
      <w:start w:val="1"/>
      <w:numFmt w:val="bullet"/>
      <w:lvlText w:val="•"/>
      <w:lvlJc w:val="left"/>
      <w:pPr>
        <w:ind w:left="423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7" w:tplc="ED2A1E56">
      <w:start w:val="1"/>
      <w:numFmt w:val="bullet"/>
      <w:lvlText w:val="o"/>
      <w:lvlJc w:val="left"/>
      <w:pPr>
        <w:ind w:left="495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8" w:tplc="228EE798">
      <w:start w:val="1"/>
      <w:numFmt w:val="bullet"/>
      <w:lvlText w:val="▪"/>
      <w:lvlJc w:val="left"/>
      <w:pPr>
        <w:ind w:left="567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EE315AA"/>
    <w:multiLevelType w:val="hybridMultilevel"/>
    <w:tmpl w:val="975AD5B6"/>
    <w:lvl w:ilvl="0" w:tplc="63564E66">
      <w:start w:val="1"/>
      <w:numFmt w:val="bullet"/>
      <w:lvlText w:val="-"/>
      <w:lvlJc w:val="left"/>
      <w:pPr>
        <w:ind w:left="12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96492D0">
      <w:start w:val="1"/>
      <w:numFmt w:val="bullet"/>
      <w:lvlText w:val="o"/>
      <w:lvlJc w:val="left"/>
      <w:pPr>
        <w:ind w:left="15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15C81E6">
      <w:start w:val="1"/>
      <w:numFmt w:val="bullet"/>
      <w:lvlText w:val="▪"/>
      <w:lvlJc w:val="left"/>
      <w:pPr>
        <w:ind w:left="22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5524C92">
      <w:start w:val="1"/>
      <w:numFmt w:val="bullet"/>
      <w:lvlText w:val="•"/>
      <w:lvlJc w:val="left"/>
      <w:pPr>
        <w:ind w:left="30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18CA816">
      <w:start w:val="1"/>
      <w:numFmt w:val="bullet"/>
      <w:lvlText w:val="o"/>
      <w:lvlJc w:val="left"/>
      <w:pPr>
        <w:ind w:left="37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E583CC4">
      <w:start w:val="1"/>
      <w:numFmt w:val="bullet"/>
      <w:lvlText w:val="▪"/>
      <w:lvlJc w:val="left"/>
      <w:pPr>
        <w:ind w:left="44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E9ED588">
      <w:start w:val="1"/>
      <w:numFmt w:val="bullet"/>
      <w:lvlText w:val="•"/>
      <w:lvlJc w:val="left"/>
      <w:pPr>
        <w:ind w:left="51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D167296">
      <w:start w:val="1"/>
      <w:numFmt w:val="bullet"/>
      <w:lvlText w:val="o"/>
      <w:lvlJc w:val="left"/>
      <w:pPr>
        <w:ind w:left="58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B4014E0">
      <w:start w:val="1"/>
      <w:numFmt w:val="bullet"/>
      <w:lvlText w:val="▪"/>
      <w:lvlJc w:val="left"/>
      <w:pPr>
        <w:ind w:left="66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51AA3560"/>
    <w:multiLevelType w:val="hybridMultilevel"/>
    <w:tmpl w:val="A3A6A580"/>
    <w:lvl w:ilvl="0" w:tplc="AD1CA69E">
      <w:start w:val="7"/>
      <w:numFmt w:val="lowerLetter"/>
      <w:lvlText w:val="%1)"/>
      <w:lvlJc w:val="left"/>
      <w:pPr>
        <w:ind w:left="11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4B21A48">
      <w:start w:val="1"/>
      <w:numFmt w:val="lowerLetter"/>
      <w:lvlText w:val="%2"/>
      <w:lvlJc w:val="left"/>
      <w:pPr>
        <w:ind w:left="19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CB6C8B2">
      <w:start w:val="1"/>
      <w:numFmt w:val="lowerRoman"/>
      <w:lvlText w:val="%3"/>
      <w:lvlJc w:val="left"/>
      <w:pPr>
        <w:ind w:left="26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6840918">
      <w:start w:val="1"/>
      <w:numFmt w:val="decimal"/>
      <w:lvlText w:val="%4"/>
      <w:lvlJc w:val="left"/>
      <w:pPr>
        <w:ind w:left="33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A80AC8A">
      <w:start w:val="1"/>
      <w:numFmt w:val="lowerLetter"/>
      <w:lvlText w:val="%5"/>
      <w:lvlJc w:val="left"/>
      <w:pPr>
        <w:ind w:left="41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30CED3A">
      <w:start w:val="1"/>
      <w:numFmt w:val="lowerRoman"/>
      <w:lvlText w:val="%6"/>
      <w:lvlJc w:val="left"/>
      <w:pPr>
        <w:ind w:left="482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56A5C54">
      <w:start w:val="1"/>
      <w:numFmt w:val="decimal"/>
      <w:lvlText w:val="%7"/>
      <w:lvlJc w:val="left"/>
      <w:pPr>
        <w:ind w:left="55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9BEA300">
      <w:start w:val="1"/>
      <w:numFmt w:val="lowerLetter"/>
      <w:lvlText w:val="%8"/>
      <w:lvlJc w:val="left"/>
      <w:pPr>
        <w:ind w:left="62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5D2CFAA">
      <w:start w:val="1"/>
      <w:numFmt w:val="lowerRoman"/>
      <w:lvlText w:val="%9"/>
      <w:lvlJc w:val="left"/>
      <w:pPr>
        <w:ind w:left="69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58725DCF"/>
    <w:multiLevelType w:val="hybridMultilevel"/>
    <w:tmpl w:val="18E8D5D2"/>
    <w:lvl w:ilvl="0" w:tplc="541C5216">
      <w:start w:val="1"/>
      <w:numFmt w:val="decimal"/>
      <w:lvlText w:val="(%1)"/>
      <w:lvlJc w:val="left"/>
      <w:pPr>
        <w:ind w:left="1891"/>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965A6BF8">
      <w:start w:val="1"/>
      <w:numFmt w:val="lowerLetter"/>
      <w:lvlText w:val="%2"/>
      <w:lvlJc w:val="left"/>
      <w:pPr>
        <w:ind w:left="20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A48C2FEE">
      <w:start w:val="1"/>
      <w:numFmt w:val="lowerRoman"/>
      <w:lvlText w:val="%3"/>
      <w:lvlJc w:val="left"/>
      <w:pPr>
        <w:ind w:left="27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064E3050">
      <w:start w:val="1"/>
      <w:numFmt w:val="decimal"/>
      <w:lvlText w:val="%4"/>
      <w:lvlJc w:val="left"/>
      <w:pPr>
        <w:ind w:left="35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C5866128">
      <w:start w:val="1"/>
      <w:numFmt w:val="lowerLetter"/>
      <w:lvlText w:val="%5"/>
      <w:lvlJc w:val="left"/>
      <w:pPr>
        <w:ind w:left="42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A37E95C4">
      <w:start w:val="1"/>
      <w:numFmt w:val="lowerRoman"/>
      <w:lvlText w:val="%6"/>
      <w:lvlJc w:val="left"/>
      <w:pPr>
        <w:ind w:left="494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26C49EDE">
      <w:start w:val="1"/>
      <w:numFmt w:val="decimal"/>
      <w:lvlText w:val="%7"/>
      <w:lvlJc w:val="left"/>
      <w:pPr>
        <w:ind w:left="56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32DC9D40">
      <w:start w:val="1"/>
      <w:numFmt w:val="lowerLetter"/>
      <w:lvlText w:val="%8"/>
      <w:lvlJc w:val="left"/>
      <w:pPr>
        <w:ind w:left="63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2A5685D8">
      <w:start w:val="1"/>
      <w:numFmt w:val="lowerRoman"/>
      <w:lvlText w:val="%9"/>
      <w:lvlJc w:val="left"/>
      <w:pPr>
        <w:ind w:left="71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74" w15:restartNumberingAfterBreak="0">
    <w:nsid w:val="58905418"/>
    <w:multiLevelType w:val="hybridMultilevel"/>
    <w:tmpl w:val="B3AA26B4"/>
    <w:lvl w:ilvl="0" w:tplc="3A4E16CE">
      <w:start w:val="1"/>
      <w:numFmt w:val="lowerLetter"/>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888AAA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8D00C9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6B0DAC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3669D8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44E190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B5A94A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EDA4E4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6BC4A3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598A5AF5"/>
    <w:multiLevelType w:val="hybridMultilevel"/>
    <w:tmpl w:val="69F65EF0"/>
    <w:lvl w:ilvl="0" w:tplc="98CC5662">
      <w:start w:val="1"/>
      <w:numFmt w:val="bullet"/>
      <w:lvlText w:val=""/>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99A017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92E619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D0AFD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570429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9CE8FC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3D21D6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9E4539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A707E9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A147C0F"/>
    <w:multiLevelType w:val="hybridMultilevel"/>
    <w:tmpl w:val="51C43322"/>
    <w:lvl w:ilvl="0" w:tplc="E4D0AC4E">
      <w:start w:val="7"/>
      <w:numFmt w:val="decimal"/>
      <w:lvlText w:val="%1."/>
      <w:lvlJc w:val="left"/>
      <w:pPr>
        <w:ind w:left="1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1490E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10658D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7E2DBC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CA88D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96CC17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EB4670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F4B72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DB4D8E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5E360352"/>
    <w:multiLevelType w:val="hybridMultilevel"/>
    <w:tmpl w:val="0F8E3840"/>
    <w:lvl w:ilvl="0" w:tplc="71040D26">
      <w:start w:val="1"/>
      <w:numFmt w:val="bullet"/>
      <w:lvlText w:val=""/>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59E5C8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5D0514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758133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DBE17E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74A796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128C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A7401B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7B0BCE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E774D50"/>
    <w:multiLevelType w:val="hybridMultilevel"/>
    <w:tmpl w:val="5F8253F4"/>
    <w:lvl w:ilvl="0" w:tplc="2C94B5CE">
      <w:start w:val="14"/>
      <w:numFmt w:val="lowerLetter"/>
      <w:lvlText w:val="%1)"/>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02CA1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DCA1D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C2840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C0838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EC131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1E3CB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489D4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92CED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EDC75DE"/>
    <w:multiLevelType w:val="hybridMultilevel"/>
    <w:tmpl w:val="4EEACE14"/>
    <w:lvl w:ilvl="0" w:tplc="67F8F0DC">
      <w:start w:val="1"/>
      <w:numFmt w:val="decimal"/>
      <w:lvlText w:val="(%1)"/>
      <w:lvlJc w:val="left"/>
      <w:pPr>
        <w:ind w:left="1891"/>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DDFC8C5C">
      <w:start w:val="1"/>
      <w:numFmt w:val="lowerLetter"/>
      <w:lvlText w:val="%2"/>
      <w:lvlJc w:val="left"/>
      <w:pPr>
        <w:ind w:left="20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153E4BBC">
      <w:start w:val="1"/>
      <w:numFmt w:val="lowerRoman"/>
      <w:lvlText w:val="%3"/>
      <w:lvlJc w:val="left"/>
      <w:pPr>
        <w:ind w:left="27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C8AE76C0">
      <w:start w:val="1"/>
      <w:numFmt w:val="decimal"/>
      <w:lvlText w:val="%4"/>
      <w:lvlJc w:val="left"/>
      <w:pPr>
        <w:ind w:left="35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048E1A22">
      <w:start w:val="1"/>
      <w:numFmt w:val="lowerLetter"/>
      <w:lvlText w:val="%5"/>
      <w:lvlJc w:val="left"/>
      <w:pPr>
        <w:ind w:left="42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E01ACBF2">
      <w:start w:val="1"/>
      <w:numFmt w:val="lowerRoman"/>
      <w:lvlText w:val="%6"/>
      <w:lvlJc w:val="left"/>
      <w:pPr>
        <w:ind w:left="494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B6987836">
      <w:start w:val="1"/>
      <w:numFmt w:val="decimal"/>
      <w:lvlText w:val="%7"/>
      <w:lvlJc w:val="left"/>
      <w:pPr>
        <w:ind w:left="56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28CECE5E">
      <w:start w:val="1"/>
      <w:numFmt w:val="lowerLetter"/>
      <w:lvlText w:val="%8"/>
      <w:lvlJc w:val="left"/>
      <w:pPr>
        <w:ind w:left="63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78DE45EA">
      <w:start w:val="1"/>
      <w:numFmt w:val="lowerRoman"/>
      <w:lvlText w:val="%9"/>
      <w:lvlJc w:val="left"/>
      <w:pPr>
        <w:ind w:left="71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80" w15:restartNumberingAfterBreak="0">
    <w:nsid w:val="60432315"/>
    <w:multiLevelType w:val="hybridMultilevel"/>
    <w:tmpl w:val="09F439B6"/>
    <w:lvl w:ilvl="0" w:tplc="47841438">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B653C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5B4367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7E2D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8EDA7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3E4CB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BE44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7215D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7020A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0D04538"/>
    <w:multiLevelType w:val="hybridMultilevel"/>
    <w:tmpl w:val="7F9867CE"/>
    <w:lvl w:ilvl="0" w:tplc="BD6E9464">
      <w:start w:val="1"/>
      <w:numFmt w:val="lowerLetter"/>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A94210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BAC38D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FF49F1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564F04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B5AE7D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BF2943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08C433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C86707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24A76A3"/>
    <w:multiLevelType w:val="hybridMultilevel"/>
    <w:tmpl w:val="1EBC7330"/>
    <w:lvl w:ilvl="0" w:tplc="8CBA4F16">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485C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FEA31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44D88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AA7AB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E868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6249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471B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B6BF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2EC5492"/>
    <w:multiLevelType w:val="hybridMultilevel"/>
    <w:tmpl w:val="68C268A8"/>
    <w:lvl w:ilvl="0" w:tplc="74A2FE04">
      <w:start w:val="1"/>
      <w:numFmt w:val="lowerLetter"/>
      <w:lvlText w:val="%1)"/>
      <w:lvlJc w:val="left"/>
      <w:pPr>
        <w:ind w:left="9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0B6FEE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6F205A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C8C5A1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9FCD7B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0680FE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2DA77F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0B800D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BA6B36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46674A7"/>
    <w:multiLevelType w:val="hybridMultilevel"/>
    <w:tmpl w:val="0D26E55E"/>
    <w:lvl w:ilvl="0" w:tplc="F9BC572A">
      <w:start w:val="1"/>
      <w:numFmt w:val="decimal"/>
      <w:lvlText w:val="(%1)"/>
      <w:lvlJc w:val="left"/>
      <w:pPr>
        <w:ind w:left="1887"/>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711257D8">
      <w:start w:val="1"/>
      <w:numFmt w:val="lowerLetter"/>
      <w:lvlText w:val="%2"/>
      <w:lvlJc w:val="left"/>
      <w:pPr>
        <w:ind w:left="201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510EF3AE">
      <w:start w:val="1"/>
      <w:numFmt w:val="lowerRoman"/>
      <w:lvlText w:val="%3"/>
      <w:lvlJc w:val="left"/>
      <w:pPr>
        <w:ind w:left="273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0346FCEC">
      <w:start w:val="1"/>
      <w:numFmt w:val="decimal"/>
      <w:lvlText w:val="%4"/>
      <w:lvlJc w:val="left"/>
      <w:pPr>
        <w:ind w:left="345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B6127E94">
      <w:start w:val="1"/>
      <w:numFmt w:val="lowerLetter"/>
      <w:lvlText w:val="%5"/>
      <w:lvlJc w:val="left"/>
      <w:pPr>
        <w:ind w:left="417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5F2EBF10">
      <w:start w:val="1"/>
      <w:numFmt w:val="lowerRoman"/>
      <w:lvlText w:val="%6"/>
      <w:lvlJc w:val="left"/>
      <w:pPr>
        <w:ind w:left="489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3C1EB2DC">
      <w:start w:val="1"/>
      <w:numFmt w:val="decimal"/>
      <w:lvlText w:val="%7"/>
      <w:lvlJc w:val="left"/>
      <w:pPr>
        <w:ind w:left="561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1E841BAC">
      <w:start w:val="1"/>
      <w:numFmt w:val="lowerLetter"/>
      <w:lvlText w:val="%8"/>
      <w:lvlJc w:val="left"/>
      <w:pPr>
        <w:ind w:left="633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E4F8A1FC">
      <w:start w:val="1"/>
      <w:numFmt w:val="lowerRoman"/>
      <w:lvlText w:val="%9"/>
      <w:lvlJc w:val="left"/>
      <w:pPr>
        <w:ind w:left="705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85" w15:restartNumberingAfterBreak="0">
    <w:nsid w:val="65D264EA"/>
    <w:multiLevelType w:val="hybridMultilevel"/>
    <w:tmpl w:val="44E8DD98"/>
    <w:lvl w:ilvl="0" w:tplc="8C483A2E">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74B3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028C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5448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B6051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A200A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8C96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C878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BCB3D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F3C1444"/>
    <w:multiLevelType w:val="hybridMultilevel"/>
    <w:tmpl w:val="73723714"/>
    <w:lvl w:ilvl="0" w:tplc="8C2AAB32">
      <w:start w:val="1"/>
      <w:numFmt w:val="decimal"/>
      <w:lvlText w:val="(%1)"/>
      <w:lvlJc w:val="left"/>
      <w:pPr>
        <w:ind w:left="1674"/>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5324EA0E">
      <w:start w:val="1"/>
      <w:numFmt w:val="lowerLetter"/>
      <w:lvlText w:val="%2"/>
      <w:lvlJc w:val="left"/>
      <w:pPr>
        <w:ind w:left="201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CDCED726">
      <w:start w:val="1"/>
      <w:numFmt w:val="lowerRoman"/>
      <w:lvlText w:val="%3"/>
      <w:lvlJc w:val="left"/>
      <w:pPr>
        <w:ind w:left="273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6B9CD23C">
      <w:start w:val="1"/>
      <w:numFmt w:val="decimal"/>
      <w:lvlText w:val="%4"/>
      <w:lvlJc w:val="left"/>
      <w:pPr>
        <w:ind w:left="345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FA10EDA6">
      <w:start w:val="1"/>
      <w:numFmt w:val="lowerLetter"/>
      <w:lvlText w:val="%5"/>
      <w:lvlJc w:val="left"/>
      <w:pPr>
        <w:ind w:left="417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8562A288">
      <w:start w:val="1"/>
      <w:numFmt w:val="lowerRoman"/>
      <w:lvlText w:val="%6"/>
      <w:lvlJc w:val="left"/>
      <w:pPr>
        <w:ind w:left="489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B366080C">
      <w:start w:val="1"/>
      <w:numFmt w:val="decimal"/>
      <w:lvlText w:val="%7"/>
      <w:lvlJc w:val="left"/>
      <w:pPr>
        <w:ind w:left="561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38D002B6">
      <w:start w:val="1"/>
      <w:numFmt w:val="lowerLetter"/>
      <w:lvlText w:val="%8"/>
      <w:lvlJc w:val="left"/>
      <w:pPr>
        <w:ind w:left="633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3CF02B92">
      <w:start w:val="1"/>
      <w:numFmt w:val="lowerRoman"/>
      <w:lvlText w:val="%9"/>
      <w:lvlJc w:val="left"/>
      <w:pPr>
        <w:ind w:left="7050"/>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87" w15:restartNumberingAfterBreak="0">
    <w:nsid w:val="72BF4C63"/>
    <w:multiLevelType w:val="hybridMultilevel"/>
    <w:tmpl w:val="4DC4BA06"/>
    <w:lvl w:ilvl="0" w:tplc="01C673F4">
      <w:start w:val="1"/>
      <w:numFmt w:val="lowerLetter"/>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10E000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288B34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74E5B7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70EE81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ED6433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208548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BD017F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610B11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34B4A84"/>
    <w:multiLevelType w:val="hybridMultilevel"/>
    <w:tmpl w:val="C3D090EE"/>
    <w:lvl w:ilvl="0" w:tplc="692C1340">
      <w:start w:val="3"/>
      <w:numFmt w:val="decimal"/>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3CEC66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818BA6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B7A4EE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C8A075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596725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B7A5E2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86466E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A828E4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8065B76"/>
    <w:multiLevelType w:val="hybridMultilevel"/>
    <w:tmpl w:val="0006376A"/>
    <w:lvl w:ilvl="0" w:tplc="394EAF3C">
      <w:start w:val="1"/>
      <w:numFmt w:val="bullet"/>
      <w:lvlText w:val="-"/>
      <w:lvlJc w:val="left"/>
      <w:pPr>
        <w:ind w:left="14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A2C4B28">
      <w:start w:val="1"/>
      <w:numFmt w:val="bullet"/>
      <w:lvlText w:val="o"/>
      <w:lvlJc w:val="left"/>
      <w:pPr>
        <w:ind w:left="13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9E6AC3E">
      <w:start w:val="1"/>
      <w:numFmt w:val="bullet"/>
      <w:lvlText w:val="▪"/>
      <w:lvlJc w:val="left"/>
      <w:pPr>
        <w:ind w:left="20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150C814">
      <w:start w:val="1"/>
      <w:numFmt w:val="bullet"/>
      <w:lvlText w:val="•"/>
      <w:lvlJc w:val="left"/>
      <w:pPr>
        <w:ind w:left="27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430218C">
      <w:start w:val="1"/>
      <w:numFmt w:val="bullet"/>
      <w:lvlText w:val="o"/>
      <w:lvlJc w:val="left"/>
      <w:pPr>
        <w:ind w:left="34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6466446">
      <w:start w:val="1"/>
      <w:numFmt w:val="bullet"/>
      <w:lvlText w:val="▪"/>
      <w:lvlJc w:val="left"/>
      <w:pPr>
        <w:ind w:left="41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928ADF6">
      <w:start w:val="1"/>
      <w:numFmt w:val="bullet"/>
      <w:lvlText w:val="•"/>
      <w:lvlJc w:val="left"/>
      <w:pPr>
        <w:ind w:left="49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6F2B662">
      <w:start w:val="1"/>
      <w:numFmt w:val="bullet"/>
      <w:lvlText w:val="o"/>
      <w:lvlJc w:val="left"/>
      <w:pPr>
        <w:ind w:left="56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81243DC">
      <w:start w:val="1"/>
      <w:numFmt w:val="bullet"/>
      <w:lvlText w:val="▪"/>
      <w:lvlJc w:val="left"/>
      <w:pPr>
        <w:ind w:left="63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9352D67"/>
    <w:multiLevelType w:val="hybridMultilevel"/>
    <w:tmpl w:val="1032B0A8"/>
    <w:lvl w:ilvl="0" w:tplc="C2D617BC">
      <w:start w:val="1"/>
      <w:numFmt w:val="decimal"/>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F3A424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F68ED7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7BE88F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E56351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8B2ACC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5602CB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BA0466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ACC1D0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9A20203"/>
    <w:multiLevelType w:val="hybridMultilevel"/>
    <w:tmpl w:val="9926CFB4"/>
    <w:lvl w:ilvl="0" w:tplc="AEDEEB24">
      <w:start w:val="8"/>
      <w:numFmt w:val="lowerLetter"/>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787DCE">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DABD10">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160B2C">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78F99A">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6253DE">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A283D4">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9CA786">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98FBDA">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A4E4E59"/>
    <w:multiLevelType w:val="hybridMultilevel"/>
    <w:tmpl w:val="F4E24D14"/>
    <w:lvl w:ilvl="0" w:tplc="56F42BB8">
      <w:start w:val="3"/>
      <w:numFmt w:val="decimal"/>
      <w:lvlText w:val="%1."/>
      <w:lvlJc w:val="left"/>
      <w:pPr>
        <w:ind w:left="94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CE6D10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68ACCD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FD4331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622563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AFA883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C0C080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E8C189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4167D0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A6B2623"/>
    <w:multiLevelType w:val="hybridMultilevel"/>
    <w:tmpl w:val="7D14F4EC"/>
    <w:lvl w:ilvl="0" w:tplc="8D382150">
      <w:start w:val="2"/>
      <w:numFmt w:val="upperLetter"/>
      <w:lvlText w:val="%1)"/>
      <w:lvlJc w:val="left"/>
      <w:pPr>
        <w:ind w:left="14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02C3502">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436D672">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08C9BCC">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2E2C37A">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D04CF64">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59A732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0C81E18">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240B068">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7D3E79FD"/>
    <w:multiLevelType w:val="hybridMultilevel"/>
    <w:tmpl w:val="6FD816A2"/>
    <w:lvl w:ilvl="0" w:tplc="B99AE35C">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D66E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B83E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4E2A9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5A09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2A85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0696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7299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1E747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93"/>
  </w:num>
  <w:num w:numId="2">
    <w:abstractNumId w:val="8"/>
  </w:num>
  <w:num w:numId="3">
    <w:abstractNumId w:val="92"/>
  </w:num>
  <w:num w:numId="4">
    <w:abstractNumId w:val="83"/>
  </w:num>
  <w:num w:numId="5">
    <w:abstractNumId w:val="35"/>
  </w:num>
  <w:num w:numId="6">
    <w:abstractNumId w:val="87"/>
  </w:num>
  <w:num w:numId="7">
    <w:abstractNumId w:val="6"/>
  </w:num>
  <w:num w:numId="8">
    <w:abstractNumId w:val="12"/>
  </w:num>
  <w:num w:numId="9">
    <w:abstractNumId w:val="45"/>
  </w:num>
  <w:num w:numId="10">
    <w:abstractNumId w:val="13"/>
  </w:num>
  <w:num w:numId="11">
    <w:abstractNumId w:val="40"/>
  </w:num>
  <w:num w:numId="12">
    <w:abstractNumId w:val="65"/>
  </w:num>
  <w:num w:numId="13">
    <w:abstractNumId w:val="3"/>
  </w:num>
  <w:num w:numId="14">
    <w:abstractNumId w:val="62"/>
  </w:num>
  <w:num w:numId="15">
    <w:abstractNumId w:val="18"/>
  </w:num>
  <w:num w:numId="16">
    <w:abstractNumId w:val="11"/>
  </w:num>
  <w:num w:numId="17">
    <w:abstractNumId w:val="38"/>
  </w:num>
  <w:num w:numId="18">
    <w:abstractNumId w:val="25"/>
  </w:num>
  <w:num w:numId="19">
    <w:abstractNumId w:val="37"/>
  </w:num>
  <w:num w:numId="20">
    <w:abstractNumId w:val="89"/>
  </w:num>
  <w:num w:numId="21">
    <w:abstractNumId w:val="80"/>
  </w:num>
  <w:num w:numId="22">
    <w:abstractNumId w:val="82"/>
  </w:num>
  <w:num w:numId="23">
    <w:abstractNumId w:val="22"/>
  </w:num>
  <w:num w:numId="24">
    <w:abstractNumId w:val="43"/>
  </w:num>
  <w:num w:numId="25">
    <w:abstractNumId w:val="7"/>
  </w:num>
  <w:num w:numId="26">
    <w:abstractNumId w:val="66"/>
  </w:num>
  <w:num w:numId="27">
    <w:abstractNumId w:val="72"/>
  </w:num>
  <w:num w:numId="28">
    <w:abstractNumId w:val="46"/>
  </w:num>
  <w:num w:numId="29">
    <w:abstractNumId w:val="88"/>
  </w:num>
  <w:num w:numId="30">
    <w:abstractNumId w:val="81"/>
  </w:num>
  <w:num w:numId="31">
    <w:abstractNumId w:val="34"/>
  </w:num>
  <w:num w:numId="32">
    <w:abstractNumId w:val="28"/>
  </w:num>
  <w:num w:numId="33">
    <w:abstractNumId w:val="26"/>
  </w:num>
  <w:num w:numId="34">
    <w:abstractNumId w:val="58"/>
  </w:num>
  <w:num w:numId="35">
    <w:abstractNumId w:val="30"/>
  </w:num>
  <w:num w:numId="36">
    <w:abstractNumId w:val="79"/>
  </w:num>
  <w:num w:numId="37">
    <w:abstractNumId w:val="69"/>
  </w:num>
  <w:num w:numId="38">
    <w:abstractNumId w:val="94"/>
  </w:num>
  <w:num w:numId="39">
    <w:abstractNumId w:val="68"/>
  </w:num>
  <w:num w:numId="40">
    <w:abstractNumId w:val="54"/>
  </w:num>
  <w:num w:numId="41">
    <w:abstractNumId w:val="60"/>
  </w:num>
  <w:num w:numId="42">
    <w:abstractNumId w:val="75"/>
  </w:num>
  <w:num w:numId="43">
    <w:abstractNumId w:val="0"/>
  </w:num>
  <w:num w:numId="44">
    <w:abstractNumId w:val="64"/>
  </w:num>
  <w:num w:numId="45">
    <w:abstractNumId w:val="33"/>
  </w:num>
  <w:num w:numId="46">
    <w:abstractNumId w:val="71"/>
  </w:num>
  <w:num w:numId="47">
    <w:abstractNumId w:val="14"/>
  </w:num>
  <w:num w:numId="48">
    <w:abstractNumId w:val="74"/>
  </w:num>
  <w:num w:numId="49">
    <w:abstractNumId w:val="10"/>
  </w:num>
  <w:num w:numId="50">
    <w:abstractNumId w:val="57"/>
  </w:num>
  <w:num w:numId="51">
    <w:abstractNumId w:val="24"/>
  </w:num>
  <w:num w:numId="52">
    <w:abstractNumId w:val="67"/>
  </w:num>
  <w:num w:numId="53">
    <w:abstractNumId w:val="84"/>
  </w:num>
  <w:num w:numId="54">
    <w:abstractNumId w:val="73"/>
  </w:num>
  <w:num w:numId="55">
    <w:abstractNumId w:val="20"/>
  </w:num>
  <w:num w:numId="56">
    <w:abstractNumId w:val="85"/>
  </w:num>
  <w:num w:numId="57">
    <w:abstractNumId w:val="39"/>
  </w:num>
  <w:num w:numId="58">
    <w:abstractNumId w:val="9"/>
  </w:num>
  <w:num w:numId="59">
    <w:abstractNumId w:val="70"/>
  </w:num>
  <w:num w:numId="60">
    <w:abstractNumId w:val="47"/>
  </w:num>
  <w:num w:numId="61">
    <w:abstractNumId w:val="53"/>
  </w:num>
  <w:num w:numId="62">
    <w:abstractNumId w:val="91"/>
  </w:num>
  <w:num w:numId="63">
    <w:abstractNumId w:val="50"/>
  </w:num>
  <w:num w:numId="64">
    <w:abstractNumId w:val="41"/>
  </w:num>
  <w:num w:numId="65">
    <w:abstractNumId w:val="16"/>
  </w:num>
  <w:num w:numId="66">
    <w:abstractNumId w:val="19"/>
  </w:num>
  <w:num w:numId="67">
    <w:abstractNumId w:val="5"/>
  </w:num>
  <w:num w:numId="68">
    <w:abstractNumId w:val="61"/>
  </w:num>
  <w:num w:numId="69">
    <w:abstractNumId w:val="59"/>
  </w:num>
  <w:num w:numId="70">
    <w:abstractNumId w:val="4"/>
  </w:num>
  <w:num w:numId="71">
    <w:abstractNumId w:val="27"/>
  </w:num>
  <w:num w:numId="72">
    <w:abstractNumId w:val="48"/>
  </w:num>
  <w:num w:numId="73">
    <w:abstractNumId w:val="44"/>
  </w:num>
  <w:num w:numId="74">
    <w:abstractNumId w:val="55"/>
  </w:num>
  <w:num w:numId="75">
    <w:abstractNumId w:val="52"/>
  </w:num>
  <w:num w:numId="76">
    <w:abstractNumId w:val="78"/>
  </w:num>
  <w:num w:numId="77">
    <w:abstractNumId w:val="17"/>
  </w:num>
  <w:num w:numId="78">
    <w:abstractNumId w:val="2"/>
  </w:num>
  <w:num w:numId="79">
    <w:abstractNumId w:val="51"/>
  </w:num>
  <w:num w:numId="80">
    <w:abstractNumId w:val="90"/>
  </w:num>
  <w:num w:numId="81">
    <w:abstractNumId w:val="86"/>
  </w:num>
  <w:num w:numId="82">
    <w:abstractNumId w:val="1"/>
  </w:num>
  <w:num w:numId="83">
    <w:abstractNumId w:val="76"/>
  </w:num>
  <w:num w:numId="84">
    <w:abstractNumId w:val="23"/>
  </w:num>
  <w:num w:numId="85">
    <w:abstractNumId w:val="56"/>
  </w:num>
  <w:num w:numId="86">
    <w:abstractNumId w:val="15"/>
  </w:num>
  <w:num w:numId="87">
    <w:abstractNumId w:val="63"/>
  </w:num>
  <w:num w:numId="88">
    <w:abstractNumId w:val="21"/>
  </w:num>
  <w:num w:numId="89">
    <w:abstractNumId w:val="29"/>
  </w:num>
  <w:num w:numId="90">
    <w:abstractNumId w:val="77"/>
  </w:num>
  <w:num w:numId="91">
    <w:abstractNumId w:val="49"/>
  </w:num>
  <w:num w:numId="92">
    <w:abstractNumId w:val="31"/>
  </w:num>
  <w:num w:numId="93">
    <w:abstractNumId w:val="42"/>
  </w:num>
  <w:num w:numId="94">
    <w:abstractNumId w:val="32"/>
  </w:num>
  <w:num w:numId="95">
    <w:abstractNumId w:val="3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7AD"/>
    <w:rsid w:val="007617AD"/>
    <w:rsid w:val="00EE75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F78DD18-4ACC-4F3C-BF53-3204AD590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4" w:line="247" w:lineRule="auto"/>
      <w:ind w:left="718"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95" w:line="265" w:lineRule="auto"/>
      <w:ind w:left="1842"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230"/>
      <w:ind w:left="3250" w:hanging="10"/>
      <w:outlineLvl w:val="1"/>
    </w:pPr>
    <w:rPr>
      <w:rFonts w:ascii="Calibri" w:eastAsia="Calibri" w:hAnsi="Calibri" w:cs="Calibri"/>
      <w:b/>
      <w:color w:val="000000"/>
      <w:sz w:val="24"/>
      <w:u w:val="single" w:color="000000"/>
    </w:rPr>
  </w:style>
  <w:style w:type="paragraph" w:styleId="Ttulo3">
    <w:name w:val="heading 3"/>
    <w:next w:val="Normal"/>
    <w:link w:val="Ttulo3Car"/>
    <w:uiPriority w:val="9"/>
    <w:unhideWhenUsed/>
    <w:qFormat/>
    <w:pPr>
      <w:keepNext/>
      <w:keepLines/>
      <w:spacing w:after="0"/>
      <w:ind w:left="1649" w:hanging="10"/>
      <w:outlineLvl w:val="2"/>
    </w:pPr>
    <w:rPr>
      <w:rFonts w:ascii="Calibri" w:eastAsia="Calibri" w:hAnsi="Calibri" w:cs="Calibri"/>
      <w:b/>
      <w:color w:val="000000"/>
      <w:sz w:val="19"/>
    </w:rPr>
  </w:style>
  <w:style w:type="paragraph" w:styleId="Ttulo4">
    <w:name w:val="heading 4"/>
    <w:next w:val="Normal"/>
    <w:link w:val="Ttulo4Car"/>
    <w:uiPriority w:val="9"/>
    <w:unhideWhenUsed/>
    <w:qFormat/>
    <w:pPr>
      <w:keepNext/>
      <w:keepLines/>
      <w:spacing w:after="95" w:line="265" w:lineRule="auto"/>
      <w:ind w:left="1842" w:hanging="10"/>
      <w:jc w:val="center"/>
      <w:outlineLvl w:val="3"/>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b/>
      <w:color w:val="000000"/>
      <w:sz w:val="19"/>
    </w:rPr>
  </w:style>
  <w:style w:type="character" w:customStyle="1" w:styleId="Ttulo2Car">
    <w:name w:val="Título 2 Car"/>
    <w:link w:val="Ttulo2"/>
    <w:rPr>
      <w:rFonts w:ascii="Calibri" w:eastAsia="Calibri" w:hAnsi="Calibri" w:cs="Calibri"/>
      <w:b/>
      <w:color w:val="000000"/>
      <w:sz w:val="24"/>
      <w:u w:val="single" w:color="000000"/>
    </w:rPr>
  </w:style>
  <w:style w:type="character" w:customStyle="1" w:styleId="Ttulo1Car">
    <w:name w:val="Título 1 Car"/>
    <w:link w:val="Ttulo1"/>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0.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8" Type="http://schemas.openxmlformats.org/officeDocument/2006/relationships/image" Target="media/image1.jpg"/><Relationship Id="rId20" Type="http://schemas.openxmlformats.org/officeDocument/2006/relationships/image" Target="media/image15.jpg"/><Relationship Id="rId1" Type="http://schemas.openxmlformats.org/officeDocument/2006/relationships/image" Target="media/image14.png"/><Relationship Id="rId19" Type="http://schemas.openxmlformats.org/officeDocument/2006/relationships/image" Target="media/image20.png"/></Relationships>
</file>

<file path=word/_rels/header2.xml.rels><?xml version="1.0" encoding="UTF-8" standalone="yes"?>
<Relationships xmlns="http://schemas.openxmlformats.org/package/2006/relationships"><Relationship Id="rId18" Type="http://schemas.openxmlformats.org/officeDocument/2006/relationships/image" Target="media/image1.jpg"/><Relationship Id="rId20" Type="http://schemas.openxmlformats.org/officeDocument/2006/relationships/image" Target="media/image15.jpg"/><Relationship Id="rId1" Type="http://schemas.openxmlformats.org/officeDocument/2006/relationships/image" Target="media/image14.png"/><Relationship Id="rId19" Type="http://schemas.openxmlformats.org/officeDocument/2006/relationships/image" Target="media/image20.png"/></Relationships>
</file>

<file path=word/_rels/header3.xml.rels><?xml version="1.0" encoding="UTF-8" standalone="yes"?>
<Relationships xmlns="http://schemas.openxmlformats.org/package/2006/relationships"><Relationship Id="rId18" Type="http://schemas.openxmlformats.org/officeDocument/2006/relationships/image" Target="media/image1.jpg"/><Relationship Id="rId1" Type="http://schemas.openxmlformats.org/officeDocument/2006/relationships/image" Target="media/image1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72809</Words>
  <Characters>400450</Characters>
  <Application>Microsoft Office Word</Application>
  <DocSecurity>0</DocSecurity>
  <Lines>3337</Lines>
  <Paragraphs>944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2024-01-17T08:04:00Z</dcterms:created>
  <dcterms:modified xsi:type="dcterms:W3CDTF">2024-01-17T08:04:00Z</dcterms:modified>
</cp:coreProperties>
</file>