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21A" w:rsidRDefault="00904DD6">
      <w:pPr>
        <w:spacing w:after="39" w:line="259" w:lineRule="auto"/>
        <w:ind w:left="392"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DA121A" w:rsidRDefault="00904DD6">
      <w:pPr>
        <w:spacing w:after="161" w:line="259" w:lineRule="auto"/>
        <w:ind w:left="392" w:firstLine="0"/>
        <w:jc w:val="left"/>
      </w:pPr>
      <w:r>
        <w:rPr>
          <w:sz w:val="14"/>
        </w:rPr>
        <w:t xml:space="preserve"> </w:t>
      </w:r>
      <w:r>
        <w:rPr>
          <w:sz w:val="14"/>
        </w:rPr>
        <w:tab/>
        <w:t xml:space="preserve"> </w:t>
      </w:r>
      <w:r>
        <w:rPr>
          <w:sz w:val="14"/>
        </w:rPr>
        <w:tab/>
        <w:t xml:space="preserve"> </w:t>
      </w:r>
      <w:r>
        <w:rPr>
          <w:sz w:val="14"/>
        </w:rPr>
        <w:tab/>
        <w:t xml:space="preserve"> </w:t>
      </w:r>
    </w:p>
    <w:p w:rsidR="00DA121A" w:rsidRDefault="00904DD6">
      <w:pPr>
        <w:tabs>
          <w:tab w:val="center" w:pos="1407"/>
          <w:tab w:val="center" w:pos="4244"/>
          <w:tab w:val="center" w:pos="6061"/>
          <w:tab w:val="center" w:pos="7338"/>
        </w:tabs>
        <w:spacing w:after="25" w:line="250" w:lineRule="auto"/>
        <w:ind w:left="0" w:firstLine="0"/>
        <w:jc w:val="left"/>
      </w:pPr>
      <w:r>
        <w:rPr>
          <w:rFonts w:ascii="Calibri" w:eastAsia="Calibri" w:hAnsi="Calibri" w:cs="Calibri"/>
        </w:rPr>
        <w:tab/>
      </w:r>
      <w:r>
        <w:rPr>
          <w:sz w:val="24"/>
        </w:rPr>
        <w:t xml:space="preserve"> </w:t>
      </w:r>
      <w:r>
        <w:rPr>
          <w:sz w:val="24"/>
        </w:rPr>
        <w:tab/>
      </w:r>
      <w:r>
        <w:rPr>
          <w:b/>
          <w:sz w:val="24"/>
        </w:rPr>
        <w:t xml:space="preserve">                   ACTA </w:t>
      </w:r>
      <w:r>
        <w:rPr>
          <w:b/>
          <w:sz w:val="24"/>
        </w:rPr>
        <w:tab/>
      </w:r>
      <w:r>
        <w:rPr>
          <w:sz w:val="21"/>
          <w:vertAlign w:val="superscript"/>
        </w:rPr>
        <w:t xml:space="preserve"> </w:t>
      </w:r>
      <w:r>
        <w:rPr>
          <w:sz w:val="21"/>
          <w:vertAlign w:val="superscript"/>
        </w:rPr>
        <w:tab/>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259357" name="Group 259357"/>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16" name="Shape 116"/>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9357" style="width:477pt;height:2.04pt;mso-position-horizontal-relative:char;mso-position-vertical-relative:line" coordsize="60579,259">
                <v:shape id="Shape 116" style="position:absolute;width:60579;height:0;left:0;top:0;" coordsize="6057900,0" path="m0,0l6057900,0">
                  <v:stroke weight="2.04pt" endcap="square" joinstyle="miter" miterlimit="10" on="true" color="#993366"/>
                  <v:fill on="false" color="#000000" opacity="0"/>
                </v:shape>
              </v:group>
            </w:pict>
          </mc:Fallback>
        </mc:AlternateContent>
      </w:r>
    </w:p>
    <w:p w:rsidR="00DA121A" w:rsidRDefault="00904DD6">
      <w:pPr>
        <w:spacing w:after="0" w:line="259" w:lineRule="auto"/>
        <w:ind w:left="186" w:firstLine="0"/>
        <w:jc w:val="center"/>
      </w:pPr>
      <w:r>
        <w:rPr>
          <w:b/>
        </w:rPr>
        <w:t xml:space="preserve"> </w:t>
      </w:r>
    </w:p>
    <w:p w:rsidR="00DA121A" w:rsidRDefault="00904DD6">
      <w:pPr>
        <w:spacing w:after="0" w:line="259" w:lineRule="auto"/>
        <w:ind w:left="186" w:firstLine="0"/>
        <w:jc w:val="center"/>
      </w:pPr>
      <w:r>
        <w:rPr>
          <w:b/>
        </w:rPr>
        <w:t xml:space="preserve"> </w:t>
      </w:r>
    </w:p>
    <w:p w:rsidR="00DA121A" w:rsidRDefault="00904DD6">
      <w:pPr>
        <w:pStyle w:val="Ttulo1"/>
      </w:pPr>
      <w:r>
        <w:t xml:space="preserve">DE LA SESIÓN ORDINARIA CELEBRADA POR EL AYUNTAMIENTO PLENO EL DÍA 30 DE MARZO DE 2023. SESIÓN Nº3/2023 </w:t>
      </w:r>
    </w:p>
    <w:p w:rsidR="00DA121A" w:rsidRDefault="00904DD6">
      <w:pPr>
        <w:spacing w:after="0" w:line="259" w:lineRule="auto"/>
        <w:ind w:left="185" w:firstLine="0"/>
        <w:jc w:val="center"/>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sz w:val="20"/>
        </w:rPr>
        <w:t xml:space="preserve"> </w:t>
      </w:r>
    </w:p>
    <w:p w:rsidR="00DA121A" w:rsidRDefault="00904DD6">
      <w:pPr>
        <w:spacing w:after="0" w:line="259" w:lineRule="auto"/>
        <w:ind w:left="284" w:firstLine="0"/>
        <w:jc w:val="left"/>
      </w:pPr>
      <w:r>
        <w:rPr>
          <w:sz w:val="20"/>
        </w:rPr>
        <w:t xml:space="preserve"> </w:t>
      </w:r>
    </w:p>
    <w:p w:rsidR="00DA121A" w:rsidRDefault="00904DD6">
      <w:pPr>
        <w:spacing w:after="0" w:line="259" w:lineRule="auto"/>
        <w:ind w:left="180" w:firstLine="0"/>
        <w:jc w:val="center"/>
      </w:pPr>
      <w:r>
        <w:rPr>
          <w:sz w:val="20"/>
        </w:rPr>
        <w:t xml:space="preserve"> </w:t>
      </w:r>
    </w:p>
    <w:p w:rsidR="00DA121A" w:rsidRDefault="00904DD6">
      <w:pPr>
        <w:spacing w:after="0" w:line="262" w:lineRule="auto"/>
        <w:ind w:left="1228" w:right="1092"/>
        <w:jc w:val="center"/>
      </w:pPr>
      <w:r>
        <w:rPr>
          <w:b/>
        </w:rPr>
        <w:t xml:space="preserve">SEÑORES ASISTENTES: </w:t>
      </w:r>
    </w:p>
    <w:p w:rsidR="00DA121A" w:rsidRDefault="00904DD6">
      <w:pPr>
        <w:spacing w:after="0" w:line="259" w:lineRule="auto"/>
        <w:ind w:left="3099" w:firstLine="0"/>
        <w:jc w:val="left"/>
      </w:pPr>
      <w:r>
        <w:rPr>
          <w:b/>
        </w:rPr>
        <w:t xml:space="preserve"> </w:t>
      </w:r>
    </w:p>
    <w:p w:rsidR="00DA121A" w:rsidRDefault="00904DD6">
      <w:pPr>
        <w:spacing w:after="0" w:line="259" w:lineRule="auto"/>
        <w:ind w:left="3099" w:firstLine="0"/>
        <w:jc w:val="left"/>
      </w:pPr>
      <w:r>
        <w:rPr>
          <w:b/>
        </w:rPr>
        <w:t xml:space="preserve"> </w:t>
      </w:r>
    </w:p>
    <w:p w:rsidR="00DA121A" w:rsidRDefault="00904DD6">
      <w:pPr>
        <w:ind w:left="288" w:right="146"/>
      </w:pPr>
      <w:r>
        <w:rPr>
          <w:b/>
        </w:rPr>
        <w:t xml:space="preserve">                                        Alcaldesa-Presidenta: </w:t>
      </w:r>
      <w:r>
        <w:t>Dª María Concepción Brito Núñez</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186" w:firstLine="0"/>
        <w:jc w:val="center"/>
      </w:pPr>
      <w:r>
        <w:rPr>
          <w:b/>
        </w:rPr>
        <w:t xml:space="preserve"> </w:t>
      </w:r>
    </w:p>
    <w:p w:rsidR="00DA121A" w:rsidRDefault="00904DD6">
      <w:pPr>
        <w:spacing w:after="2" w:line="242" w:lineRule="auto"/>
        <w:ind w:left="279" w:right="99"/>
        <w:jc w:val="left"/>
      </w:pPr>
      <w:r>
        <w:rPr>
          <w:b/>
        </w:rPr>
        <w:t xml:space="preserve">               Grupo Socialista</w:t>
      </w:r>
      <w:r>
        <w:t>: D. Jorge Baute Delgado, Dª Olivia Concepción Pérez Díaz, D. José Francisco Pinto Ramos, Dª Hilaria Cecilia Otazo González, D. Airam Pérez Chinea, Dª Margarita Eva Tendero Barroso, D. Man</w:t>
      </w:r>
      <w:r>
        <w:t xml:space="preserve">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ind w:left="288" w:right="146"/>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877824</wp:posOffset>
                </wp:positionH>
                <wp:positionV relativeFrom="page">
                  <wp:posOffset>440283</wp:posOffset>
                </wp:positionV>
                <wp:extent cx="904494" cy="915315"/>
                <wp:effectExtent l="0" t="0" r="0" b="0"/>
                <wp:wrapTopAndBottom/>
                <wp:docPr id="259355" name="Group 259355"/>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DA121A" w:rsidRDefault="00904DD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DA121A" w:rsidRDefault="00904DD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9355" style="width:71.22pt;height:72.072pt;position:absolute;mso-position-horizontal-relative:page;mso-position-horizontal:absolute;margin-left:69.12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b/>
        </w:rPr>
        <w:t xml:space="preserve">               Grupo Popular: </w:t>
      </w:r>
      <w:r>
        <w:t xml:space="preserve">D. Andrés Rodríguez Delgado, D. Jacobo López Fariña, Dª Raquel Martín Castro y D. David </w:t>
      </w:r>
      <w:r>
        <w:rPr>
          <w:color w:val="2F3E4D"/>
        </w:rPr>
        <w:t>Crego Chaves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rPr>
          <w:b/>
        </w:rPr>
        <w:t xml:space="preserve">               Grupo Mixto:</w:t>
      </w:r>
      <w:r>
        <w:t xml:space="preserve"> </w:t>
      </w:r>
      <w:r>
        <w:t>Dª Ángela Cruz Perera y D. Emilio Atiénzar Armas (Coalición Canaria Partido Nacionalista Canario), Doña Marta Plasencia Gutiérrez (Ciudadanos Partido de la Ciudadanía) y Dª Alicia Mercedes Marrero Meneses (Vecinos por Candelaria).</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t xml:space="preserve"> </w:t>
      </w:r>
    </w:p>
    <w:p w:rsidR="00DA121A" w:rsidRDefault="00904DD6">
      <w:pPr>
        <w:ind w:left="288" w:right="146"/>
      </w:pPr>
      <w:r>
        <w:rPr>
          <w:b/>
        </w:rPr>
        <w:t xml:space="preserve">                Secr</w:t>
      </w:r>
      <w:r>
        <w:rPr>
          <w:b/>
        </w:rPr>
        <w:t xml:space="preserve">etario General: </w:t>
      </w:r>
      <w:r>
        <w:t>D. Octavio Manuel Fernández Hernández</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rPr>
          <w:b/>
        </w:rPr>
        <w:t xml:space="preserve">                Interventor:  </w:t>
      </w:r>
      <w:r>
        <w:t>D. Nicolás Rojo Garnica</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4247"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263" w:line="259" w:lineRule="auto"/>
        <w:ind w:left="284" w:firstLine="0"/>
        <w:jc w:val="left"/>
      </w:pPr>
      <w:r>
        <w:t xml:space="preserve"> </w:t>
      </w:r>
    </w:p>
    <w:p w:rsidR="00DA121A" w:rsidRDefault="00904DD6">
      <w:pPr>
        <w:ind w:left="288" w:right="146"/>
      </w:pPr>
      <w:r>
        <w:t>En Candelaria, a treinta de marzo de dos mil veintitrés, siendo las 9:45 horas, se constituyó el Ayuntamiento Pleno en el Salón de Sesio</w:t>
      </w:r>
      <w:r>
        <w:t>nes de la Casa Consistorial con asistencia de los Sres. Concejales expresados al margen, y al objeto de celebrar sesión ordinaria para tratar los asuntos comprendidos en el orden del día de la convocatoria.</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720" w:line="259" w:lineRule="auto"/>
        <w:ind w:left="4247" w:firstLine="0"/>
        <w:jc w:val="left"/>
      </w:pPr>
      <w:r>
        <w:rPr>
          <w:sz w:val="20"/>
        </w:rPr>
        <w:t xml:space="preserve"> </w:t>
      </w:r>
    </w:p>
    <w:p w:rsidR="00DA121A" w:rsidRDefault="00904DD6">
      <w:pPr>
        <w:spacing w:after="0" w:line="259" w:lineRule="auto"/>
        <w:ind w:left="0" w:right="149"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259356" name="Group 25935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9356"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DA121A" w:rsidRDefault="00904DD6">
      <w:pPr>
        <w:spacing w:after="89" w:line="241" w:lineRule="auto"/>
        <w:ind w:left="2248" w:right="2085" w:firstLine="0"/>
        <w:jc w:val="center"/>
      </w:pPr>
      <w:r>
        <w:rPr>
          <w:sz w:val="14"/>
        </w:rPr>
        <w:t xml:space="preserve">Avenida Constitución Nº 7. Código postal: 38530, Candelaria. Teléfono: 922.500.800. </w:t>
      </w:r>
      <w:r>
        <w:rPr>
          <w:b/>
          <w:sz w:val="14"/>
        </w:rPr>
        <w:t xml:space="preserve">www. candelaria. es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pStyle w:val="Ttulo1"/>
        <w:ind w:right="1091"/>
      </w:pPr>
      <w:r>
        <w:t xml:space="preserve">ORDEN DEL DÍA </w:t>
      </w:r>
    </w:p>
    <w:p w:rsidR="00DA121A" w:rsidRDefault="00904DD6">
      <w:pPr>
        <w:spacing w:after="0" w:line="259" w:lineRule="auto"/>
        <w:ind w:left="186" w:firstLine="0"/>
        <w:jc w:val="center"/>
      </w:pPr>
      <w:r>
        <w:rPr>
          <w:b/>
        </w:rPr>
        <w:t xml:space="preserve"> </w:t>
      </w:r>
    </w:p>
    <w:p w:rsidR="00DA121A" w:rsidRDefault="00904DD6">
      <w:pPr>
        <w:ind w:left="288" w:right="146"/>
      </w:pPr>
      <w:r>
        <w:t xml:space="preserve">El debate íntegro de la sesión del pleno está disponible en: </w:t>
      </w:r>
    </w:p>
    <w:p w:rsidR="00DA121A" w:rsidRDefault="00904DD6">
      <w:pPr>
        <w:spacing w:after="0" w:line="259" w:lineRule="auto"/>
        <w:ind w:left="284" w:firstLine="0"/>
        <w:jc w:val="left"/>
      </w:pPr>
      <w:hyperlink r:id="rId9">
        <w:r>
          <w:rPr>
            <w:b/>
            <w:color w:val="0000FF"/>
            <w:u w:val="single" w:color="0000FF"/>
          </w:rPr>
          <w:t>https</w:t>
        </w:r>
        <w:r>
          <w:rPr>
            <w:b/>
            <w:color w:val="0000FF"/>
            <w:u w:val="single" w:color="0000FF"/>
          </w:rPr>
          <w:t>://www.youtube.com/watch?v=a8x_oMibppI</w:t>
        </w:r>
      </w:hyperlink>
      <w:hyperlink r:id="rId10">
        <w:r>
          <w:rPr>
            <w:rFonts w:ascii="Times New Roman" w:eastAsia="Times New Roman" w:hAnsi="Times New Roman" w:cs="Times New Roman"/>
            <w:sz w:val="24"/>
          </w:rPr>
          <w:t xml:space="preserve"> </w:t>
        </w:r>
      </w:hyperlink>
    </w:p>
    <w:p w:rsidR="00DA121A" w:rsidRDefault="00904DD6">
      <w:pPr>
        <w:spacing w:after="0" w:line="259" w:lineRule="auto"/>
        <w:ind w:left="284" w:firstLine="0"/>
        <w:jc w:val="left"/>
      </w:pPr>
      <w:r>
        <w:rPr>
          <w:b/>
        </w:rPr>
        <w:t xml:space="preserve"> </w:t>
      </w:r>
    </w:p>
    <w:p w:rsidR="00DA121A" w:rsidRDefault="00904DD6">
      <w:pPr>
        <w:spacing w:after="0" w:line="259" w:lineRule="auto"/>
        <w:ind w:left="186" w:firstLine="0"/>
        <w:jc w:val="center"/>
      </w:pPr>
      <w:r>
        <w:rPr>
          <w:b/>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639"/>
        <w:jc w:val="left"/>
      </w:pPr>
      <w:r>
        <w:rPr>
          <w:b/>
        </w:rPr>
        <w:t xml:space="preserve">A) </w:t>
      </w:r>
      <w:r>
        <w:rPr>
          <w:b/>
          <w:u w:val="single" w:color="000000"/>
        </w:rPr>
        <w:t>Parte Resolutiva de la Sesión.</w:t>
      </w: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1.- Aprobación de las actas de los plenos ordinarios de 29 de diciembre de 2022 y 27 de enero de 2023.</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2.- </w:t>
      </w:r>
      <w:r>
        <w:rPr>
          <w:b/>
        </w:rPr>
        <w:t xml:space="preserve">Expediente 2285/2023. Propuesta del Concejal delegado de Hacienda de fecha 20 de marzo de 2023 de dación de cuenta al Pleno de la Liquidación del Presupuesto del Ejercicio 2022.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3.- Expediente 13415/2022. Propuesta del Concejal delegado de Hacienda de f</w:t>
      </w:r>
      <w:r>
        <w:rPr>
          <w:b/>
        </w:rPr>
        <w:t xml:space="preserve">echa 27 de marzo de 2023 relativa a la aprobación definitiva del Presupuesto General del año 2023.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4.- Expediente 3304/2023. Propuesta del Concejal delegado de Hacienda de 22 de marzo de 2023 de aprobación inicial de modificación presupuestaria 3304/202</w:t>
      </w:r>
      <w:r>
        <w:rPr>
          <w:b/>
        </w:rPr>
        <w:t>3 por importe de 1.859.520,87 euros.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5.- Expediente 2582/2023. Propuesta de la Alcaldesa-Presidenta de 27 de marzo de 2023 de fiestas locales para el año 2024.</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6.- Expediente 3237/2023. Propuesta del Concejal delegado de Relaciones Institucionales de</w:t>
      </w:r>
      <w:r>
        <w:rPr>
          <w:b/>
        </w:rPr>
        <w:t xml:space="preserve"> fecha 21 de marzo de 2023 por la que se eleva al Pleno la Concesión de Distinción Honorífica de Hija Adoptiva de la Villa de Candelaria a Dª. María Dolores Arias Rodríguez, “Lolina”.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7.- Expediente 4304/2022. Propuesta de la Alcaldesa-Presidenta de 22 </w:t>
      </w:r>
      <w:r>
        <w:rPr>
          <w:b/>
        </w:rPr>
        <w:t xml:space="preserve">de marzo de 2023 al Pleno de solicitud al Gobierno de Canarias del procedimiento de evaluación ambiental estratégica de modificaciones menores al Plan General de Ordenación de Candelaria.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8.- Expediente 3101/2023. Propuesta de la Alcaldesa-Presidenta de</w:t>
      </w:r>
      <w:r>
        <w:rPr>
          <w:b/>
        </w:rPr>
        <w:t xml:space="preserve"> fecha 22 de marzo de 2023 de encomendar a la entidad “Gestión y Planeamiento Territorial y Medioambiental, SA (GESPLAN), adscrita a la Consejería de Transición Ecológica, Lucha contra el Cambio Climático y Planificación Territorial del Gobierno de Canaria</w:t>
      </w:r>
      <w:r>
        <w:rPr>
          <w:b/>
        </w:rPr>
        <w:t xml:space="preserve">s, la redacción del proyecto del Plan Especial del Parque Periurbano de Pasacola por importe de 41.153.53 euros.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9.- Expediente 3108/2023. Propuesta de la Alcaldesa-Presidenta de fecha 22 de marzo de 2023 de encomendar a la entidad “Gestión y Planeamien</w:t>
      </w:r>
      <w:r>
        <w:rPr>
          <w:b/>
        </w:rPr>
        <w:t xml:space="preserve">to Territorial y Medioambiental, SA </w:t>
      </w:r>
      <w:r>
        <w:rPr>
          <w:b/>
        </w:rPr>
        <w:lastRenderedPageBreak/>
        <w:t xml:space="preserve">(GESPLAN)", adscrita a la Consejería de Transición Ecológica, Lucha contra el Cambio Climático y Planificación Territorial del Gobierno de Canarias, la redacción del proyecto del Plan Especial de ordenación del casco de </w:t>
      </w:r>
      <w:r>
        <w:rPr>
          <w:b/>
        </w:rPr>
        <w:t xml:space="preserve">Candelaria por importe de 126.730,93 euros.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10.- Expediente 3110/2023. Propuesta de la Alcaldesa-Presidenta de fecha 22 de marzo de </w:t>
      </w:r>
    </w:p>
    <w:p w:rsidR="00DA121A" w:rsidRDefault="00904DD6">
      <w:pPr>
        <w:spacing w:after="4"/>
        <w:ind w:left="279" w:right="144"/>
      </w:pPr>
      <w:r>
        <w:rPr>
          <w:b/>
        </w:rPr>
        <w:t>2023 de encomendar a la entidad “Gestión y Planeamiento Territorial y Medioambiental, SA (GESPLAN)", adscrita a la Conse</w:t>
      </w:r>
      <w:r>
        <w:rPr>
          <w:b/>
        </w:rPr>
        <w:t xml:space="preserve">jería de Transición Ecológica, Lucha contra el Cambio Climático y Planificación Territorial del Gobierno de Canarias la redacción del proyecto del Plan Especial de Reforma Interior de la Jiménez por importe de 81.050,36 euros.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11.- Expediente 3111/2023.</w:t>
      </w:r>
      <w:r>
        <w:rPr>
          <w:b/>
        </w:rPr>
        <w:t xml:space="preserve"> Propuesta de la Alcaldesa-Presidenta de fecha 22 de marzo de 2023 de encomendar a la entidad “Gestión y Planeamiento Territorial y Medioambiental, SA (GESPLAN)", adscrita a la Consejería de Transición Ecológica, Lucha contra el Cambio Climático y Planific</w:t>
      </w:r>
      <w:r>
        <w:rPr>
          <w:b/>
        </w:rPr>
        <w:t xml:space="preserve">ación Territorial del Gobierno de Canarias, la redacción del proyecto Plan Especial Parque periurbano La Vera de Igueste por importe de 51.864,35 €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12.- Expediente 8822/2021. Propuesta de la Alcaldesa-Presidenta de fecha 22 de marzo de 2023 de solicitud</w:t>
      </w:r>
      <w:r>
        <w:rPr>
          <w:b/>
        </w:rPr>
        <w:t xml:space="preserve"> al Gobierno de Canarias del procedimiento de evaluación ambiental estratégica para la aprobación de la modificación menor de iniciativa privada del Plan General de Candelaria, La Fuente-Afirama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13.- Urgencias.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t xml:space="preserve"> </w:t>
      </w:r>
    </w:p>
    <w:p w:rsidR="00DA121A" w:rsidRDefault="00904DD6">
      <w:pPr>
        <w:numPr>
          <w:ilvl w:val="0"/>
          <w:numId w:val="1"/>
        </w:numPr>
        <w:spacing w:after="0" w:line="259" w:lineRule="auto"/>
        <w:ind w:hanging="360"/>
        <w:jc w:val="left"/>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14.- Dación de Cuenta de los Decretos de la Alcaldía-Presidencia y de los Concejales delegados. </w:t>
      </w:r>
    </w:p>
    <w:p w:rsidR="00DA121A" w:rsidRDefault="00904DD6">
      <w:pPr>
        <w:spacing w:after="0" w:line="259" w:lineRule="auto"/>
        <w:ind w:left="284" w:firstLine="0"/>
        <w:jc w:val="left"/>
      </w:pPr>
      <w:r>
        <w:rPr>
          <w:b/>
        </w:rPr>
        <w:t xml:space="preserve"> </w:t>
      </w:r>
    </w:p>
    <w:p w:rsidR="00DA121A" w:rsidRDefault="00904DD6">
      <w:pPr>
        <w:spacing w:after="4"/>
        <w:ind w:left="279" w:right="223"/>
      </w:pPr>
      <w:r>
        <w:rPr>
          <w:b/>
        </w:rPr>
        <w:t>15.- Informe del Interventor en su caso de las resoluciones adoptadas por la Presidenta de la Corpor</w:t>
      </w:r>
      <w:r>
        <w:rPr>
          <w:b/>
        </w:rPr>
        <w:t>ación Local contrarias a los reparos efectuados en cumplimiento de la Ley 27/2013, de 27 de diciembre de racionalización y sostenibilidad de la Administración Local</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t xml:space="preserve"> </w:t>
      </w:r>
    </w:p>
    <w:p w:rsidR="00DA121A" w:rsidRDefault="00904DD6">
      <w:pPr>
        <w:numPr>
          <w:ilvl w:val="0"/>
          <w:numId w:val="1"/>
        </w:numPr>
        <w:spacing w:after="0" w:line="259"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16.- Ruegos y preguntas.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639"/>
        <w:jc w:val="left"/>
      </w:pPr>
      <w:r>
        <w:rPr>
          <w:b/>
        </w:rPr>
        <w:t xml:space="preserve">A) </w:t>
      </w:r>
      <w:r>
        <w:rPr>
          <w:b/>
          <w:u w:val="single" w:color="000000"/>
        </w:rPr>
        <w:t>Parte Resolutiva de la Sesión.</w:t>
      </w: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0" w:lineRule="auto"/>
        <w:ind w:left="1004" w:right="149" w:hanging="360"/>
      </w:pPr>
      <w:r>
        <w:rPr>
          <w:b/>
          <w:sz w:val="24"/>
        </w:rPr>
        <w:t xml:space="preserve">1- Aprobación del acta de las sesiones de pleno anteriores correspondiente al 29 de diciembre de 2022 y al 26 de enero de 2023. </w:t>
      </w:r>
    </w:p>
    <w:p w:rsidR="00DA121A" w:rsidRDefault="00904DD6">
      <w:pPr>
        <w:spacing w:after="0" w:line="259" w:lineRule="auto"/>
        <w:ind w:left="644" w:firstLine="0"/>
        <w:jc w:val="left"/>
      </w:pP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1712" w:right="144"/>
      </w:pPr>
      <w:r>
        <w:rPr>
          <w:b/>
        </w:rPr>
        <w:t xml:space="preserve">VOTACIÓN EN EL PLENO DE 30 DE MARZO DE 2023. </w:t>
      </w:r>
    </w:p>
    <w:p w:rsidR="00DA121A" w:rsidRDefault="00904DD6">
      <w:pPr>
        <w:spacing w:after="0" w:line="259" w:lineRule="auto"/>
        <w:ind w:left="186" w:firstLine="0"/>
        <w:jc w:val="center"/>
      </w:pPr>
      <w:r>
        <w:rPr>
          <w:b/>
        </w:rPr>
        <w:t xml:space="preserve"> </w:t>
      </w:r>
    </w:p>
    <w:p w:rsidR="00DA121A" w:rsidRDefault="00904DD6">
      <w:pPr>
        <w:ind w:left="288" w:right="146"/>
      </w:pPr>
      <w:r>
        <w:t xml:space="preserve">La unanimidad de los 19 concejales </w:t>
      </w:r>
      <w:r>
        <w:t xml:space="preserve">presentes:  </w:t>
      </w:r>
    </w:p>
    <w:p w:rsidR="00DA121A" w:rsidRDefault="00904DD6">
      <w:pPr>
        <w:spacing w:after="0" w:line="259" w:lineRule="auto"/>
        <w:ind w:left="284" w:firstLine="0"/>
        <w:jc w:val="left"/>
      </w:pPr>
      <w:r>
        <w:t xml:space="preserve"> </w:t>
      </w:r>
    </w:p>
    <w:p w:rsidR="00DA121A" w:rsidRDefault="00904DD6">
      <w:pPr>
        <w:ind w:left="288" w:right="146"/>
      </w:pPr>
      <w:r>
        <w:t xml:space="preserve">11 concejales del Grupo Socialista: Doña María Concepción Brito Núñez, Don Jorge Baute Delgado, </w:t>
      </w:r>
    </w:p>
    <w:p w:rsidR="00DA121A" w:rsidRDefault="00904DD6">
      <w:pPr>
        <w:ind w:left="288" w:right="146"/>
      </w:pPr>
      <w:r>
        <w:t xml:space="preserve">Doña Olivia Concepción Pérez Díaz, Don José Francisco Pinto Ramos, Doña Hilaria Cecilia Otazo González, Don Airam Pérez Chinea, Doña </w:t>
      </w:r>
      <w:r>
        <w:t xml:space="preserve">Margarita Eva Tendero Barroso, Don Manuel Alberto González Pestano, Doña María del Carmen Clemente Díaz, Don Olegario Francisco Alonso Bello y Don Reinaldo José Triviño Blanco.  </w:t>
      </w:r>
    </w:p>
    <w:p w:rsidR="00DA121A" w:rsidRDefault="00904DD6">
      <w:pPr>
        <w:spacing w:after="0" w:line="259" w:lineRule="auto"/>
        <w:ind w:left="284" w:firstLine="0"/>
        <w:jc w:val="left"/>
      </w:pPr>
      <w:r>
        <w:t xml:space="preserve"> </w:t>
      </w:r>
    </w:p>
    <w:p w:rsidR="00DA121A" w:rsidRDefault="00904DD6">
      <w:pPr>
        <w:ind w:left="288" w:right="146"/>
      </w:pPr>
      <w:r>
        <w:t>4 concejales del Grupo Popular: Don Andrés Rodríguez Delgado, Don Jacobo Ló</w:t>
      </w:r>
      <w:r>
        <w:t xml:space="preserve">pez Fariña, Doña Raquel Martín Castro y Don David Crego Cháves.  </w:t>
      </w:r>
    </w:p>
    <w:p w:rsidR="00DA121A" w:rsidRDefault="00904DD6">
      <w:pPr>
        <w:spacing w:after="0" w:line="259" w:lineRule="auto"/>
        <w:ind w:left="284" w:firstLine="0"/>
        <w:jc w:val="left"/>
      </w:pPr>
      <w:r>
        <w:t xml:space="preserve"> </w:t>
      </w:r>
    </w:p>
    <w:p w:rsidR="00DA121A" w:rsidRDefault="00904DD6">
      <w:pPr>
        <w:ind w:left="288" w:right="146"/>
      </w:pPr>
      <w:r>
        <w:t xml:space="preserve">2 de los concejales del Grupo Mixto (CC-PNC): Doña Ángela Cruz Perera y Don Emilio Jesús Atienzar Armas.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(Cs), Doña Marta Plasencia Gutiérrez.  </w:t>
      </w:r>
    </w:p>
    <w:p w:rsidR="00DA121A" w:rsidRDefault="00904DD6">
      <w:pPr>
        <w:spacing w:after="0" w:line="259" w:lineRule="auto"/>
        <w:ind w:left="284" w:firstLine="0"/>
        <w:jc w:val="left"/>
      </w:pPr>
      <w:r>
        <w:t xml:space="preserve"> </w:t>
      </w:r>
    </w:p>
    <w:p w:rsidR="00DA121A" w:rsidRDefault="00904DD6">
      <w:pPr>
        <w:ind w:left="288" w:right="146"/>
      </w:pPr>
      <w:r>
        <w:t>1 de la concejal del Grupo Mixto (VxC): Doña Alicia Mercedes Marrero Meneses.</w:t>
      </w:r>
      <w:r>
        <w:rPr>
          <w:rFonts w:ascii="Times New Roman" w:eastAsia="Times New Roman" w:hAnsi="Times New Roman" w:cs="Times New Roman"/>
          <w:sz w:val="24"/>
        </w:rPr>
        <w:t xml:space="preserve"> </w:t>
      </w:r>
    </w:p>
    <w:p w:rsidR="00DA121A" w:rsidRDefault="00904DD6">
      <w:pPr>
        <w:spacing w:after="0" w:line="259" w:lineRule="auto"/>
        <w:ind w:left="1702" w:firstLine="0"/>
        <w:jc w:val="left"/>
      </w:pPr>
      <w:r>
        <w:rPr>
          <w:b/>
        </w:rPr>
        <w:t xml:space="preserve"> </w:t>
      </w:r>
    </w:p>
    <w:p w:rsidR="00DA121A" w:rsidRDefault="00904DD6">
      <w:pPr>
        <w:spacing w:after="0" w:line="259" w:lineRule="auto"/>
        <w:ind w:left="1702" w:firstLine="0"/>
        <w:jc w:val="left"/>
      </w:pPr>
      <w:r>
        <w:rPr>
          <w:b/>
        </w:rPr>
        <w:t xml:space="preserve"> </w:t>
      </w:r>
    </w:p>
    <w:p w:rsidR="00DA121A" w:rsidRDefault="00904DD6">
      <w:pPr>
        <w:spacing w:after="0" w:line="259" w:lineRule="auto"/>
        <w:ind w:left="1702" w:firstLine="0"/>
        <w:jc w:val="left"/>
      </w:pPr>
      <w:r>
        <w:rPr>
          <w:b/>
        </w:rPr>
        <w:t xml:space="preserve"> </w:t>
      </w:r>
    </w:p>
    <w:p w:rsidR="00DA121A" w:rsidRDefault="00904DD6">
      <w:pPr>
        <w:spacing w:after="4"/>
        <w:ind w:left="1712" w:right="144"/>
      </w:pPr>
      <w:r>
        <w:rPr>
          <w:b/>
        </w:rPr>
        <w:t xml:space="preserve">ACUERDO DEL PLENO DE 30 DE MARZO DE 2023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Aprobación del acta de las sesiones de pleno anteriores correspondiente al 29 de diciembre de 2022 y al 26 de enero de 2023.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90" w:line="250" w:lineRule="auto"/>
        <w:ind w:left="279" w:right="149"/>
      </w:pPr>
      <w:r>
        <w:rPr>
          <w:b/>
          <w:sz w:val="24"/>
        </w:rPr>
        <w:t xml:space="preserve">2.- </w:t>
      </w:r>
      <w:r>
        <w:rPr>
          <w:b/>
          <w:sz w:val="24"/>
        </w:rPr>
        <w:t>Expediente 2285/2023. Propuesta del Concejal delegado de Hacienda de fecha 20 de marzo de 2023 para dar cuenta al Pleno de la Liquidación del Presupuesto del ejercicio 2022, conforme al art. 90.2 del Real Decreto 500/1990 de 20 de abril.</w:t>
      </w:r>
      <w:r>
        <w:t xml:space="preserve"> </w:t>
      </w:r>
    </w:p>
    <w:p w:rsidR="00DA121A" w:rsidRDefault="00904DD6">
      <w:pPr>
        <w:spacing w:after="79" w:line="259" w:lineRule="auto"/>
        <w:ind w:left="284" w:firstLine="0"/>
        <w:jc w:val="left"/>
      </w:pPr>
      <w:r>
        <w:rPr>
          <w:b/>
          <w:sz w:val="24"/>
        </w:rPr>
        <w:t xml:space="preserve"> </w:t>
      </w:r>
    </w:p>
    <w:p w:rsidR="00DA121A" w:rsidRDefault="00904DD6">
      <w:pPr>
        <w:spacing w:after="111"/>
        <w:ind w:left="279" w:right="144"/>
      </w:pPr>
      <w:r>
        <w:rPr>
          <w:b/>
        </w:rPr>
        <w:t>Consta en el ex</w:t>
      </w:r>
      <w:r>
        <w:rPr>
          <w:b/>
        </w:rPr>
        <w:t>pediente Informe de Intervención emitido por Don Nicolás Rojo Garnica, que desempeña el puesto de trabajo de Interventor Municipal, de 01 de marzo de 2023, del siguiente tenor literal:</w:t>
      </w:r>
      <w:r>
        <w:t xml:space="preserve"> </w:t>
      </w:r>
    </w:p>
    <w:p w:rsidR="00DA121A" w:rsidRDefault="00904DD6">
      <w:pPr>
        <w:spacing w:after="100" w:line="259" w:lineRule="auto"/>
        <w:ind w:left="284" w:firstLine="0"/>
        <w:jc w:val="left"/>
      </w:pPr>
      <w:r>
        <w:rPr>
          <w:b/>
        </w:rPr>
        <w:t xml:space="preserve"> </w:t>
      </w:r>
    </w:p>
    <w:p w:rsidR="00DA121A" w:rsidRDefault="00904DD6">
      <w:pPr>
        <w:spacing w:after="136" w:line="259" w:lineRule="auto"/>
        <w:ind w:left="284" w:firstLine="0"/>
        <w:jc w:val="left"/>
      </w:pPr>
      <w:r>
        <w:rPr>
          <w:b/>
        </w:rPr>
        <w:t xml:space="preserve"> </w:t>
      </w:r>
    </w:p>
    <w:p w:rsidR="00DA121A" w:rsidRDefault="00904DD6">
      <w:pPr>
        <w:pStyle w:val="Ttulo1"/>
        <w:ind w:right="1084"/>
      </w:pPr>
      <w:r>
        <w:t xml:space="preserve">“INFORME DE INTERVENCIÓN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ASUNTO: Aprobación de la Liquidación d</w:t>
      </w:r>
      <w:r>
        <w:rPr>
          <w:b/>
        </w:rPr>
        <w:t xml:space="preserve">el Presupuesto de 2022 del Ayuntamiento de Candelaria </w:t>
      </w:r>
    </w:p>
    <w:p w:rsidR="00DA121A" w:rsidRDefault="00904DD6">
      <w:pPr>
        <w:spacing w:after="0" w:line="259" w:lineRule="auto"/>
        <w:ind w:left="115" w:firstLine="0"/>
        <w:jc w:val="center"/>
      </w:pPr>
      <w:r>
        <w:rPr>
          <w:rFonts w:ascii="Calibri" w:eastAsia="Calibri" w:hAnsi="Calibri" w:cs="Calibri"/>
          <w:noProof/>
        </w:rPr>
        <mc:AlternateContent>
          <mc:Choice Requires="wpg">
            <w:drawing>
              <wp:inline distT="0" distB="0" distL="0" distR="0">
                <wp:extent cx="6059170" cy="25908"/>
                <wp:effectExtent l="0" t="0" r="0" b="0"/>
                <wp:docPr id="258697" name="Group 258697"/>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663" name="Shape 663"/>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8697" style="width:477.1pt;height:2.04pt;mso-position-horizontal-relative:char;mso-position-vertical-relative:line" coordsize="60591,259">
                <v:shape id="Shape 663" style="position:absolute;width:60591;height:0;left:0;top:0;" coordsize="6059170,0" path="m0,0l6059170,0">
                  <v:stroke weight="2.04pt" endcap="square" joinstyle="miter" miterlimit="10" on="true" color="#993366"/>
                  <v:fill on="false" color="#000000" opacity="0"/>
                </v:shape>
              </v:group>
            </w:pict>
          </mc:Fallback>
        </mc:AlternateConten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rPr>
          <w:rFonts w:ascii="Times New Roman" w:eastAsia="Times New Roman" w:hAnsi="Times New Roman" w:cs="Times New Roman"/>
          <w:sz w:val="24"/>
        </w:rPr>
        <w:t xml:space="preserve"> </w:t>
      </w:r>
      <w:r>
        <w:t xml:space="preserve">Una vez cerrada la liquidación de dicho ejercicio, se tramita el expediente para la aprobación de la </w:t>
      </w:r>
      <w:r>
        <w:rPr>
          <w:b/>
        </w:rPr>
        <w:t>Liquidación del Presupuesto General del ejercicio 2022 del Ilustre Ayuntamiento de Candelaria</w:t>
      </w:r>
      <w:r>
        <w:t>, que se compone de los Estados de ejecución de los Presupuestos de Gastos e Ingresos previstos por la Instrucción del Modelo Normal de Contabilidad de las Corporaciones Locales, así como el Resultado Presupuestario y el Remanente de Tesorería, como magnit</w:t>
      </w:r>
      <w:r>
        <w:t xml:space="preserve">udes presupuestarias más importantes derivadas de la Ejecución del Presupuesto.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1.- LEGISLACIÓN APLICABLE </w:t>
      </w:r>
    </w:p>
    <w:p w:rsidR="00DA121A" w:rsidRDefault="00904DD6">
      <w:pPr>
        <w:spacing w:after="0" w:line="259" w:lineRule="auto"/>
        <w:ind w:left="284" w:firstLine="0"/>
        <w:jc w:val="left"/>
      </w:pPr>
      <w:r>
        <w:rPr>
          <w:b/>
        </w:rPr>
        <w:t xml:space="preserve"> </w:t>
      </w:r>
    </w:p>
    <w:p w:rsidR="00DA121A" w:rsidRDefault="00904DD6">
      <w:pPr>
        <w:ind w:left="288" w:right="146"/>
      </w:pPr>
      <w:r>
        <w:t xml:space="preserve"> </w:t>
      </w:r>
      <w:r>
        <w:t>La legislación aplicable a este expediente se encuentra recogida en los artículos 191, 192 y 193 del Real Decreto Legislativo 2/2004, de 5 de marzo, por el que se aprueba el Texto Refundido de la Ley Reguladora de las Haciendas Locales, en los artículos 89</w:t>
      </w:r>
      <w:r>
        <w:t xml:space="preserve"> al 105 del RD 500/90, por el que se desarrollan las disposiciones del TRLRHL en materia de Presupuestos, la Orden HAP/1781/2013 de 20 de septiembre, por el que se aprueba la Instrucción del Modelo Normal de Contabilidad y la Orden EHA/419/2014 de 14 de ma</w:t>
      </w:r>
      <w:r>
        <w:t>rzo, por la que se aprueba la estructura de los presupuestos de las entidades locales.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Igualmente, son de aplicación el Real Decreto 1463/2007, de 2 de noviembre, por el que se aprueba el reglamento de desarrollo de la Ley 18/2001, de 12 de diciembre, </w:t>
      </w:r>
      <w:r>
        <w:t>de Estabilidad Presupuestaria, en su aplicación a las Entidades Locales y la Ley Orgánica 2/2012, de Estabilidad Presupuestaria y Sostenibilidad Financiera.</w:t>
      </w:r>
      <w:r>
        <w:rPr>
          <w:rFonts w:ascii="Courier New" w:eastAsia="Courier New" w:hAnsi="Courier New" w:cs="Courier New"/>
          <w:sz w:val="31"/>
          <w:vertAlign w:val="subscript"/>
        </w:rP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2.- AMBITO TEMPORAL </w:t>
      </w:r>
    </w:p>
    <w:p w:rsidR="00DA121A" w:rsidRDefault="00904DD6">
      <w:pPr>
        <w:spacing w:after="0" w:line="259" w:lineRule="auto"/>
        <w:ind w:left="284" w:firstLine="0"/>
        <w:jc w:val="left"/>
      </w:pPr>
      <w:r>
        <w:rPr>
          <w:b/>
        </w:rPr>
        <w:t xml:space="preserve"> </w:t>
      </w:r>
    </w:p>
    <w:p w:rsidR="00DA121A" w:rsidRDefault="00904DD6">
      <w:pPr>
        <w:ind w:left="288" w:right="146"/>
      </w:pPr>
      <w:r>
        <w:t xml:space="preserve"> El cierre y liquidación del Presupuesto se efectuará, en cuanto a la rec</w:t>
      </w:r>
      <w:r>
        <w:t>audación de derechos y el pago de obligaciones, el 31 de diciembre del año natural.</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La confección de los Estados Demostrativos de la Liquidación del Presupuesto deberá realizarse antes del día primero de marzo del Ejercicio siguiente. </w:t>
      </w:r>
    </w:p>
    <w:p w:rsidR="00DA121A" w:rsidRDefault="00904DD6">
      <w:pPr>
        <w:spacing w:after="0" w:line="259" w:lineRule="auto"/>
        <w:ind w:left="284" w:firstLine="0"/>
        <w:jc w:val="left"/>
      </w:pPr>
      <w:r>
        <w:t xml:space="preserve"> </w:t>
      </w:r>
      <w:r>
        <w:tab/>
        <w:t xml:space="preserve"> </w:t>
      </w:r>
    </w:p>
    <w:p w:rsidR="00DA121A" w:rsidRDefault="00904DD6">
      <w:pPr>
        <w:ind w:left="278" w:right="146" w:firstLine="708"/>
      </w:pPr>
      <w:r>
        <w:t>Las Entidade</w:t>
      </w:r>
      <w:r>
        <w:t xml:space="preserve">s Locales remitirán copia de la Liquidación de sus Presupuestos antes de finalizar el mes de marzo del Ejercicio siguiente al que corresponda, a los órganos competentes de la Comunidad Autónoma y de la Administración del Estado. </w:t>
      </w:r>
    </w:p>
    <w:p w:rsidR="00DA121A" w:rsidRDefault="00904DD6">
      <w:pPr>
        <w:spacing w:after="0" w:line="259" w:lineRule="auto"/>
        <w:ind w:left="284" w:firstLine="0"/>
        <w:jc w:val="left"/>
      </w:pPr>
      <w:r>
        <w:t xml:space="preserve"> </w:t>
      </w:r>
    </w:p>
    <w:p w:rsidR="00DA121A" w:rsidRDefault="00904DD6">
      <w:pPr>
        <w:spacing w:after="4"/>
        <w:ind w:left="1014" w:right="144"/>
      </w:pPr>
      <w:r>
        <w:rPr>
          <w:b/>
        </w:rPr>
        <w:t xml:space="preserve">3.- </w:t>
      </w:r>
      <w:r>
        <w:rPr>
          <w:b/>
        </w:rPr>
        <w:t>RESULTADO PRESUPUESTARIO</w:t>
      </w:r>
      <w:r>
        <w:rPr>
          <w:rFonts w:ascii="Calibri" w:eastAsia="Calibri" w:hAnsi="Calibri" w:cs="Calibri"/>
          <w:color w:val="1F4D78"/>
          <w:sz w:val="24"/>
        </w:rPr>
        <w:t xml:space="preserve"> </w:t>
      </w:r>
    </w:p>
    <w:p w:rsidR="00DA121A" w:rsidRDefault="00904DD6">
      <w:pPr>
        <w:spacing w:after="93" w:line="259" w:lineRule="auto"/>
        <w:ind w:left="284" w:firstLine="0"/>
        <w:jc w:val="left"/>
      </w:pPr>
      <w:r>
        <w:t xml:space="preserve"> </w:t>
      </w:r>
    </w:p>
    <w:p w:rsidR="00DA121A" w:rsidRDefault="00904DD6">
      <w:pPr>
        <w:spacing w:after="52" w:line="259" w:lineRule="auto"/>
        <w:ind w:left="0" w:right="443" w:firstLine="0"/>
        <w:jc w:val="right"/>
      </w:pPr>
      <w:r>
        <w:rPr>
          <w:noProof/>
        </w:rPr>
        <w:drawing>
          <wp:inline distT="0" distB="0" distL="0" distR="0">
            <wp:extent cx="5852160" cy="2948940"/>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706" name="Picture 706"/>
                    <pic:cNvPicPr/>
                  </pic:nvPicPr>
                  <pic:blipFill>
                    <a:blip r:embed="rId11"/>
                    <a:stretch>
                      <a:fillRect/>
                    </a:stretch>
                  </pic:blipFill>
                  <pic:spPr>
                    <a:xfrm>
                      <a:off x="0" y="0"/>
                      <a:ext cx="5852160" cy="2948940"/>
                    </a:xfrm>
                    <a:prstGeom prst="rect">
                      <a:avLst/>
                    </a:prstGeom>
                  </pic:spPr>
                </pic:pic>
              </a:graphicData>
            </a:graphic>
          </wp:inline>
        </w:drawing>
      </w:r>
      <w:r>
        <w:t xml:space="preserve"> </w:t>
      </w:r>
    </w:p>
    <w:p w:rsidR="00DA121A" w:rsidRDefault="00904DD6">
      <w:pPr>
        <w:spacing w:after="95" w:line="259" w:lineRule="auto"/>
        <w:ind w:left="284" w:firstLine="0"/>
        <w:jc w:val="left"/>
      </w:pPr>
      <w:r>
        <w:t xml:space="preserve"> </w:t>
      </w:r>
    </w:p>
    <w:p w:rsidR="00DA121A" w:rsidRDefault="00904DD6">
      <w:pPr>
        <w:spacing w:after="4"/>
        <w:ind w:left="1446" w:right="144"/>
      </w:pPr>
      <w:r>
        <w:rPr>
          <w:b/>
        </w:rPr>
        <w:t xml:space="preserve">4.-REMANENTE DE TESORERIA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0" w:right="444" w:firstLine="0"/>
        <w:jc w:val="right"/>
      </w:pPr>
      <w:r>
        <w:rPr>
          <w:noProof/>
        </w:rPr>
        <w:drawing>
          <wp:inline distT="0" distB="0" distL="0" distR="0">
            <wp:extent cx="5850636" cy="3093720"/>
            <wp:effectExtent l="0" t="0" r="0" b="0"/>
            <wp:docPr id="780" name="Picture 780"/>
            <wp:cNvGraphicFramePr/>
            <a:graphic xmlns:a="http://schemas.openxmlformats.org/drawingml/2006/main">
              <a:graphicData uri="http://schemas.openxmlformats.org/drawingml/2006/picture">
                <pic:pic xmlns:pic="http://schemas.openxmlformats.org/drawingml/2006/picture">
                  <pic:nvPicPr>
                    <pic:cNvPr id="780" name="Picture 780"/>
                    <pic:cNvPicPr/>
                  </pic:nvPicPr>
                  <pic:blipFill>
                    <a:blip r:embed="rId12"/>
                    <a:stretch>
                      <a:fillRect/>
                    </a:stretch>
                  </pic:blipFill>
                  <pic:spPr>
                    <a:xfrm>
                      <a:off x="0" y="0"/>
                      <a:ext cx="5850636" cy="3093720"/>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245" w:line="259" w:lineRule="auto"/>
        <w:ind w:left="284" w:firstLine="0"/>
        <w:jc w:val="left"/>
      </w:pPr>
      <w:r>
        <w:rPr>
          <w:rFonts w:ascii="Times New Roman" w:eastAsia="Times New Roman" w:hAnsi="Times New Roman" w:cs="Times New Roman"/>
          <w:sz w:val="24"/>
        </w:rPr>
        <w:t xml:space="preserve"> </w:t>
      </w:r>
    </w:p>
    <w:p w:rsidR="00DA121A" w:rsidRDefault="00904DD6">
      <w:pPr>
        <w:spacing w:after="254"/>
        <w:ind w:left="278" w:right="146" w:firstLine="708"/>
      </w:pPr>
      <w:r>
        <w:t>Hay que señalar que con la entrada en vigor de la Ley 27/2013, de 27 de diciembre, de racionalización y sostenibilidad de la Administración Local, se incluye un nuevo artículo 193 bis, en e</w:t>
      </w:r>
      <w:r>
        <w:t xml:space="preserve">l Texto Refundido de la Ley reguladora de las Haciendas Locales, aprobado mediante </w:t>
      </w:r>
      <w:hyperlink r:id="rId13">
        <w:r>
          <w:rPr>
            <w:color w:val="0000FF"/>
            <w:u w:val="single" w:color="0000FF"/>
          </w:rPr>
          <w:t>Real</w:t>
        </w:r>
      </w:hyperlink>
      <w:hyperlink r:id="rId14">
        <w:r>
          <w:rPr>
            <w:color w:val="0000FF"/>
          </w:rPr>
          <w:t xml:space="preserve"> </w:t>
        </w:r>
      </w:hyperlink>
      <w:hyperlink r:id="rId15">
        <w:r>
          <w:rPr>
            <w:color w:val="0000FF"/>
            <w:u w:val="single" w:color="0000FF"/>
          </w:rPr>
          <w:t>Decreto Legislativo 2/2004, de 5 de marzo</w:t>
        </w:r>
      </w:hyperlink>
      <w:hyperlink r:id="rId16">
        <w:r>
          <w:t>,</w:t>
        </w:r>
      </w:hyperlink>
      <w:r>
        <w:t xml:space="preserve"> establece un nuevo criterio de cálculo de los der</w:t>
      </w:r>
      <w:r>
        <w:t>echos de difícil o imposible recaudación, para su aplicación a partir del ejercicio 2014, quedando con la siguiente redacción:</w:t>
      </w:r>
      <w:r>
        <w:rPr>
          <w:rFonts w:ascii="Times New Roman" w:eastAsia="Times New Roman" w:hAnsi="Times New Roman" w:cs="Times New Roman"/>
          <w:sz w:val="24"/>
        </w:rPr>
        <w:t xml:space="preserve"> </w:t>
      </w:r>
    </w:p>
    <w:p w:rsidR="00DA121A" w:rsidRDefault="00904DD6">
      <w:pPr>
        <w:ind w:left="288" w:right="146"/>
      </w:pPr>
      <w:r>
        <w:t xml:space="preserve">«Artículo 193 bis Derechos de difícil o imposible recaudación  </w:t>
      </w:r>
    </w:p>
    <w:p w:rsidR="00DA121A" w:rsidRDefault="00904DD6">
      <w:pPr>
        <w:spacing w:after="0" w:line="259" w:lineRule="auto"/>
        <w:ind w:left="284" w:firstLine="0"/>
        <w:jc w:val="left"/>
      </w:pPr>
      <w:r>
        <w:t xml:space="preserve"> </w:t>
      </w:r>
    </w:p>
    <w:p w:rsidR="00DA121A" w:rsidRDefault="00904DD6">
      <w:pPr>
        <w:ind w:left="278" w:right="146" w:firstLine="708"/>
      </w:pPr>
      <w:r>
        <w:t>Las Entidades Locales deberán informar al Ministerio de Hacienda y Administraciones Públicas y a su Pleno, u órgano equivalente, del resultado de la aplicación de los criterios determinantes de los derechos de difícil o imposible recaudación con los siguie</w:t>
      </w:r>
      <w:r>
        <w:t xml:space="preserve">ntes límites mínimos: </w:t>
      </w:r>
    </w:p>
    <w:p w:rsidR="00DA121A" w:rsidRDefault="00904DD6">
      <w:pPr>
        <w:spacing w:after="0" w:line="259" w:lineRule="auto"/>
        <w:ind w:left="992" w:firstLine="0"/>
        <w:jc w:val="left"/>
      </w:pPr>
      <w:r>
        <w:rPr>
          <w:b/>
        </w:rPr>
        <w:t xml:space="preserve"> </w:t>
      </w:r>
    </w:p>
    <w:p w:rsidR="00DA121A" w:rsidRDefault="00904DD6">
      <w:pPr>
        <w:numPr>
          <w:ilvl w:val="0"/>
          <w:numId w:val="2"/>
        </w:numPr>
        <w:ind w:right="146"/>
      </w:pPr>
      <w:r>
        <w:t>Los derechos pendientes de cobro liquidados dentro de los presupuestos de los dos ejercicios anteriores al que corresponde la liquidación, se minorarán, como mínimo, en un 25 por ciento.</w:t>
      </w:r>
      <w:r>
        <w:rPr>
          <w:rFonts w:ascii="Times New Roman" w:eastAsia="Times New Roman" w:hAnsi="Times New Roman" w:cs="Times New Roman"/>
          <w:sz w:val="24"/>
        </w:rPr>
        <w:t xml:space="preserve"> </w:t>
      </w:r>
    </w:p>
    <w:p w:rsidR="00DA121A" w:rsidRDefault="00904DD6">
      <w:pPr>
        <w:numPr>
          <w:ilvl w:val="0"/>
          <w:numId w:val="2"/>
        </w:numPr>
        <w:ind w:right="146"/>
      </w:pPr>
      <w:r>
        <w:t>Los derechos pendientes de cobro liquidados</w:t>
      </w:r>
      <w:r>
        <w:t xml:space="preserve"> dentro de los presupuestos del ejercicio tercero anterior al que corresponde la liquidación, se minorarán, como mínimo, en un 50 por ciento.</w:t>
      </w:r>
      <w:r>
        <w:rPr>
          <w:rFonts w:ascii="Times New Roman" w:eastAsia="Times New Roman" w:hAnsi="Times New Roman" w:cs="Times New Roman"/>
          <w:sz w:val="24"/>
        </w:rPr>
        <w:t xml:space="preserve"> </w:t>
      </w:r>
    </w:p>
    <w:p w:rsidR="00DA121A" w:rsidRDefault="00904DD6">
      <w:pPr>
        <w:numPr>
          <w:ilvl w:val="0"/>
          <w:numId w:val="2"/>
        </w:numPr>
        <w:ind w:right="146"/>
      </w:pPr>
      <w:r>
        <w:t>Los derechos pendientes de cobro liquidados dentro de los presupuestos de los ejercicios cuarto a quinto anterior</w:t>
      </w:r>
      <w:r>
        <w:t>es al que corresponde la liquidación, se minorarán, como mínimo, en un 75 por ciento.</w:t>
      </w:r>
      <w:r>
        <w:rPr>
          <w:rFonts w:ascii="Times New Roman" w:eastAsia="Times New Roman" w:hAnsi="Times New Roman" w:cs="Times New Roman"/>
          <w:sz w:val="24"/>
        </w:rPr>
        <w:t xml:space="preserve"> </w:t>
      </w:r>
    </w:p>
    <w:p w:rsidR="00DA121A" w:rsidRDefault="00904DD6">
      <w:pPr>
        <w:numPr>
          <w:ilvl w:val="0"/>
          <w:numId w:val="2"/>
        </w:numPr>
        <w:ind w:right="146"/>
      </w:pPr>
      <w:r>
        <w:t>Los derechos pendientes de cobro liquidados dentro de los presupuestos de los restantes ejercicios anteriores al que corresponde la liquidación, se minorarán en un 100 p</w:t>
      </w:r>
      <w:r>
        <w:t>or ciento.»</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78" w:right="146" w:firstLine="708"/>
      </w:pPr>
      <w:r>
        <w:t xml:space="preserve">Este artículo modificado del Texto Refundido de la Ley Reguladora de las Haciendas Locales, ha dado lugar a su reflejo en las Bases de Ejecución del Presupuesto General vigente. </w:t>
      </w:r>
    </w:p>
    <w:p w:rsidR="00DA121A" w:rsidRDefault="00904DD6">
      <w:pPr>
        <w:spacing w:after="0" w:line="259" w:lineRule="auto"/>
        <w:ind w:left="992" w:firstLine="0"/>
        <w:jc w:val="left"/>
      </w:pPr>
      <w:r>
        <w:t xml:space="preserve"> </w:t>
      </w:r>
    </w:p>
    <w:p w:rsidR="00DA121A" w:rsidRDefault="00904DD6">
      <w:pPr>
        <w:spacing w:line="250" w:lineRule="auto"/>
        <w:ind w:left="10" w:right="146"/>
        <w:jc w:val="right"/>
      </w:pPr>
      <w:r>
        <w:t xml:space="preserve">Así, de los datos obtenidos de ejercicios cerrados, tenemos </w:t>
      </w:r>
      <w:r>
        <w:t xml:space="preserve">detallados los importes cobrados en dichos ejercicios, la cantidad que está pendiente de cobro y el saldo de dudoso cobro, de acuerdo con los porcentajes establecidos en las Bases del Presupuesto: </w:t>
      </w:r>
    </w:p>
    <w:p w:rsidR="00DA121A" w:rsidRDefault="00904DD6">
      <w:pPr>
        <w:spacing w:after="0" w:line="259" w:lineRule="auto"/>
        <w:ind w:left="992" w:firstLine="0"/>
        <w:jc w:val="left"/>
      </w:pPr>
      <w:r>
        <w:rPr>
          <w:rFonts w:ascii="Times New Roman" w:eastAsia="Times New Roman" w:hAnsi="Times New Roman" w:cs="Times New Roman"/>
          <w:sz w:val="24"/>
        </w:rPr>
        <w:t xml:space="preserve"> </w:t>
      </w:r>
    </w:p>
    <w:tbl>
      <w:tblPr>
        <w:tblStyle w:val="TableGrid"/>
        <w:tblW w:w="9165" w:type="dxa"/>
        <w:tblInd w:w="284" w:type="dxa"/>
        <w:tblCellMar>
          <w:top w:w="4" w:type="dxa"/>
          <w:left w:w="0" w:type="dxa"/>
          <w:bottom w:w="0" w:type="dxa"/>
          <w:right w:w="59" w:type="dxa"/>
        </w:tblCellMar>
        <w:tblLook w:val="04A0" w:firstRow="1" w:lastRow="0" w:firstColumn="1" w:lastColumn="0" w:noHBand="0" w:noVBand="1"/>
      </w:tblPr>
      <w:tblGrid>
        <w:gridCol w:w="2049"/>
        <w:gridCol w:w="2257"/>
        <w:gridCol w:w="2040"/>
        <w:gridCol w:w="231"/>
        <w:gridCol w:w="2588"/>
      </w:tblGrid>
      <w:tr w:rsidR="00DA121A">
        <w:trPr>
          <w:trHeight w:val="631"/>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EJERCICIO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pPr>
            <w:r>
              <w:rPr>
                <w:b/>
                <w:sz w:val="18"/>
              </w:rPr>
              <w:t xml:space="preserve">IMPORTES COBRADOS </w:t>
            </w:r>
          </w:p>
          <w:p w:rsidR="00DA121A" w:rsidRDefault="00904DD6">
            <w:pPr>
              <w:spacing w:after="0" w:line="259" w:lineRule="auto"/>
              <w:ind w:left="108" w:firstLine="0"/>
              <w:jc w:val="left"/>
            </w:pPr>
            <w:r>
              <w:rPr>
                <w:b/>
                <w:sz w:val="18"/>
              </w:rPr>
              <w:t xml:space="preserve">2022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b/>
                <w:sz w:val="18"/>
              </w:rPr>
              <w:t xml:space="preserve">IMPORTES </w:t>
            </w:r>
          </w:p>
          <w:p w:rsidR="00DA121A" w:rsidRDefault="00904DD6">
            <w:pPr>
              <w:spacing w:after="0" w:line="259" w:lineRule="auto"/>
              <w:ind w:left="108" w:firstLine="0"/>
              <w:jc w:val="left"/>
            </w:pPr>
            <w:r>
              <w:rPr>
                <w:b/>
                <w:sz w:val="18"/>
              </w:rPr>
              <w:t xml:space="preserve">PENDIENTES </w:t>
            </w:r>
          </w:p>
          <w:p w:rsidR="00DA121A" w:rsidRDefault="00904DD6">
            <w:pPr>
              <w:spacing w:after="0" w:line="259" w:lineRule="auto"/>
              <w:ind w:left="108" w:firstLine="0"/>
              <w:jc w:val="left"/>
            </w:pPr>
            <w:r>
              <w:rPr>
                <w:b/>
                <w:sz w:val="18"/>
              </w:rPr>
              <w:t xml:space="preserve">31/12/2022 </w:t>
            </w:r>
          </w:p>
        </w:tc>
        <w:tc>
          <w:tcPr>
            <w:tcW w:w="231" w:type="dxa"/>
            <w:tcBorders>
              <w:top w:val="single" w:sz="4" w:space="0" w:color="000000"/>
              <w:left w:val="nil"/>
              <w:bottom w:val="single" w:sz="4" w:space="0" w:color="000000"/>
              <w:right w:val="single" w:sz="4" w:space="0" w:color="000000"/>
            </w:tcBorders>
            <w:vAlign w:val="center"/>
          </w:tcPr>
          <w:p w:rsidR="00DA121A" w:rsidRDefault="00904DD6">
            <w:pPr>
              <w:spacing w:after="0" w:line="259" w:lineRule="auto"/>
              <w:ind w:left="0" w:firstLine="0"/>
            </w:pPr>
            <w:r>
              <w:rPr>
                <w:b/>
                <w:sz w:val="18"/>
              </w:rPr>
              <w:t xml:space="preserve">A </w:t>
            </w:r>
          </w:p>
        </w:tc>
        <w:tc>
          <w:tcPr>
            <w:tcW w:w="25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left"/>
            </w:pPr>
            <w:r>
              <w:rPr>
                <w:b/>
                <w:sz w:val="18"/>
              </w:rPr>
              <w:t>SALDO DUDOSO COBRO</w:t>
            </w:r>
            <w:r>
              <w:rPr>
                <w:rFonts w:ascii="Times New Roman" w:eastAsia="Times New Roman" w:hAnsi="Times New Roman" w:cs="Times New Roman"/>
                <w:sz w:val="24"/>
              </w:rPr>
              <w:t xml:space="preserve"> </w:t>
            </w:r>
          </w:p>
        </w:tc>
      </w:tr>
      <w:tr w:rsidR="00DA121A">
        <w:trPr>
          <w:trHeight w:val="216"/>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2021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75.524,92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sz w:val="18"/>
              </w:rPr>
              <w:t xml:space="preserve">341.877,10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left"/>
            </w:pPr>
            <w:r>
              <w:rPr>
                <w:sz w:val="18"/>
              </w:rPr>
              <w:t>68.375,42</w:t>
            </w:r>
            <w:r>
              <w:rPr>
                <w:rFonts w:ascii="Times New Roman" w:eastAsia="Times New Roman" w:hAnsi="Times New Roman" w:cs="Times New Roman"/>
                <w:sz w:val="24"/>
              </w:rPr>
              <w:t xml:space="preserve"> </w:t>
            </w:r>
          </w:p>
        </w:tc>
      </w:tr>
      <w:tr w:rsidR="00DA121A">
        <w:trPr>
          <w:trHeight w:val="218"/>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2020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47.163,42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sz w:val="18"/>
              </w:rPr>
              <w:t xml:space="preserve">115.800,64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left"/>
            </w:pPr>
            <w:r>
              <w:rPr>
                <w:sz w:val="18"/>
              </w:rPr>
              <w:t>28.950,16</w:t>
            </w:r>
            <w:r>
              <w:rPr>
                <w:rFonts w:ascii="Times New Roman" w:eastAsia="Times New Roman" w:hAnsi="Times New Roman" w:cs="Times New Roman"/>
                <w:sz w:val="24"/>
              </w:rPr>
              <w:t xml:space="preserve"> </w:t>
            </w:r>
          </w:p>
        </w:tc>
      </w:tr>
      <w:tr w:rsidR="00DA121A">
        <w:trPr>
          <w:trHeight w:val="217"/>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2019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97.662,32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sz w:val="18"/>
              </w:rPr>
              <w:t xml:space="preserve">278.114,58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left"/>
            </w:pPr>
            <w:r>
              <w:rPr>
                <w:sz w:val="18"/>
              </w:rPr>
              <w:t>139.057,29</w:t>
            </w:r>
            <w:r>
              <w:rPr>
                <w:rFonts w:ascii="Times New Roman" w:eastAsia="Times New Roman" w:hAnsi="Times New Roman" w:cs="Times New Roman"/>
                <w:sz w:val="24"/>
              </w:rPr>
              <w:t xml:space="preserve"> </w:t>
            </w:r>
          </w:p>
        </w:tc>
      </w:tr>
      <w:tr w:rsidR="00DA121A">
        <w:trPr>
          <w:trHeight w:val="218"/>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2018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92.944,68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sz w:val="18"/>
              </w:rPr>
              <w:t xml:space="preserve">291.164,29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left"/>
            </w:pPr>
            <w:r>
              <w:rPr>
                <w:sz w:val="18"/>
              </w:rPr>
              <w:t>218.373,22</w:t>
            </w:r>
            <w:r>
              <w:rPr>
                <w:rFonts w:ascii="Times New Roman" w:eastAsia="Times New Roman" w:hAnsi="Times New Roman" w:cs="Times New Roman"/>
                <w:sz w:val="24"/>
              </w:rPr>
              <w:t xml:space="preserve"> </w:t>
            </w:r>
          </w:p>
        </w:tc>
      </w:tr>
      <w:tr w:rsidR="00DA121A">
        <w:trPr>
          <w:trHeight w:val="216"/>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2017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22.930,42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sz w:val="18"/>
              </w:rPr>
              <w:t xml:space="preserve">720.405,82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left"/>
            </w:pPr>
            <w:r>
              <w:rPr>
                <w:sz w:val="18"/>
              </w:rPr>
              <w:t>540.304,37</w:t>
            </w:r>
            <w:r>
              <w:rPr>
                <w:rFonts w:ascii="Times New Roman" w:eastAsia="Times New Roman" w:hAnsi="Times New Roman" w:cs="Times New Roman"/>
                <w:sz w:val="24"/>
              </w:rPr>
              <w:t xml:space="preserve"> </w:t>
            </w:r>
          </w:p>
        </w:tc>
      </w:tr>
      <w:tr w:rsidR="00DA121A">
        <w:trPr>
          <w:trHeight w:val="216"/>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2016-1991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sz w:val="18"/>
              </w:rPr>
              <w:t xml:space="preserve">50.071,22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sz w:val="18"/>
              </w:rPr>
              <w:t xml:space="preserve">8.515.373,89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left"/>
            </w:pPr>
            <w:r>
              <w:rPr>
                <w:sz w:val="18"/>
              </w:rPr>
              <w:t xml:space="preserve">8.515.373,89 </w:t>
            </w:r>
          </w:p>
        </w:tc>
      </w:tr>
      <w:tr w:rsidR="00DA121A">
        <w:trPr>
          <w:trHeight w:val="218"/>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TOTAL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386.296,98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b/>
                <w:sz w:val="18"/>
              </w:rPr>
              <w:t xml:space="preserve">10.262.736,32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5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left"/>
            </w:pPr>
            <w:r>
              <w:rPr>
                <w:b/>
                <w:sz w:val="18"/>
              </w:rPr>
              <w:t>9.510.434,35</w:t>
            </w:r>
            <w:r>
              <w:rPr>
                <w:rFonts w:ascii="Times New Roman" w:eastAsia="Times New Roman" w:hAnsi="Times New Roman" w:cs="Times New Roman"/>
                <w:sz w:val="24"/>
              </w:rPr>
              <w:t xml:space="preserve"> </w:t>
            </w:r>
          </w:p>
        </w:tc>
      </w:tr>
    </w:tbl>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4"/>
        <w:ind w:left="279" w:right="144"/>
      </w:pPr>
      <w:r>
        <w:rPr>
          <w:b/>
        </w:rPr>
        <w:t xml:space="preserve">5.- ORGANO COMPETENTE </w:t>
      </w:r>
    </w:p>
    <w:p w:rsidR="00DA121A" w:rsidRDefault="00904DD6">
      <w:pPr>
        <w:spacing w:after="0" w:line="259" w:lineRule="auto"/>
        <w:ind w:left="284" w:firstLine="0"/>
        <w:jc w:val="left"/>
      </w:pPr>
      <w:r>
        <w:rPr>
          <w:b/>
        </w:rPr>
        <w:t xml:space="preserve"> </w:t>
      </w:r>
    </w:p>
    <w:p w:rsidR="00DA121A" w:rsidRDefault="00904DD6">
      <w:pPr>
        <w:ind w:left="288" w:right="146"/>
      </w:pPr>
      <w:r>
        <w:rPr>
          <w:b/>
        </w:rPr>
        <w:t xml:space="preserve"> </w:t>
      </w:r>
      <w:r>
        <w:t xml:space="preserve">La competencia para la elaboración de la liquidación de los Presupuestos no está definida por la legislación citada (que utiliza expresiones tales como “se liquidará “, “se efectuará”, “deberá realizarse antes del 1 de marzo” pero en ningún caso señala el </w:t>
      </w:r>
      <w:r>
        <w:t>sujeto activo) y la aprobación de la liquidación del Presupuesto es competencia del Alcalde- Presidente, previo informe de la Intervención.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78" w:right="146" w:firstLine="708"/>
      </w:pPr>
      <w:r>
        <w:t xml:space="preserve">La liquidación aprobada ha de remitirse a la Comunidad Autónoma y al Ministerio de Economía y Hacienda, así como </w:t>
      </w:r>
      <w:r>
        <w:t>dar cuenta al Pleno.</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6.- COMPOSICIÓN  </w:t>
      </w:r>
    </w:p>
    <w:p w:rsidR="00DA121A" w:rsidRDefault="00904DD6">
      <w:pPr>
        <w:spacing w:after="0" w:line="259" w:lineRule="auto"/>
        <w:ind w:left="284" w:firstLine="0"/>
        <w:jc w:val="left"/>
      </w:pPr>
      <w:r>
        <w:rPr>
          <w:b/>
        </w:rPr>
        <w:t xml:space="preserve"> </w:t>
      </w:r>
    </w:p>
    <w:p w:rsidR="00DA121A" w:rsidRDefault="00904DD6">
      <w:pPr>
        <w:tabs>
          <w:tab w:val="center" w:pos="284"/>
          <w:tab w:val="center" w:pos="4905"/>
        </w:tabs>
        <w:ind w:left="0" w:firstLine="0"/>
        <w:jc w:val="left"/>
      </w:pPr>
      <w:r>
        <w:rPr>
          <w:rFonts w:ascii="Calibri" w:eastAsia="Calibri" w:hAnsi="Calibri" w:cs="Calibri"/>
        </w:rPr>
        <w:tab/>
      </w:r>
      <w:r>
        <w:t xml:space="preserve"> </w:t>
      </w:r>
      <w:r>
        <w:tab/>
        <w:t xml:space="preserve">El Estado de liquidación del Presupuesto, se estructura en las siguientes partes: </w:t>
      </w:r>
    </w:p>
    <w:p w:rsidR="00DA121A" w:rsidRDefault="00904DD6">
      <w:pPr>
        <w:spacing w:after="0" w:line="259" w:lineRule="auto"/>
        <w:ind w:left="284" w:firstLine="0"/>
        <w:jc w:val="left"/>
      </w:pPr>
      <w:r>
        <w:t xml:space="preserve"> </w:t>
      </w:r>
    </w:p>
    <w:p w:rsidR="00DA121A" w:rsidRDefault="00904DD6">
      <w:pPr>
        <w:ind w:left="288" w:right="146"/>
      </w:pPr>
      <w:r>
        <w:t xml:space="preserve">PRIMERA: La liquidación del Presupuestos de Gastos, presenta la siguiente información:  </w:t>
      </w:r>
    </w:p>
    <w:p w:rsidR="00DA121A" w:rsidRDefault="00904DD6">
      <w:pPr>
        <w:ind w:left="288" w:right="146"/>
      </w:pPr>
      <w:r>
        <w:t>1.- Liquidación del Estado de Gas</w:t>
      </w:r>
      <w:r>
        <w:t xml:space="preserve">tos </w:t>
      </w:r>
    </w:p>
    <w:p w:rsidR="00DA121A" w:rsidRDefault="00904DD6">
      <w:pPr>
        <w:ind w:left="288" w:right="146"/>
      </w:pPr>
      <w:r>
        <w:t xml:space="preserve">2.- Desarrollo de los pagos presupuestos </w:t>
      </w:r>
    </w:p>
    <w:p w:rsidR="00DA121A" w:rsidRDefault="00904DD6">
      <w:pPr>
        <w:spacing w:after="0" w:line="259" w:lineRule="auto"/>
        <w:ind w:left="284" w:firstLine="0"/>
        <w:jc w:val="left"/>
      </w:pPr>
      <w:r>
        <w:t xml:space="preserve"> </w:t>
      </w:r>
    </w:p>
    <w:p w:rsidR="00DA121A" w:rsidRDefault="00904DD6">
      <w:pPr>
        <w:ind w:left="654" w:right="146"/>
      </w:pPr>
      <w:r>
        <w:t xml:space="preserve">SEGUNDA: Liquidación del Presupuesto de Ingresos, que recoge: </w:t>
      </w:r>
    </w:p>
    <w:p w:rsidR="00DA121A" w:rsidRDefault="00904DD6">
      <w:pPr>
        <w:ind w:left="288" w:right="146"/>
      </w:pPr>
      <w:r>
        <w:t xml:space="preserve">1.- Liquidación del estado de ingresos </w:t>
      </w:r>
    </w:p>
    <w:p w:rsidR="00DA121A" w:rsidRDefault="00904DD6">
      <w:pPr>
        <w:ind w:left="288" w:right="146"/>
      </w:pPr>
      <w:r>
        <w:t xml:space="preserve">2.- Desarrollo de los compromisos de ingresos </w:t>
      </w:r>
    </w:p>
    <w:p w:rsidR="00DA121A" w:rsidRDefault="00904DD6">
      <w:pPr>
        <w:ind w:left="288" w:right="146"/>
      </w:pPr>
      <w:r>
        <w:t xml:space="preserve">3.- Desarrollo del proceso de gestión  </w:t>
      </w:r>
    </w:p>
    <w:p w:rsidR="00DA121A" w:rsidRDefault="00904DD6">
      <w:pPr>
        <w:ind w:left="288" w:right="146"/>
      </w:pPr>
      <w:r>
        <w:t>4.- Desarrollo de</w:t>
      </w:r>
      <w:r>
        <w:t xml:space="preserve">l reconocimiento y pago de las devoluciones de ingresos presupuestarios </w:t>
      </w:r>
    </w:p>
    <w:p w:rsidR="00DA121A" w:rsidRDefault="00904DD6">
      <w:pPr>
        <w:spacing w:after="0" w:line="259" w:lineRule="auto"/>
        <w:ind w:left="284" w:firstLine="0"/>
        <w:jc w:val="left"/>
      </w:pPr>
      <w:r>
        <w:t xml:space="preserve"> </w:t>
      </w:r>
    </w:p>
    <w:p w:rsidR="00DA121A" w:rsidRDefault="00904DD6">
      <w:pPr>
        <w:ind w:left="654" w:right="146"/>
      </w:pPr>
      <w:r>
        <w:t>TERCERA: El Resultado Presupuestario obtenido en el ejercicio.</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7.- INFORME</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w:t>
      </w:r>
      <w:r>
        <w:t xml:space="preserve">El objeto de la Liquidación del Presupuesto es, en síntesis, obtener un análisis del grado de realización del presupuesto, por comparación entre los créditos asignados y los realmente gastados y los ingresos previstos y los realizados.  </w:t>
      </w:r>
    </w:p>
    <w:p w:rsidR="00DA121A" w:rsidRDefault="00904DD6">
      <w:pPr>
        <w:spacing w:after="0" w:line="259" w:lineRule="auto"/>
        <w:ind w:left="992" w:firstLine="0"/>
        <w:jc w:val="left"/>
      </w:pPr>
      <w:r>
        <w:t xml:space="preserve"> </w:t>
      </w:r>
    </w:p>
    <w:p w:rsidR="00DA121A" w:rsidRDefault="00904DD6">
      <w:pPr>
        <w:ind w:left="1002" w:right="146"/>
      </w:pPr>
      <w:r>
        <w:t>Nos da una estim</w:t>
      </w:r>
      <w:r>
        <w:t xml:space="preserve">ación cifrada del resultado de la gestión económica del Ayuntamiento. </w:t>
      </w:r>
    </w:p>
    <w:p w:rsidR="00DA121A" w:rsidRDefault="00904DD6">
      <w:pPr>
        <w:spacing w:after="0" w:line="259" w:lineRule="auto"/>
        <w:ind w:left="992" w:firstLine="0"/>
        <w:jc w:val="left"/>
      </w:pPr>
      <w:r>
        <w:t xml:space="preserve"> </w:t>
      </w:r>
    </w:p>
    <w:p w:rsidR="00DA121A" w:rsidRDefault="00904DD6">
      <w:pPr>
        <w:ind w:left="278" w:right="146" w:firstLine="708"/>
      </w:pPr>
      <w:r>
        <w:t xml:space="preserve"> En virtud del principio de anualidad en la ejecución del gasto al final de cada ejercicio económico es necesario cerrar definitivamente las operaciones en que dicha ejecución consist</w:t>
      </w:r>
      <w:r>
        <w:t xml:space="preserve">e, con lo cual puede obtenerse el resultado económico del ejercicio, el Balance de Situación que refleje la estructura patrimonial de la Entidad y unas magnitudes presupuestarias básicas para la medición del saneamiento financiero de la Entidad. </w:t>
      </w:r>
    </w:p>
    <w:p w:rsidR="00DA121A" w:rsidRDefault="00904DD6">
      <w:pPr>
        <w:spacing w:after="0" w:line="259" w:lineRule="auto"/>
        <w:ind w:left="284" w:firstLine="0"/>
        <w:jc w:val="left"/>
      </w:pPr>
      <w:r>
        <w:t xml:space="preserve"> </w:t>
      </w:r>
    </w:p>
    <w:p w:rsidR="00DA121A" w:rsidRDefault="00904DD6">
      <w:pPr>
        <w:tabs>
          <w:tab w:val="center" w:pos="284"/>
          <w:tab w:val="center" w:pos="4839"/>
        </w:tabs>
        <w:ind w:left="0" w:firstLine="0"/>
        <w:jc w:val="left"/>
      </w:pPr>
      <w:r>
        <w:rPr>
          <w:rFonts w:ascii="Calibri" w:eastAsia="Calibri" w:hAnsi="Calibri" w:cs="Calibri"/>
        </w:rPr>
        <w:tab/>
      </w:r>
      <w:r>
        <w:t xml:space="preserve"> </w:t>
      </w:r>
      <w:r>
        <w:tab/>
        <w:t>Como</w:t>
      </w:r>
      <w:r>
        <w:t xml:space="preserve"> consecuencia de la Liquidación del Presupuesto, deberán determinarse: </w:t>
      </w:r>
    </w:p>
    <w:p w:rsidR="00DA121A" w:rsidRDefault="00904DD6">
      <w:pPr>
        <w:spacing w:after="0" w:line="259" w:lineRule="auto"/>
        <w:ind w:left="284" w:firstLine="0"/>
        <w:jc w:val="left"/>
      </w:pPr>
      <w:r>
        <w:t xml:space="preserve"> </w:t>
      </w:r>
    </w:p>
    <w:p w:rsidR="00DA121A" w:rsidRDefault="00904DD6">
      <w:pPr>
        <w:numPr>
          <w:ilvl w:val="0"/>
          <w:numId w:val="3"/>
        </w:numPr>
        <w:ind w:right="146" w:hanging="360"/>
      </w:pPr>
      <w:r>
        <w:t>los derechos pendientes de cobro (por diferencia entre los derechos reconocidos netos menos los cobros realizados) y las obligaciones pendientes de pago (por diferencia entre las obl</w:t>
      </w:r>
      <w:r>
        <w:t xml:space="preserve">igaciones reconocidas netas menos los pagos realizados) a 31 de diciembre, que a partir del 1 de enero del ejercicio siguiente integran la agrupación de presupuestos cerrados y tendrán la consideración de operaciones de tesorería. </w:t>
      </w:r>
    </w:p>
    <w:p w:rsidR="00DA121A" w:rsidRDefault="00904DD6">
      <w:pPr>
        <w:numPr>
          <w:ilvl w:val="0"/>
          <w:numId w:val="3"/>
        </w:numPr>
        <w:ind w:right="146" w:hanging="360"/>
      </w:pPr>
      <w:r>
        <w:t>El resultado presupuesta</w:t>
      </w:r>
      <w:r>
        <w:t xml:space="preserve">rio del ejercicio. </w:t>
      </w:r>
    </w:p>
    <w:p w:rsidR="00DA121A" w:rsidRDefault="00904DD6">
      <w:pPr>
        <w:numPr>
          <w:ilvl w:val="0"/>
          <w:numId w:val="3"/>
        </w:numPr>
        <w:ind w:right="146" w:hanging="360"/>
      </w:pPr>
      <w:r>
        <w:t xml:space="preserve">Los remanentes de crédito. </w:t>
      </w:r>
    </w:p>
    <w:p w:rsidR="00DA121A" w:rsidRDefault="00904DD6">
      <w:pPr>
        <w:numPr>
          <w:ilvl w:val="0"/>
          <w:numId w:val="3"/>
        </w:numPr>
        <w:ind w:right="146" w:hanging="360"/>
      </w:pPr>
      <w:r>
        <w:t xml:space="preserve">El remanente de tesorería. </w:t>
      </w:r>
    </w:p>
    <w:p w:rsidR="00DA121A" w:rsidRDefault="00904DD6">
      <w:pPr>
        <w:spacing w:after="98" w:line="259" w:lineRule="auto"/>
        <w:ind w:left="567" w:firstLine="0"/>
        <w:jc w:val="left"/>
      </w:pPr>
      <w:r>
        <w:t xml:space="preserve"> </w:t>
      </w:r>
    </w:p>
    <w:p w:rsidR="00DA121A" w:rsidRDefault="00904DD6">
      <w:pPr>
        <w:spacing w:after="111"/>
        <w:ind w:left="567" w:right="146" w:firstLine="180"/>
      </w:pPr>
      <w:r>
        <w:t xml:space="preserve">Los datos oficiales de la Liquidación del Presupuesto reflejan un buen comportamiento de las variables económico financieras en el ejercicio 2022. </w:t>
      </w:r>
    </w:p>
    <w:p w:rsidR="00DA121A" w:rsidRDefault="00904DD6">
      <w:pPr>
        <w:spacing w:after="98" w:line="259" w:lineRule="auto"/>
        <w:ind w:left="284" w:firstLine="0"/>
        <w:jc w:val="left"/>
      </w:pPr>
      <w:r>
        <w:t xml:space="preserve"> </w:t>
      </w:r>
    </w:p>
    <w:p w:rsidR="00DA121A" w:rsidRDefault="00904DD6">
      <w:pPr>
        <w:ind w:left="278" w:right="146" w:firstLine="360"/>
      </w:pPr>
      <w:r>
        <w:t xml:space="preserve">En el </w:t>
      </w:r>
      <w:r>
        <w:rPr>
          <w:b/>
          <w:i/>
        </w:rPr>
        <w:t>Resultado Presupuestario</w:t>
      </w:r>
      <w:r>
        <w:t>, que se determina por la diferencia entre los derechos liquidados y las obligaciones presupuestarias reconocidas, ambos en términos netos, revela en qué medida los ingresos reconocidos en el ejercicio corriente han sido suficientes</w:t>
      </w:r>
      <w:r>
        <w:t xml:space="preserve"> o no para financiar los gastos realizados con cargo a los mismos, es decir, recoge el superávit (o exceso de recursos que incrementará el Remanente de Tesorería) o déficit (que dará lugar a un Remanente de Tesorería negativo a compensar de acuerdo con lo </w:t>
      </w:r>
      <w:r>
        <w:t xml:space="preserve">previsto en el artículo 193 del TRLRHL) obtenido en el ejercicio por operaciones derivadas de la ejecución del presupuesto y que </w:t>
      </w:r>
      <w:r>
        <w:rPr>
          <w:b/>
        </w:rPr>
        <w:t>nos va a decir si hay capacidad o necesidad de financiación</w:t>
      </w:r>
      <w:r>
        <w:t xml:space="preserve">. </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ind w:left="278" w:right="146" w:firstLine="360"/>
      </w:pPr>
      <w:r>
        <w:t>En dicha magnitud, deberán realizarse una serie de ajustes rec</w:t>
      </w:r>
      <w:r>
        <w:t>ogidos en el artículo 97 del Real Decreto 500/90, de 20 de abril y Regla 347 de la Instrucción de Contabilidad, motivada por la existencia de desviaciones de financiación imputables en el ejercicio, bien por un exceso de recursos afectados contabilizados e</w:t>
      </w:r>
      <w:r>
        <w:t>n el propio ejercicio, pero que financieramente, amparan obligaciones no reconocidas en el ejercicio corriente, sino otras que se han realizados en ejercicios anteriores o que se devengarán con cargo a presupuestos de ejercicios posteriores, es decir, gast</w:t>
      </w:r>
      <w:r>
        <w:t>os realizados en el ejercicio financiados con ingresos liquidados en ejercicios distintos (desviaciones de financiación de gastos con financiación afectada positivas), bien un déficit de financiación en el año que o bien ha sido compensado en ejercicios an</w:t>
      </w:r>
      <w:r>
        <w:t xml:space="preserve">teriores o bien se solventará en ejercicios posteriores, es decir, ingresos realizados en el ejercicio que financia gastos de otros ejercicios (desviaciones de financiación de gastos con financiación afectada negativas). En definitiva, se trata de recoger </w:t>
      </w:r>
      <w:r>
        <w:t xml:space="preserve">los gastos e ingresos que se corresponden con el ejercicio sin usar financiación de años anteriores. </w:t>
      </w:r>
    </w:p>
    <w:p w:rsidR="00DA121A" w:rsidRDefault="00904DD6">
      <w:pPr>
        <w:spacing w:after="0" w:line="259" w:lineRule="auto"/>
        <w:ind w:left="644" w:firstLine="0"/>
        <w:jc w:val="left"/>
      </w:pPr>
      <w:r>
        <w:t xml:space="preserve"> </w:t>
      </w:r>
    </w:p>
    <w:p w:rsidR="00DA121A" w:rsidRDefault="00904DD6">
      <w:pPr>
        <w:ind w:left="654" w:right="146"/>
      </w:pPr>
      <w:r>
        <w:t xml:space="preserve">Pues bien, este Resultado Presupuestario sin ajustar es positivo en 5.431.046,79 Euros, frente </w:t>
      </w:r>
    </w:p>
    <w:p w:rsidR="00DA121A" w:rsidRDefault="00904DD6">
      <w:pPr>
        <w:ind w:left="288" w:right="146"/>
      </w:pPr>
      <w:r>
        <w:t>al resultado también positivo en 4.564.829,93 Euros obte</w:t>
      </w:r>
      <w:r>
        <w:t>nido en el año 2021, mientras que el Resultado Presupuestario ajustado asciende a un importe positivo de más de 4.928.366,38</w:t>
      </w:r>
      <w:r>
        <w:rPr>
          <w:b/>
        </w:rPr>
        <w:t xml:space="preserve"> </w:t>
      </w:r>
      <w:r>
        <w:t>Euros (frente al resultado también positivo de 4.102.775,84</w:t>
      </w:r>
      <w:r>
        <w:rPr>
          <w:b/>
        </w:rPr>
        <w:t xml:space="preserve"> </w:t>
      </w:r>
      <w:r>
        <w:t xml:space="preserve">Euros, obtenido en el ejercicio precedente), lo cual implica que se ha </w:t>
      </w:r>
      <w:r>
        <w:t xml:space="preserve">gastado menos que lo ingresado, y que tras los ajustes realizados para eliminar los gastos e ingresos que han tenido una financiación específica, han motivado un superávit que ha determinado que haya una </w:t>
      </w:r>
      <w:r>
        <w:rPr>
          <w:b/>
        </w:rPr>
        <w:t>capacidad de financiación</w:t>
      </w:r>
      <w:r>
        <w:t xml:space="preserve"> en el propio ejercicio.</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ind w:left="278" w:right="146" w:firstLine="360"/>
      </w:pPr>
      <w:r>
        <w:t>Destacar en este ejercicio, al igual que en los ejercicios anteriores, del ajuste realizado, por importe de 756.551,73 Euros (frente a los 106.807,44 Euros del año anterior), en concepto de Créditos Gastados financiados con Remanente de Tesorería para Gas</w:t>
      </w:r>
      <w:r>
        <w:t>tos Generales, es decir, gastos realizados en el año 2022, mediante el uso del Remanente de Tesorería, tramitado a través de créditos extraordinarios y suplementos de crédito. Es un ajuste positivo, ya que se ha generado gastos a través de esta fuente de f</w:t>
      </w:r>
      <w:r>
        <w:t>inanciación, que no genera derechos liquidados.</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ind w:left="278" w:right="146" w:firstLine="360"/>
      </w:pPr>
      <w:r>
        <w:t>Otros ajustes son los relativos a las Desviaciones de Financiación positivas y negativas, por un importe, respectivamente, de 4.097.655,54 Euros y 2.838.423,40 Euros. Las primeras inciden negativamente sob</w:t>
      </w:r>
      <w:r>
        <w:t>re el Resultado Presupuestario y se refieren a que lo ingresos liquidados han tenido un ritmo de ejecución superior a los gastos que financian esos ingresos. Como ejemplos tenemos las subvenciones del Cabildo Insular de Tenerife para el proyecto Fase I Imp</w:t>
      </w:r>
      <w:r>
        <w:t xml:space="preserve">ulsión Ebar Punta Larga a San Blas, por importe de 1.900.321,72 Euros y del Servicio Canario de Empleo para financiar proyectos de empleo (Pfae, Pees, Pld,..), por importe de 1.070.199,10 Euros. </w:t>
      </w:r>
    </w:p>
    <w:p w:rsidR="00DA121A" w:rsidRDefault="00904DD6">
      <w:pPr>
        <w:spacing w:after="0" w:line="259" w:lineRule="auto"/>
        <w:ind w:left="644" w:firstLine="0"/>
        <w:jc w:val="left"/>
      </w:pPr>
      <w:r>
        <w:t xml:space="preserve"> </w:t>
      </w:r>
    </w:p>
    <w:p w:rsidR="00DA121A" w:rsidRDefault="00904DD6">
      <w:pPr>
        <w:ind w:left="278" w:right="146" w:firstLine="360"/>
      </w:pPr>
      <w:r>
        <w:t>Por el contrario, en las Desviaciones negativas, los gasto</w:t>
      </w:r>
      <w:r>
        <w:t>s liquidados han tenido un ritmo de ejecución superior a los ingresos liquidados que han financiado con subvenciones los citados gastos (destaca la subvención del Gobierno de Canarias para el comedor de punta larga por importe de 229.545,65 Euros; subvenci</w:t>
      </w:r>
      <w:r>
        <w:t xml:space="preserve">ones del Servicio Canario de Empleo, por importe de 1.154.480,33 Euros o la ejecución del Depósito de Agua de Igueste, financiado a través de un préstamo y una subvención del Cabildo Insular, por importe de 876.707,61 Euros. </w:t>
      </w:r>
    </w:p>
    <w:p w:rsidR="00DA121A" w:rsidRDefault="00904DD6">
      <w:pPr>
        <w:spacing w:after="0" w:line="259" w:lineRule="auto"/>
        <w:ind w:left="644" w:firstLine="0"/>
        <w:jc w:val="left"/>
      </w:pPr>
      <w:r>
        <w:t xml:space="preserve"> </w:t>
      </w:r>
    </w:p>
    <w:p w:rsidR="00DA121A" w:rsidRDefault="00904DD6">
      <w:pPr>
        <w:ind w:left="278" w:right="146" w:firstLine="360"/>
      </w:pPr>
      <w:r>
        <w:t>Por tanto, en el ejercicio 2022, el Ayuntamiento de Candelaria ha generado recursos suficientes para hacer frente a los gastos del presente ejercicio, ya que aproximadamente, los ingresos subieron en un 17 % y los gastos cayeron en un 12 % y que ha sido mo</w:t>
      </w:r>
      <w:r>
        <w:t xml:space="preserve">tivado por: </w:t>
      </w:r>
    </w:p>
    <w:p w:rsidR="00DA121A" w:rsidRDefault="00904DD6">
      <w:pPr>
        <w:spacing w:after="0" w:line="259" w:lineRule="auto"/>
        <w:ind w:left="644" w:firstLine="0"/>
        <w:jc w:val="left"/>
      </w:pPr>
      <w:r>
        <w:t xml:space="preserve"> </w:t>
      </w:r>
    </w:p>
    <w:p w:rsidR="00DA121A" w:rsidRDefault="00904DD6">
      <w:pPr>
        <w:ind w:left="654" w:right="146"/>
      </w:pPr>
      <w:r>
        <w:t xml:space="preserve">A) En materia de Gastos: </w:t>
      </w:r>
    </w:p>
    <w:p w:rsidR="00DA121A" w:rsidRDefault="00904DD6">
      <w:pPr>
        <w:spacing w:after="0" w:line="259" w:lineRule="auto"/>
        <w:ind w:left="644" w:firstLine="0"/>
        <w:jc w:val="left"/>
      </w:pPr>
      <w:r>
        <w:t xml:space="preserve"> </w:t>
      </w:r>
    </w:p>
    <w:p w:rsidR="00DA121A" w:rsidRDefault="00904DD6">
      <w:pPr>
        <w:spacing w:after="0" w:line="259" w:lineRule="auto"/>
        <w:ind w:left="644" w:firstLine="0"/>
        <w:jc w:val="left"/>
      </w:pPr>
      <w:r>
        <w:t xml:space="preserve"> </w:t>
      </w:r>
    </w:p>
    <w:p w:rsidR="00DA121A" w:rsidRDefault="00904DD6">
      <w:pPr>
        <w:numPr>
          <w:ilvl w:val="0"/>
          <w:numId w:val="4"/>
        </w:numPr>
        <w:ind w:right="146" w:hanging="360"/>
      </w:pPr>
      <w:r>
        <w:t>Caída de un 54 % las inversiones reales, aproximadamente, dos millones de euros. Hay que señalar que en 2020, se efectuó la compra de la parcela UA-CO, denominada Empaquetadora de D. Sixto, por importe de 2.270.</w:t>
      </w:r>
      <w:r>
        <w:t xml:space="preserve">150,00 Euros. </w:t>
      </w:r>
    </w:p>
    <w:p w:rsidR="00DA121A" w:rsidRDefault="00904DD6">
      <w:pPr>
        <w:spacing w:after="0" w:line="259" w:lineRule="auto"/>
        <w:ind w:left="1004" w:firstLine="0"/>
        <w:jc w:val="left"/>
      </w:pPr>
      <w:r>
        <w:t xml:space="preserve"> </w:t>
      </w:r>
    </w:p>
    <w:p w:rsidR="00DA121A" w:rsidRDefault="00904DD6">
      <w:pPr>
        <w:numPr>
          <w:ilvl w:val="0"/>
          <w:numId w:val="4"/>
        </w:numPr>
        <w:ind w:right="146" w:hanging="360"/>
      </w:pPr>
      <w:r>
        <w:t xml:space="preserve">Aumento en un 14,9 % los gastos en bienes corrientes y de servicios, esto es, una subida de alrededor de un millón doscientos cincuenta mil euros. </w:t>
      </w:r>
    </w:p>
    <w:p w:rsidR="00DA121A" w:rsidRDefault="00904DD6">
      <w:pPr>
        <w:spacing w:after="0" w:line="259" w:lineRule="auto"/>
        <w:ind w:left="1004" w:firstLine="0"/>
        <w:jc w:val="left"/>
      </w:pPr>
      <w:r>
        <w:t xml:space="preserve"> </w:t>
      </w:r>
    </w:p>
    <w:p w:rsidR="00DA121A" w:rsidRDefault="00904DD6">
      <w:pPr>
        <w:numPr>
          <w:ilvl w:val="0"/>
          <w:numId w:val="4"/>
        </w:numPr>
        <w:ind w:right="146" w:hanging="360"/>
      </w:pPr>
      <w:r>
        <w:t>Descenso de un 88,10 % del capítulo de gastos financieros (casi unos trescientos mil euro</w:t>
      </w:r>
      <w:r>
        <w:t xml:space="preserve">s). </w:t>
      </w:r>
    </w:p>
    <w:p w:rsidR="00DA121A" w:rsidRDefault="00904DD6">
      <w:pPr>
        <w:spacing w:after="0" w:line="259" w:lineRule="auto"/>
        <w:ind w:left="1004" w:firstLine="0"/>
        <w:jc w:val="left"/>
      </w:pPr>
      <w:r>
        <w:t xml:space="preserve"> </w:t>
      </w:r>
    </w:p>
    <w:p w:rsidR="00DA121A" w:rsidRDefault="00904DD6">
      <w:pPr>
        <w:spacing w:after="0" w:line="259" w:lineRule="auto"/>
        <w:ind w:left="284" w:firstLine="0"/>
        <w:jc w:val="left"/>
      </w:pPr>
      <w:r>
        <w:t xml:space="preserve"> </w:t>
      </w:r>
    </w:p>
    <w:p w:rsidR="00DA121A" w:rsidRDefault="00904DD6">
      <w:pPr>
        <w:ind w:left="654" w:right="146"/>
      </w:pPr>
      <w:r>
        <w:t xml:space="preserve">B) En materia de Ingresos: </w:t>
      </w:r>
    </w:p>
    <w:p w:rsidR="00DA121A" w:rsidRDefault="00904DD6">
      <w:pPr>
        <w:spacing w:after="0" w:line="259" w:lineRule="auto"/>
        <w:ind w:left="284" w:firstLine="0"/>
        <w:jc w:val="left"/>
      </w:pPr>
      <w:r>
        <w:t xml:space="preserve"> </w:t>
      </w:r>
    </w:p>
    <w:p w:rsidR="00DA121A" w:rsidRDefault="00904DD6">
      <w:pPr>
        <w:numPr>
          <w:ilvl w:val="0"/>
          <w:numId w:val="5"/>
        </w:numPr>
        <w:ind w:right="146" w:hanging="360"/>
      </w:pPr>
      <w:r>
        <w:t xml:space="preserve">Subida de un 37,40 %, un millón doscientos mil euros, aproximadamente, el capítulo de impuestos indirectos, que recoge el impuesto de construcciones y las aportaciones del REF (impuesto matriculación, IGIC y Aiem). </w:t>
      </w:r>
    </w:p>
    <w:p w:rsidR="00DA121A" w:rsidRDefault="00904DD6">
      <w:pPr>
        <w:spacing w:after="0" w:line="259" w:lineRule="auto"/>
        <w:ind w:left="284" w:firstLine="0"/>
        <w:jc w:val="left"/>
      </w:pPr>
      <w:r>
        <w:t xml:space="preserve"> </w:t>
      </w:r>
    </w:p>
    <w:p w:rsidR="00DA121A" w:rsidRDefault="00904DD6">
      <w:pPr>
        <w:numPr>
          <w:ilvl w:val="0"/>
          <w:numId w:val="5"/>
        </w:numPr>
        <w:ind w:right="146" w:hanging="360"/>
      </w:pPr>
      <w:r>
        <w:t xml:space="preserve">Sube un 20 % los ingresos por transferencias corrientes, tanto de la Administración del Estado a través de la Participación de los Tributos del Estado (unos trescientos mil euros); </w:t>
      </w:r>
    </w:p>
    <w:p w:rsidR="00DA121A" w:rsidRDefault="00904DD6">
      <w:pPr>
        <w:ind w:left="1014" w:right="146"/>
      </w:pPr>
      <w:r>
        <w:t xml:space="preserve">Gobierno de la Comunidad Autónoma (un millón de euros, principalmente a través Servicio Canario de Empleo) y Cabildo Insular (quinientos mil euros a través de proyectos de empleo y para paliar situaciones de vulnerabilidad). </w:t>
      </w:r>
    </w:p>
    <w:p w:rsidR="00DA121A" w:rsidRDefault="00904DD6">
      <w:pPr>
        <w:spacing w:after="0" w:line="259" w:lineRule="auto"/>
        <w:ind w:left="1004" w:firstLine="0"/>
        <w:jc w:val="left"/>
      </w:pPr>
      <w:r>
        <w:t xml:space="preserve"> </w:t>
      </w:r>
    </w:p>
    <w:p w:rsidR="00DA121A" w:rsidRDefault="00904DD6">
      <w:pPr>
        <w:numPr>
          <w:ilvl w:val="0"/>
          <w:numId w:val="5"/>
        </w:numPr>
        <w:ind w:right="146" w:hanging="360"/>
      </w:pPr>
      <w:r>
        <w:t>Aumentan los ingresos por tr</w:t>
      </w:r>
      <w:r>
        <w:t xml:space="preserve">ansferencias de capital un 84 % (un millón de euros), por subvenciones del Cabildo para el paseo de san blas y la Comunidad Autónoma para comedor escolar en colegio Punta Larga. </w:t>
      </w:r>
    </w:p>
    <w:p w:rsidR="00DA121A" w:rsidRDefault="00904DD6">
      <w:pPr>
        <w:spacing w:after="0" w:line="259" w:lineRule="auto"/>
        <w:ind w:left="284" w:firstLine="0"/>
        <w:jc w:val="left"/>
      </w:pPr>
      <w:r>
        <w:t xml:space="preserve"> </w:t>
      </w:r>
    </w:p>
    <w:p w:rsidR="00DA121A" w:rsidRDefault="00904DD6">
      <w:pPr>
        <w:numPr>
          <w:ilvl w:val="0"/>
          <w:numId w:val="5"/>
        </w:numPr>
        <w:ind w:right="146" w:hanging="360"/>
      </w:pPr>
      <w:r>
        <w:t>Suben las tasas un 15 %, por la mayor recaudación en servicios de enseñanza</w:t>
      </w:r>
      <w:r>
        <w:t xml:space="preserve">, multas por infracción de tráfico y de empresas que explotan servicios de suministros, por utilización privativa del dominio público. </w:t>
      </w:r>
    </w:p>
    <w:p w:rsidR="00DA121A" w:rsidRDefault="00904DD6">
      <w:pPr>
        <w:spacing w:after="0" w:line="259" w:lineRule="auto"/>
        <w:ind w:left="284" w:firstLine="0"/>
        <w:jc w:val="left"/>
      </w:pPr>
      <w:r>
        <w:t xml:space="preserve"> </w:t>
      </w:r>
    </w:p>
    <w:p w:rsidR="00DA121A" w:rsidRDefault="00904DD6">
      <w:pPr>
        <w:ind w:left="288" w:right="146"/>
      </w:pPr>
      <w:r>
        <w:t xml:space="preserve">        Lo anterior ha supuesto un superávit, sin ajustar, que asciende a 5.431.046,79 Euros, frente al resultado tamb</w:t>
      </w:r>
      <w:r>
        <w:t>ién positivo en 4.564.829,93 Euros de superávitit del año anterior, experimentando, por tanto, un crecimiento de 866.216,86 Euros, respecto al resultado presupuestario sin ajustar del ejercicio anterior.</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78" w:right="146" w:firstLine="360"/>
      </w:pPr>
      <w:r>
        <w:t xml:space="preserve">Asimismo, el </w:t>
      </w:r>
      <w:r>
        <w:rPr>
          <w:b/>
          <w:i/>
        </w:rPr>
        <w:t>Remanente de Tesorería</w:t>
      </w:r>
      <w:r>
        <w:t xml:space="preserve">, </w:t>
      </w:r>
      <w:r>
        <w:rPr>
          <w:b/>
        </w:rPr>
        <w:t>que es el in</w:t>
      </w:r>
      <w:r>
        <w:rPr>
          <w:b/>
        </w:rPr>
        <w:t>dicador que mide la buena o mala salud de la economía del Ayuntamiento</w:t>
      </w:r>
      <w:r>
        <w:t xml:space="preserve">, </w:t>
      </w:r>
      <w:r>
        <w:rPr>
          <w:b/>
        </w:rPr>
        <w:t>representa la posición de liquidez o iliquidez de un Ayuntamiento o posición financiera a corto plazo</w:t>
      </w:r>
      <w:r>
        <w:t>, bajo la hipótesis que a 31 de diciembre, se recaudan todos los derechos liquidado</w:t>
      </w:r>
      <w:r>
        <w:t>s pendientes de cobrar y se pagan todos los gastos realizados pendientes de pago, ha sido positivo en 23.408.195,38 Euros (frente a los 18.482.024,15 Euros obtenidos en la Liquidación del ejercicio 2021), generando una subida de 4.926.171,23 Euros, respect</w:t>
      </w:r>
      <w:r>
        <w:t xml:space="preserve">o al remanente de tesorería obtenido de la liquidación anterior. </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ind w:left="278" w:right="146" w:firstLine="360"/>
      </w:pPr>
      <w:r>
        <w:t>A través de esta magnitud, se observa que los derechos pendientes de cobro, una vez descontados los saldos de dudoso cobro de esos derechos, es inferior en 3.482.587,45 Euros a las obliga</w:t>
      </w:r>
      <w:r>
        <w:t xml:space="preserve">ciones pendientes de pago (en el ejercicio 2021, fue inferior en 2.005.024,76 Euros). No obstante, dado que los fondos líquidos importan la cantidad de 32.201.485,66 Euros (en 2021, se elevó a 25.414.379,05 Euros), más dichos derechos pendientes de cobro, </w:t>
      </w:r>
      <w:r>
        <w:t>permiten hacer frente a los 5.006.376,15 Euros de las obligaciones pendientes de pago y los 5.172.966,37 Euros de gastos de excesos de financiación afectada, que hay que ejecutar en los próximos ejercicios, ya que los ingresos vinculados a esos gastos afec</w:t>
      </w:r>
      <w:r>
        <w:t xml:space="preserve">tados ya se han obtenido. </w:t>
      </w:r>
    </w:p>
    <w:p w:rsidR="00DA121A" w:rsidRDefault="00904DD6">
      <w:pPr>
        <w:spacing w:after="0" w:line="259" w:lineRule="auto"/>
        <w:ind w:left="644" w:firstLine="0"/>
        <w:jc w:val="left"/>
      </w:pPr>
      <w:r>
        <w:t xml:space="preserve"> </w:t>
      </w:r>
    </w:p>
    <w:p w:rsidR="00DA121A" w:rsidRDefault="00904DD6">
      <w:pPr>
        <w:ind w:left="278" w:right="146" w:firstLine="360"/>
      </w:pPr>
      <w:r>
        <w:t xml:space="preserve">Esta </w:t>
      </w:r>
      <w:r>
        <w:rPr>
          <w:b/>
        </w:rPr>
        <w:t>situación de liquidez</w:t>
      </w:r>
      <w:r>
        <w:t xml:space="preserve"> obtenida en la liquidación de este ejercicio 2022, va a permitir al Ayuntamiento generar efectivo suficiente para hacer frente a todas las obligaciones de pago que vencerán en los ejercicios siguiente</w:t>
      </w:r>
      <w:r>
        <w:t>s plasmados en dicha magnitud, y que viene motivado por:</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numPr>
          <w:ilvl w:val="0"/>
          <w:numId w:val="6"/>
        </w:numPr>
        <w:ind w:right="146" w:hanging="360"/>
      </w:pPr>
      <w:r>
        <w:t xml:space="preserve">Caída de los derechos pendientes de cobro, un 1,5 %. </w:t>
      </w:r>
    </w:p>
    <w:p w:rsidR="00DA121A" w:rsidRDefault="00904DD6">
      <w:pPr>
        <w:spacing w:after="0" w:line="259" w:lineRule="auto"/>
        <w:ind w:left="1004" w:firstLine="0"/>
        <w:jc w:val="left"/>
      </w:pPr>
      <w:r>
        <w:t xml:space="preserve"> </w:t>
      </w:r>
    </w:p>
    <w:p w:rsidR="00DA121A" w:rsidRDefault="00904DD6">
      <w:pPr>
        <w:numPr>
          <w:ilvl w:val="0"/>
          <w:numId w:val="6"/>
        </w:numPr>
        <w:ind w:right="146" w:hanging="360"/>
      </w:pPr>
      <w:r>
        <w:t xml:space="preserve">Subida de un 31,3 % de las obligaciones pendientes de pago. </w:t>
      </w:r>
    </w:p>
    <w:p w:rsidR="00DA121A" w:rsidRDefault="00904DD6">
      <w:pPr>
        <w:spacing w:after="0" w:line="259" w:lineRule="auto"/>
        <w:ind w:left="284" w:firstLine="0"/>
        <w:jc w:val="left"/>
      </w:pPr>
      <w:r>
        <w:t xml:space="preserve"> </w:t>
      </w:r>
    </w:p>
    <w:p w:rsidR="00DA121A" w:rsidRDefault="00904DD6">
      <w:pPr>
        <w:numPr>
          <w:ilvl w:val="0"/>
          <w:numId w:val="6"/>
        </w:numPr>
        <w:ind w:right="146" w:hanging="360"/>
      </w:pPr>
      <w:r>
        <w:t xml:space="preserve">Subida de un 26,7 %, de los fondos líquidos del ayuntamiento.  </w:t>
      </w:r>
    </w:p>
    <w:p w:rsidR="00DA121A" w:rsidRDefault="00904DD6">
      <w:pPr>
        <w:spacing w:after="259" w:line="259" w:lineRule="auto"/>
        <w:ind w:left="284" w:firstLine="0"/>
        <w:jc w:val="left"/>
      </w:pPr>
      <w:r>
        <w:t xml:space="preserve"> </w:t>
      </w:r>
    </w:p>
    <w:p w:rsidR="00DA121A" w:rsidRDefault="00904DD6">
      <w:pPr>
        <w:spacing w:after="255"/>
        <w:ind w:left="288" w:right="146"/>
      </w:pPr>
      <w:r>
        <w:t xml:space="preserve"> </w:t>
      </w:r>
      <w:r>
        <w:t>Cabe Destacar que, de acuerdo a los datos obtenidos en la liquidación del ejercicio 2022, el Ayuntamiento de Candelaria, cumple los niveles de endeudamiento y superávit en términos de contabilidad nacional y remanente de tesorería positivo para gastos gene</w:t>
      </w:r>
      <w:r>
        <w:t>rales, por lo que es posible la incorporación de remanentes de crédito en el ejercicio 2023.</w:t>
      </w:r>
      <w:r>
        <w:rPr>
          <w:rFonts w:ascii="Times New Roman" w:eastAsia="Times New Roman" w:hAnsi="Times New Roman" w:cs="Times New Roman"/>
          <w:sz w:val="24"/>
        </w:rPr>
        <w:t xml:space="preserve"> </w:t>
      </w:r>
    </w:p>
    <w:p w:rsidR="00DA121A" w:rsidRDefault="00904DD6">
      <w:pPr>
        <w:spacing w:after="112"/>
        <w:ind w:left="283" w:right="146" w:hanging="360"/>
      </w:pPr>
      <w:r>
        <w:t xml:space="preserve">  En la Liquidación de este ejercicio 2022, se han obtenido unas variables económicas financieras que han tenido una buena evolución y que se refleja en el cumpli</w:t>
      </w:r>
      <w:r>
        <w:t>miento de los cinco indicadores de saneamiento y condicionantes de libre disposición, que se imponen para la distribución del Fondo Canario de Financiación Municipal, esto es, remanente de tesorería para gastos generales, gestión recaudatoria, endeudamient</w:t>
      </w:r>
      <w:r>
        <w:t xml:space="preserve">o a largo plazo, esfuerzo fiscal y el ratio de Ahorro Neto. </w:t>
      </w:r>
    </w:p>
    <w:p w:rsidR="00DA121A" w:rsidRDefault="00904DD6">
      <w:pPr>
        <w:spacing w:after="0" w:line="259" w:lineRule="auto"/>
        <w:ind w:left="284" w:firstLine="0"/>
        <w:jc w:val="left"/>
      </w:pPr>
      <w:r>
        <w:t xml:space="preserve"> </w:t>
      </w:r>
    </w:p>
    <w:p w:rsidR="00DA121A" w:rsidRDefault="00904DD6">
      <w:pPr>
        <w:ind w:left="288" w:right="146"/>
      </w:pPr>
      <w:r>
        <w:t xml:space="preserve">  Para el cálculo de los citados ratios, hay que determinar los derechos liquidados corrientes, que importa la cantidad de 27.706.423,93 Euros, con el siguiente detalle: </w:t>
      </w:r>
    </w:p>
    <w:p w:rsidR="00DA121A" w:rsidRDefault="00904DD6">
      <w:pPr>
        <w:spacing w:after="29" w:line="259" w:lineRule="auto"/>
        <w:ind w:left="284" w:firstLine="0"/>
        <w:jc w:val="left"/>
      </w:pPr>
      <w:r>
        <w:t xml:space="preserve"> </w:t>
      </w:r>
    </w:p>
    <w:p w:rsidR="00DA121A" w:rsidRDefault="00904DD6">
      <w:pPr>
        <w:numPr>
          <w:ilvl w:val="1"/>
          <w:numId w:val="6"/>
        </w:numPr>
        <w:ind w:right="146" w:hanging="360"/>
      </w:pPr>
      <w:r>
        <w:t>Capítulo I de Impues</w:t>
      </w:r>
      <w:r>
        <w:t xml:space="preserve">tos Directos: 7.894.478,23 Euros. </w:t>
      </w:r>
    </w:p>
    <w:p w:rsidR="00DA121A" w:rsidRDefault="00904DD6">
      <w:pPr>
        <w:numPr>
          <w:ilvl w:val="1"/>
          <w:numId w:val="6"/>
        </w:numPr>
        <w:ind w:right="146" w:hanging="360"/>
      </w:pPr>
      <w:r>
        <w:t xml:space="preserve">Capítulo II de Impuestos Indirectos: 4.645.124,59 Euros. </w:t>
      </w:r>
    </w:p>
    <w:p w:rsidR="00DA121A" w:rsidRDefault="00904DD6">
      <w:pPr>
        <w:numPr>
          <w:ilvl w:val="1"/>
          <w:numId w:val="6"/>
        </w:numPr>
        <w:ind w:right="146" w:hanging="360"/>
      </w:pPr>
      <w:r>
        <w:t xml:space="preserve">Capítulo III de Tasas, Precios Públicos y Otros Ingresos: 2.769.851,47 Euros. </w:t>
      </w:r>
    </w:p>
    <w:p w:rsidR="00DA121A" w:rsidRDefault="00904DD6">
      <w:pPr>
        <w:numPr>
          <w:ilvl w:val="1"/>
          <w:numId w:val="6"/>
        </w:numPr>
        <w:ind w:right="146" w:hanging="360"/>
      </w:pPr>
      <w:r>
        <w:t xml:space="preserve">Capítulo IV de Transferencias Corrientes: 12.384.400,91 Euros. </w:t>
      </w:r>
    </w:p>
    <w:p w:rsidR="00DA121A" w:rsidRDefault="00904DD6">
      <w:pPr>
        <w:numPr>
          <w:ilvl w:val="1"/>
          <w:numId w:val="6"/>
        </w:numPr>
        <w:ind w:right="146" w:hanging="360"/>
      </w:pPr>
      <w:r>
        <w:t xml:space="preserve">Capítulo V de Ingresos Patrimoniales: 12.568,73 Euros. </w:t>
      </w:r>
    </w:p>
    <w:p w:rsidR="00DA121A" w:rsidRDefault="00904DD6">
      <w:pPr>
        <w:spacing w:after="98" w:line="259" w:lineRule="auto"/>
        <w:ind w:left="567" w:firstLine="0"/>
        <w:jc w:val="left"/>
      </w:pPr>
      <w:r>
        <w:t xml:space="preserve"> </w:t>
      </w:r>
    </w:p>
    <w:p w:rsidR="00DA121A" w:rsidRDefault="00904DD6">
      <w:pPr>
        <w:ind w:left="288" w:right="146"/>
      </w:pPr>
      <w:r>
        <w:t xml:space="preserve"> Para el cálculo de los Ratios del Ahorro Neto y Endeudamiento a Largo Plazo hay que tener en cuenta la Disposición final trigésima tercera de la Ley 17/2012, de 27 de junio, de Presupuestos General</w:t>
      </w:r>
      <w:r>
        <w:t>es del Estado para el año 2013, que modifica el Real Decreto-ley 20/2011, de 30 de diciembre, de medidas urgentes en materia presupuestaria, tributaria y financiera para la corrección del déficit público”, recoge un nuevo marco normativo en materia de lími</w:t>
      </w:r>
      <w:r>
        <w:t>te de deuda, modificando el Real Decreto-ley 20/2011, de 30 de diciembre, de medidas urgentes en materia presupuestaria, tributaria y financiera para la corrección del déficit público, que se mantiene en el momento presente:</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48" w:lineRule="auto"/>
        <w:ind w:left="288" w:right="145"/>
      </w:pPr>
      <w:r>
        <w:t>“</w:t>
      </w:r>
      <w:r>
        <w:rPr>
          <w:i/>
        </w:rPr>
        <w:t>Con efectos de la entrada e</w:t>
      </w:r>
      <w:r>
        <w:rPr>
          <w:i/>
        </w:rPr>
        <w:t>n vigor de esta Ley y vigencia indefinida, la disposición adicional decimocuarta del Real Decreto-ley 20/2011, de 30 de diciembre, de medidas urgentes en materia presupuestaria, tributaria y financiera para la corrección del déficit público, queda redactad</w:t>
      </w:r>
      <w:r>
        <w:rPr>
          <w:i/>
        </w:rPr>
        <w:t>a como sigue:</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172" w:line="248" w:lineRule="auto"/>
        <w:ind w:left="288" w:right="145"/>
      </w:pPr>
      <w:r>
        <w:rPr>
          <w:i/>
        </w:rPr>
        <w:t xml:space="preserve"> Las Entidades Locales y sus entidades dependientes clasificadas en el sector Administraciones Públicas, de acuerdo con la definición y delimitación del Sistema Europeo de Cuentas, que liquiden el ejercicio inmediato anterior con ahorro ne</w:t>
      </w:r>
      <w:r>
        <w:rPr>
          <w:i/>
        </w:rPr>
        <w:t xml:space="preserve">to positivo, calculado en la forma que establece </w:t>
      </w:r>
      <w:r>
        <w:t xml:space="preserve">el </w:t>
      </w:r>
      <w:hyperlink r:id="rId17" w:anchor="a53">
        <w:r>
          <w:rPr>
            <w:color w:val="0000FF"/>
            <w:u w:val="single" w:color="0000FF"/>
          </w:rPr>
          <w:t>artículo 53 del Texto Refundido de la Ley Reguladora de las Haciendas Locales,</w:t>
        </w:r>
      </w:hyperlink>
      <w:hyperlink r:id="rId18" w:anchor="a53">
        <w:r>
          <w:rPr>
            <w:color w:val="0000FF"/>
          </w:rPr>
          <w:t xml:space="preserve"> </w:t>
        </w:r>
      </w:hyperlink>
      <w:hyperlink r:id="rId19" w:anchor="a53">
        <w:r>
          <w:rPr>
            <w:color w:val="0000FF"/>
            <w:u w:val="single" w:color="0000FF"/>
          </w:rPr>
          <w:t>aprobado por Real Decreto Legislativo 2/2004, de 5 de marzo</w:t>
        </w:r>
      </w:hyperlink>
      <w:hyperlink r:id="rId20" w:anchor="a53">
        <w:r>
          <w:rPr>
            <w:i/>
          </w:rPr>
          <w:t>,</w:t>
        </w:r>
      </w:hyperlink>
      <w:r>
        <w:rPr>
          <w:i/>
        </w:rPr>
        <w:t xml:space="preserve"> </w:t>
      </w:r>
      <w:r>
        <w:rPr>
          <w:b/>
          <w:i/>
        </w:rPr>
        <w:t xml:space="preserve">podrán concertar nuevas operaciones de crédito a largo plazo para la financiación de inversiones, cuando el volumen total del capital vivo no exceda del 75 % de los ingresos corrientes liquidados </w:t>
      </w:r>
      <w:r>
        <w:rPr>
          <w:b/>
          <w:i/>
        </w:rPr>
        <w:t>o devengados</w:t>
      </w:r>
      <w:r>
        <w:rPr>
          <w:i/>
        </w:rPr>
        <w:t xml:space="preserve"> según las cifras deducidas de los estados contables consolidados, con sujeción, en su caso, al Texto Refundido de la Ley Reguladora de las Haciendas Locales y a la Normativa de Estabilidad Presupuestaria.</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6" w:line="248" w:lineRule="auto"/>
        <w:ind w:left="279" w:right="152"/>
      </w:pPr>
      <w:r>
        <w:rPr>
          <w:i/>
        </w:rPr>
        <w:t xml:space="preserve"> Las Entidades Locales que tengan u</w:t>
      </w:r>
      <w:r>
        <w:rPr>
          <w:i/>
        </w:rPr>
        <w:t xml:space="preserve">n </w:t>
      </w:r>
      <w:r>
        <w:rPr>
          <w:b/>
          <w:i/>
        </w:rPr>
        <w:t xml:space="preserve">volumen de endeudamiento que, excediendo al citado en el párrafo anterior, no supere al establecido (que asciende al 110 por 100) en el </w:t>
      </w:r>
      <w:hyperlink r:id="rId21" w:anchor="a53">
        <w:r>
          <w:rPr>
            <w:b/>
            <w:i/>
            <w:color w:val="0000FF"/>
            <w:u w:val="single" w:color="0000FF"/>
          </w:rPr>
          <w:t>artículo 53 del Texto R</w:t>
        </w:r>
        <w:r>
          <w:rPr>
            <w:b/>
            <w:i/>
            <w:color w:val="0000FF"/>
            <w:u w:val="single" w:color="0000FF"/>
          </w:rPr>
          <w:t>efundido de la Ley Reguladora de las Haciendas Locales, aprobado</w:t>
        </w:r>
      </w:hyperlink>
      <w:hyperlink r:id="rId22" w:anchor="a53">
        <w:r>
          <w:rPr>
            <w:b/>
            <w:i/>
            <w:color w:val="0000FF"/>
          </w:rPr>
          <w:t xml:space="preserve"> </w:t>
        </w:r>
      </w:hyperlink>
      <w:hyperlink r:id="rId23" w:anchor="a53">
        <w:r>
          <w:rPr>
            <w:b/>
            <w:i/>
            <w:color w:val="0000FF"/>
            <w:u w:val="single" w:color="0000FF"/>
          </w:rPr>
          <w:t>por Real Decreto Legislativo 2/2004, de 5 de marzo</w:t>
        </w:r>
      </w:hyperlink>
      <w:hyperlink r:id="rId24" w:anchor="a53">
        <w:r>
          <w:rPr>
            <w:b/>
            <w:i/>
          </w:rPr>
          <w:t>,</w:t>
        </w:r>
      </w:hyperlink>
      <w:r>
        <w:rPr>
          <w:b/>
          <w:i/>
        </w:rPr>
        <w:t xml:space="preserve"> podrán concertar operaciones de endeudamiento previa autorización del órgano competente que tenga atribuida l</w:t>
      </w:r>
      <w:r>
        <w:rPr>
          <w:b/>
          <w:i/>
        </w:rPr>
        <w:t>a tutela financiera de las entidades locales</w:t>
      </w:r>
      <w:r>
        <w:rPr>
          <w:i/>
        </w:rPr>
        <w:t>.</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i/>
        </w:rPr>
        <w:t xml:space="preserve"> </w:t>
      </w:r>
    </w:p>
    <w:p w:rsidR="00DA121A" w:rsidRDefault="00904DD6">
      <w:pPr>
        <w:spacing w:after="6" w:line="248" w:lineRule="auto"/>
        <w:ind w:left="279" w:right="151"/>
      </w:pPr>
      <w:r>
        <w:rPr>
          <w:i/>
        </w:rPr>
        <w:t xml:space="preserve"> Las entidades que presenten </w:t>
      </w:r>
      <w:r>
        <w:rPr>
          <w:b/>
          <w:i/>
        </w:rPr>
        <w:t xml:space="preserve">ahorro neto negativo o un volumen de endeudamiento vivo superior al recogido en el </w:t>
      </w:r>
      <w:hyperlink r:id="rId25" w:anchor="a53">
        <w:r>
          <w:rPr>
            <w:b/>
            <w:i/>
            <w:color w:val="0000FF"/>
            <w:u w:val="single" w:color="0000FF"/>
          </w:rPr>
          <w:t>artículo 53 del Texto Refundido de la Ley Reguladora de las</w:t>
        </w:r>
      </w:hyperlink>
      <w:hyperlink r:id="rId26" w:anchor="a53">
        <w:r>
          <w:rPr>
            <w:b/>
            <w:i/>
            <w:color w:val="0000FF"/>
          </w:rPr>
          <w:t xml:space="preserve"> </w:t>
        </w:r>
      </w:hyperlink>
      <w:hyperlink r:id="rId27" w:anchor="a53">
        <w:r>
          <w:rPr>
            <w:b/>
            <w:i/>
            <w:color w:val="0000FF"/>
            <w:u w:val="single" w:color="0000FF"/>
          </w:rPr>
          <w:t>Hacien</w:t>
        </w:r>
        <w:r>
          <w:rPr>
            <w:b/>
            <w:i/>
            <w:color w:val="0000FF"/>
            <w:u w:val="single" w:color="0000FF"/>
          </w:rPr>
          <w:t>das Locales, aprobado por Real Decreto Legislativo 2/2004, de 5 de marzo</w:t>
        </w:r>
      </w:hyperlink>
      <w:hyperlink r:id="rId28" w:anchor="a53">
        <w:r>
          <w:rPr>
            <w:b/>
            <w:i/>
          </w:rPr>
          <w:t>,</w:t>
        </w:r>
      </w:hyperlink>
      <w:r>
        <w:rPr>
          <w:b/>
          <w:i/>
        </w:rPr>
        <w:t xml:space="preserve"> no podrán concertar operaciones de crédito a largo plazo</w:t>
      </w:r>
      <w:r>
        <w:rPr>
          <w:i/>
        </w:rPr>
        <w:t>.</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Para la determinación de </w:t>
      </w:r>
      <w:r>
        <w:t xml:space="preserve">los ingresos corrientes a computar en el cálculo del ahorro neto y del nivel de endeudamiento, se deducirá el importe de los ingresos afectados a operaciones de capital y cualesquiera otros ingresos extraordinarios aplicados a los capítulos 1 a 5 que, por </w:t>
      </w:r>
      <w:r>
        <w:t xml:space="preserve">su afectación legal y/o carácter no recurrente, no tienen la consideración de ingresos ordinarios. </w:t>
      </w:r>
    </w:p>
    <w:p w:rsidR="00DA121A" w:rsidRDefault="00904DD6">
      <w:pPr>
        <w:spacing w:after="0" w:line="259" w:lineRule="auto"/>
        <w:ind w:left="284" w:firstLine="0"/>
        <w:jc w:val="left"/>
      </w:pPr>
      <w:r>
        <w:t xml:space="preserve"> </w:t>
      </w:r>
    </w:p>
    <w:p w:rsidR="00DA121A" w:rsidRDefault="00904DD6">
      <w:pPr>
        <w:spacing w:after="6" w:line="248" w:lineRule="auto"/>
        <w:ind w:left="279" w:right="154"/>
      </w:pPr>
      <w:r>
        <w:rPr>
          <w:b/>
          <w:i/>
        </w:rPr>
        <w:t xml:space="preserve"> </w:t>
      </w:r>
      <w:r>
        <w:rPr>
          <w:b/>
          <w:i/>
        </w:rPr>
        <w:t>A efectos del cálculo del capital vivo, se considerarán todas las operaciones vigentes a 31 de diciembre del año anterior, incluido el riesgo deducido de avales, incrementado, en su caso, en los saldos de operaciones formalizadas no dispuestos y en el impo</w:t>
      </w:r>
      <w:r>
        <w:rPr>
          <w:b/>
          <w:i/>
        </w:rPr>
        <w:t>rte de la operación proyectada. En ese importe no se incluirán los saldos que deban reintegrar las Entidades Locales derivados de las liquidaciones definitivas de la participación en tributos del Estado</w:t>
      </w:r>
      <w:r>
        <w:rPr>
          <w:i/>
        </w:rPr>
        <w:t>.</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48" w:lineRule="auto"/>
        <w:ind w:left="278" w:right="145" w:firstLine="360"/>
      </w:pPr>
      <w:r>
        <w:t>Las Entidades Locales pondrán a disposición de la</w:t>
      </w:r>
      <w:r>
        <w:t xml:space="preserve">s entidades financieras que </w:t>
      </w:r>
      <w:r>
        <w:rPr>
          <w:i/>
        </w:rPr>
        <w:t>participen en sus procedimientos para la concertación de operaciones de crédito, el informe de la Intervención local regulado en el apartado 2 del artículo 52 del Texto Refundido de la Ley reguladora de las Haciendas Locales, en</w:t>
      </w:r>
      <w:r>
        <w:rPr>
          <w:i/>
        </w:rPr>
        <w:t xml:space="preserve"> el que se incluirán los cálculos que acrediten el cumplimiento de los límites citados en los párrafos anteriores y cualesquiera otros ajustes que afecten a la medición de la capacidad de pago, así como el cumplimiento, en los casos que resulte de aplicaci</w:t>
      </w:r>
      <w:r>
        <w:rPr>
          <w:i/>
        </w:rPr>
        <w:t xml:space="preserve">ón, de la autorización preceptiva regulada en el artículo 53.5 de la citada norma y en el </w:t>
      </w:r>
      <w:hyperlink r:id="rId29" w:anchor="a20">
        <w:r>
          <w:rPr>
            <w:i/>
            <w:color w:val="0000FF"/>
            <w:u w:val="single" w:color="0000FF"/>
          </w:rPr>
          <w:t>artículo 20 de la Ley</w:t>
        </w:r>
      </w:hyperlink>
      <w:hyperlink r:id="rId30" w:anchor="a20">
        <w:r>
          <w:rPr>
            <w:i/>
            <w:color w:val="0000FF"/>
          </w:rPr>
          <w:t xml:space="preserve"> </w:t>
        </w:r>
      </w:hyperlink>
      <w:hyperlink r:id="rId31" w:anchor="a20">
        <w:r>
          <w:rPr>
            <w:i/>
            <w:color w:val="0000FF"/>
            <w:u w:val="single" w:color="0000FF"/>
          </w:rPr>
          <w:t>Orgánica 2/2012, de 27 de abril, de Estabilidad Presupuestaria y Sostenibilidad Financiera</w:t>
        </w:r>
      </w:hyperlink>
      <w:hyperlink r:id="rId32" w:anchor="a20">
        <w:r>
          <w:rPr>
            <w:i/>
          </w:rPr>
          <w:t>,</w:t>
        </w:r>
      </w:hyperlink>
      <w:r>
        <w:rPr>
          <w:i/>
        </w:rPr>
        <w:t xml:space="preserve"> pudiendo las entidades financieras, en su caso, modificar o retirar sus ofertas, una vez conocido el contenido del informe.</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ind w:left="278" w:right="146" w:firstLine="360"/>
      </w:pPr>
      <w:r>
        <w:t>En el cálculo de las ratios de ahorro n</w:t>
      </w:r>
      <w:r>
        <w:t>eto y nivel de deuda viva, habrán de descontarse, al menos, los INGRESOS AFECTADOS A OPERACIONES DE CAPITAL que se citan a continuación, sin perjuicio, de otras correcciones o ajustes que, según la percepción de la Intervención local, en su condición de ór</w:t>
      </w:r>
      <w:r>
        <w:t xml:space="preserve">gano de control, afecten a la capacidad de devolución futura de la deuda viva, incluida la operación u operaciones proyectadas: </w:t>
      </w:r>
    </w:p>
    <w:p w:rsidR="00DA121A" w:rsidRDefault="00904DD6">
      <w:pPr>
        <w:spacing w:after="0" w:line="259" w:lineRule="auto"/>
        <w:ind w:left="284" w:firstLine="0"/>
        <w:jc w:val="left"/>
      </w:pPr>
      <w:r>
        <w:t xml:space="preserve"> </w:t>
      </w:r>
    </w:p>
    <w:p w:rsidR="00DA121A" w:rsidRDefault="00904DD6">
      <w:pPr>
        <w:ind w:left="288" w:right="146"/>
      </w:pPr>
      <w:r>
        <w:t>1.- Ingresos por multas coercitivas, o derivados de convenios urbanísticos de planeamiento, o cualesquiera otros, que expresa</w:t>
      </w:r>
      <w:r>
        <w:t xml:space="preserve">mente hayan sido declarados como integrantes del Patrimonio Público del Suelo. No consta en la liquidación presupuestaria, derecho liquidado alguno de este concepto. </w:t>
      </w:r>
    </w:p>
    <w:p w:rsidR="00DA121A" w:rsidRDefault="00904DD6">
      <w:pPr>
        <w:spacing w:after="0" w:line="259" w:lineRule="auto"/>
        <w:ind w:left="284" w:firstLine="0"/>
        <w:jc w:val="left"/>
      </w:pPr>
      <w:r>
        <w:t xml:space="preserve"> </w:t>
      </w:r>
    </w:p>
    <w:p w:rsidR="00DA121A" w:rsidRDefault="00904DD6">
      <w:pPr>
        <w:ind w:left="288" w:right="146"/>
      </w:pPr>
      <w:r>
        <w:t>2.- Ingresos por actuaciones de urbanización, tales como el canon de urbanización, cuot</w:t>
      </w:r>
      <w:r>
        <w:t xml:space="preserve">as de urbanización, o cualquier otro de este carácter. No consta en la liquidación. </w:t>
      </w:r>
    </w:p>
    <w:p w:rsidR="00DA121A" w:rsidRDefault="00904DD6">
      <w:pPr>
        <w:spacing w:after="0" w:line="259" w:lineRule="auto"/>
        <w:ind w:left="284" w:firstLine="0"/>
        <w:jc w:val="left"/>
      </w:pPr>
      <w:r>
        <w:t xml:space="preserve"> </w:t>
      </w:r>
    </w:p>
    <w:p w:rsidR="00DA121A" w:rsidRDefault="00904DD6">
      <w:pPr>
        <w:ind w:left="288" w:right="146"/>
      </w:pPr>
      <w:r>
        <w:t>3.- Aprovechamientos urbanísticos, y otros ingresos por aprovechamientos edificatorios distintos de los anteriores (entre otros, los aprovechamientos edificatorios en su</w:t>
      </w:r>
      <w:r>
        <w:t>elo rústico, regulados en el artículo 62.3 del texto refundido de las Leyes de ordenación del territorio de Canarias y Espacios Naturales de Canarias). Consta en la liquidación presupuestaria, derechos liquidados de este concepto, por importe de 3.400,61 E</w:t>
      </w:r>
      <w:r>
        <w:t>uros, se corresponde con el canon por aprovechamiento en suelo rústico, pero no ha supuesto la obligatoria modificación presupuestaria para su afectación a gastos concretos y específico, generalmente de capital, pero que, al no realizarse, no procede ajust</w:t>
      </w:r>
      <w:r>
        <w:t xml:space="preserve">e alguno. </w:t>
      </w:r>
    </w:p>
    <w:p w:rsidR="00DA121A" w:rsidRDefault="00904DD6">
      <w:pPr>
        <w:spacing w:after="0" w:line="259" w:lineRule="auto"/>
        <w:ind w:left="284" w:firstLine="0"/>
        <w:jc w:val="left"/>
      </w:pPr>
      <w:r>
        <w:t xml:space="preserve"> </w:t>
      </w:r>
    </w:p>
    <w:p w:rsidR="00DA121A" w:rsidRDefault="00904DD6">
      <w:pPr>
        <w:ind w:left="288" w:right="146"/>
      </w:pPr>
      <w:r>
        <w:t>4.- Ingresos por multas impuestas por infracciones urbanísticas, expresamente afectados a operaciones de igual carácter, que no hayan de integrarse en el Patrimonio Público del Suelo. No consta en la liquidación presupuestaria, derecho liquida</w:t>
      </w:r>
      <w:r>
        <w:t xml:space="preserve">do alguno de este concepto. </w:t>
      </w:r>
    </w:p>
    <w:p w:rsidR="00DA121A" w:rsidRDefault="00904DD6">
      <w:pPr>
        <w:spacing w:after="0" w:line="259" w:lineRule="auto"/>
        <w:ind w:left="284" w:firstLine="0"/>
        <w:jc w:val="left"/>
      </w:pPr>
      <w:r>
        <w:t xml:space="preserve"> </w:t>
      </w:r>
    </w:p>
    <w:p w:rsidR="00DA121A" w:rsidRDefault="00904DD6">
      <w:pPr>
        <w:ind w:left="288" w:right="146"/>
      </w:pPr>
      <w:r>
        <w:t xml:space="preserve">5.- Contribuciones especiales afectadas a operaciones de capital. No consta en la liquidación presupuestaria, derecho liquidado alguno de este concepto. </w:t>
      </w:r>
    </w:p>
    <w:p w:rsidR="00DA121A" w:rsidRDefault="00904DD6">
      <w:pPr>
        <w:spacing w:after="0" w:line="259" w:lineRule="auto"/>
        <w:ind w:left="284" w:firstLine="0"/>
        <w:jc w:val="left"/>
      </w:pPr>
      <w:r>
        <w:t xml:space="preserve"> </w:t>
      </w:r>
    </w:p>
    <w:p w:rsidR="00DA121A" w:rsidRDefault="00904DD6">
      <w:pPr>
        <w:ind w:left="288" w:right="146"/>
      </w:pPr>
      <w:r>
        <w:t>6.- Ingresos por el canon de mejora del servicio de agua o canon de s</w:t>
      </w:r>
      <w:r>
        <w:t>aneamiento cuando esté afectado, por la normativa sectorial, a la financiación de inversiones de capital relacionadas con el servicio prestado, tales como infraestructuras hidráulicas, o redes de saneamiento y depuración, entre otras. No consta en la liqui</w:t>
      </w:r>
      <w:r>
        <w:t xml:space="preserve">dación presupuestaria, derecho liquidado alguno de este concepto. </w:t>
      </w:r>
    </w:p>
    <w:p w:rsidR="00DA121A" w:rsidRDefault="00904DD6">
      <w:pPr>
        <w:spacing w:after="0" w:line="259" w:lineRule="auto"/>
        <w:ind w:left="284" w:firstLine="0"/>
        <w:jc w:val="left"/>
      </w:pPr>
      <w:r>
        <w:t xml:space="preserve"> </w:t>
      </w:r>
    </w:p>
    <w:p w:rsidR="00DA121A" w:rsidRDefault="00904DD6">
      <w:pPr>
        <w:ind w:left="288" w:right="146"/>
      </w:pPr>
      <w:r>
        <w:t xml:space="preserve">7.- </w:t>
      </w:r>
      <w:r>
        <w:t>Aprovechamientos agrícolas y forestales de carácter afectado; en particular el Fondo de Mejora de Montes cuando esté afectado a la realización de inversiones, tales como la ejecución de mejoras en los montes de titularidad municipal, o la realización de me</w:t>
      </w:r>
      <w:r>
        <w:t xml:space="preserve">joras de interés forestal general de la provincia. No consta en la liquidación presupuestaria, derecho liquidado alguno de este concepto. </w:t>
      </w:r>
    </w:p>
    <w:p w:rsidR="00DA121A" w:rsidRDefault="00904DD6">
      <w:pPr>
        <w:spacing w:after="0" w:line="259" w:lineRule="auto"/>
        <w:ind w:left="284" w:firstLine="0"/>
        <w:jc w:val="left"/>
      </w:pPr>
      <w:r>
        <w:t xml:space="preserve"> </w:t>
      </w:r>
    </w:p>
    <w:p w:rsidR="00DA121A" w:rsidRDefault="00904DD6">
      <w:pPr>
        <w:ind w:left="288" w:right="146"/>
      </w:pPr>
      <w:r>
        <w:t xml:space="preserve">8.- Otras concesiones y aprovechamientos, afectados por la normativa aplicable a la financiación de operaciones de </w:t>
      </w:r>
      <w:r>
        <w:t xml:space="preserve">capital. No consta en la liquidación presupuestaria, derecho liquidado alguno de este concepto. </w:t>
      </w:r>
    </w:p>
    <w:p w:rsidR="00DA121A" w:rsidRDefault="00904DD6">
      <w:pPr>
        <w:spacing w:after="0" w:line="259" w:lineRule="auto"/>
        <w:ind w:left="284" w:firstLine="0"/>
        <w:jc w:val="left"/>
      </w:pPr>
      <w:r>
        <w:t xml:space="preserve"> </w:t>
      </w:r>
    </w:p>
    <w:p w:rsidR="00DA121A" w:rsidRDefault="00904DD6">
      <w:pPr>
        <w:ind w:left="288" w:right="146"/>
      </w:pPr>
      <w:r>
        <w:t xml:space="preserve">9.- Otros ingresos afectados a operaciones de capital distintos de los anteriores. A diferencia del año anterior, no consta ingreso alguno. </w:t>
      </w:r>
    </w:p>
    <w:p w:rsidR="00DA121A" w:rsidRDefault="00904DD6">
      <w:pPr>
        <w:spacing w:after="152" w:line="259" w:lineRule="auto"/>
        <w:ind w:left="567" w:firstLine="0"/>
        <w:jc w:val="left"/>
      </w:pPr>
      <w:r>
        <w:t xml:space="preserve"> </w:t>
      </w:r>
    </w:p>
    <w:p w:rsidR="00DA121A" w:rsidRDefault="00904DD6">
      <w:pPr>
        <w:numPr>
          <w:ilvl w:val="0"/>
          <w:numId w:val="7"/>
        </w:numPr>
        <w:ind w:right="146" w:hanging="360"/>
      </w:pPr>
      <w:r>
        <w:rPr>
          <w:b/>
          <w:i/>
        </w:rPr>
        <w:t>Remanente de T</w:t>
      </w:r>
      <w:r>
        <w:rPr>
          <w:b/>
          <w:i/>
        </w:rPr>
        <w:t>esorería para Gastos Generales</w:t>
      </w:r>
      <w:r>
        <w:t>, que importa la cantidad de 23.408.176,00 Euros, se impone que sea superior al 1 %, de los derechos reconocidos netos por capítulos I al V de Ingresos en la Liquidación del Presupuesto, que asciende a 27.706.423,93 Euros, sal</w:t>
      </w:r>
      <w:r>
        <w:t>e positivo en el 84,5 % frente al 67,84 %, también con signo positivo, del ejercicio anterior.</w:t>
      </w:r>
      <w:r>
        <w:rPr>
          <w:rFonts w:ascii="Times New Roman" w:eastAsia="Times New Roman" w:hAnsi="Times New Roman" w:cs="Times New Roman"/>
          <w:sz w:val="24"/>
        </w:rPr>
        <w:t xml:space="preserve"> </w:t>
      </w:r>
    </w:p>
    <w:p w:rsidR="00DA121A" w:rsidRDefault="00904DD6">
      <w:pPr>
        <w:spacing w:after="29" w:line="259" w:lineRule="auto"/>
        <w:ind w:left="284" w:firstLine="0"/>
        <w:jc w:val="left"/>
      </w:pPr>
      <w:r>
        <w:t xml:space="preserve"> </w:t>
      </w:r>
    </w:p>
    <w:p w:rsidR="00DA121A" w:rsidRDefault="00904DD6">
      <w:pPr>
        <w:numPr>
          <w:ilvl w:val="0"/>
          <w:numId w:val="7"/>
        </w:numPr>
        <w:ind w:right="146" w:hanging="360"/>
      </w:pPr>
      <w:r>
        <w:rPr>
          <w:b/>
          <w:i/>
        </w:rPr>
        <w:t>Ahorro Neto,</w:t>
      </w:r>
      <w:r>
        <w:t xml:space="preserve"> es un ratio que, a diferencia del ratio de ahorro bruto que mide la capacidad de autofinanciación de las inversiones, es un ratio que nos indica </w:t>
      </w:r>
      <w:r>
        <w:t>la capacidad  de</w:t>
      </w:r>
      <w:r>
        <w:rPr>
          <w:b/>
          <w:i/>
        </w:rPr>
        <w:t xml:space="preserve"> </w:t>
      </w:r>
      <w:r>
        <w:t>endeudamiento de la entidad Local, que se establece que sea superior al 6 por 100  de los derechos reconocidos netos por capítulos I al V de Ingresos en la Liquidación del presupuesto, viene dado por la diferencia de los derechos reconocid</w:t>
      </w:r>
      <w:r>
        <w:t>os netos por los capítulos I al V de Ingresos (27.706.423,93 Euros) y las obligaciones reconocidas netas por los capítulos I, II y IV, una vez deducidas las obligaciones financiadas con remanente de tesorería para gastos generales, que importaron la cantid</w:t>
      </w:r>
      <w:r>
        <w:t xml:space="preserve">ad de 756.551,73 Euros (22.780.312,90 Euros) y una anualidad teórica de amortización (69.122,92 Euros), que incluye los capítulos III y IX. </w:t>
      </w:r>
      <w:r>
        <w:rPr>
          <w:rFonts w:ascii="Times New Roman" w:eastAsia="Times New Roman" w:hAnsi="Times New Roman" w:cs="Times New Roman"/>
          <w:sz w:val="24"/>
        </w:rPr>
        <w:t xml:space="preserve"> </w:t>
      </w:r>
    </w:p>
    <w:p w:rsidR="00DA121A" w:rsidRDefault="00904DD6">
      <w:pPr>
        <w:spacing w:after="98" w:line="259" w:lineRule="auto"/>
        <w:ind w:left="567" w:firstLine="0"/>
        <w:jc w:val="left"/>
      </w:pPr>
      <w:r>
        <w:t xml:space="preserve"> </w:t>
      </w:r>
    </w:p>
    <w:p w:rsidR="00DA121A" w:rsidRDefault="00904DD6">
      <w:pPr>
        <w:ind w:left="644" w:right="146" w:firstLine="348"/>
      </w:pPr>
      <w:r>
        <w:t xml:space="preserve">Ello nos da un Ahorro Neto positivo de 4.856.988,11 Euros (que fue también positivo en 4.269.684,77 Euros en el </w:t>
      </w:r>
      <w:r>
        <w:t xml:space="preserve">año 2021), esto es, un porcentaje positivo del 17,5 %, frente al 15,9 %, de los derechos reconocidos netos por capítulos I al V de Ingresos en la Liquidación del Presupuesto del ejercicio anterior.  </w:t>
      </w:r>
    </w:p>
    <w:p w:rsidR="00DA121A" w:rsidRDefault="00904DD6">
      <w:pPr>
        <w:spacing w:after="32" w:line="259" w:lineRule="auto"/>
        <w:ind w:left="284" w:firstLine="0"/>
        <w:jc w:val="left"/>
      </w:pPr>
      <w:r>
        <w:t xml:space="preserve"> </w:t>
      </w:r>
    </w:p>
    <w:p w:rsidR="00DA121A" w:rsidRDefault="00904DD6">
      <w:pPr>
        <w:numPr>
          <w:ilvl w:val="0"/>
          <w:numId w:val="7"/>
        </w:numPr>
        <w:ind w:right="146" w:hanging="360"/>
      </w:pPr>
      <w:r>
        <w:rPr>
          <w:b/>
          <w:i/>
        </w:rPr>
        <w:t>Endeudamiento a Largo Plazo</w:t>
      </w:r>
      <w:r>
        <w:t xml:space="preserve"> </w:t>
      </w:r>
      <w:r>
        <w:t xml:space="preserve">que se impone que sea inferior al 70 por 100 de los derechos reconocidos netos por capítulos I al V de Ingresos en la Liquidación del Presupuesto. </w:t>
      </w:r>
      <w:r>
        <w:rPr>
          <w:rFonts w:ascii="Times New Roman" w:eastAsia="Times New Roman" w:hAnsi="Times New Roman" w:cs="Times New Roman"/>
          <w:sz w:val="24"/>
        </w:rPr>
        <w:t xml:space="preserve"> </w:t>
      </w:r>
    </w:p>
    <w:p w:rsidR="00DA121A" w:rsidRDefault="00904DD6">
      <w:pPr>
        <w:spacing w:after="0" w:line="259" w:lineRule="auto"/>
        <w:ind w:left="992" w:firstLine="0"/>
        <w:jc w:val="left"/>
      </w:pPr>
      <w:r>
        <w:t xml:space="preserve"> </w:t>
      </w:r>
    </w:p>
    <w:p w:rsidR="00DA121A" w:rsidRDefault="00904DD6">
      <w:pPr>
        <w:ind w:left="1002" w:right="146"/>
      </w:pPr>
      <w:r>
        <w:t>La deuda financiera del Ayuntamiento, a 31 de diciembre de 2022, es nula.</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78" w:right="146" w:firstLine="360"/>
      </w:pPr>
      <w:r>
        <w:t>Dado que los derechos reconocidos netos por los capítulos I al V de Ingresos, asciende a 27.706.423,93 Euros, este Ratio importa un 0 %, igual que el obtenido en la Liquidación del presupuesto del ejercicio 2021.</w:t>
      </w:r>
      <w:r>
        <w:rPr>
          <w:rFonts w:ascii="Times New Roman" w:eastAsia="Times New Roman" w:hAnsi="Times New Roman" w:cs="Times New Roman"/>
          <w:sz w:val="24"/>
        </w:rPr>
        <w:t xml:space="preserve"> </w:t>
      </w:r>
    </w:p>
    <w:p w:rsidR="00DA121A" w:rsidRDefault="00904DD6">
      <w:pPr>
        <w:spacing w:after="32" w:line="259" w:lineRule="auto"/>
        <w:ind w:left="644" w:firstLine="0"/>
        <w:jc w:val="left"/>
      </w:pPr>
      <w:r>
        <w:t xml:space="preserve"> </w:t>
      </w:r>
    </w:p>
    <w:p w:rsidR="00DA121A" w:rsidRDefault="00904DD6">
      <w:pPr>
        <w:numPr>
          <w:ilvl w:val="0"/>
          <w:numId w:val="7"/>
        </w:numPr>
        <w:ind w:right="146" w:hanging="360"/>
      </w:pPr>
      <w:r>
        <w:rPr>
          <w:b/>
          <w:i/>
        </w:rPr>
        <w:t>Gestión Recaudatoria</w:t>
      </w:r>
      <w:r>
        <w:t xml:space="preserve"> superior al 75 % de</w:t>
      </w:r>
      <w:r>
        <w:t xml:space="preserve"> los derechos reconocidos netos por capítulos I al III de Ingresos en la Liquidación del Presupuesto, viene dado por el cociente entre los derechos recaudados por esos capítulos de ingresos (15.106.971,40 Euros) y los derechos reconocidos netos por los mis</w:t>
      </w:r>
      <w:r>
        <w:t xml:space="preserve">mos capítulos I, II y III (15.309.454,29 Euros), llega al 98,7 %, frente al 85,6 % del ejercicio 2021. </w:t>
      </w:r>
      <w:r>
        <w:rPr>
          <w:rFonts w:ascii="Times New Roman" w:eastAsia="Times New Roman" w:hAnsi="Times New Roman" w:cs="Times New Roman"/>
          <w:sz w:val="24"/>
        </w:rPr>
        <w:t xml:space="preserve"> </w:t>
      </w:r>
    </w:p>
    <w:p w:rsidR="00DA121A" w:rsidRDefault="00904DD6">
      <w:pPr>
        <w:spacing w:after="32" w:line="259" w:lineRule="auto"/>
        <w:ind w:left="284" w:firstLine="0"/>
        <w:jc w:val="left"/>
      </w:pPr>
      <w:r>
        <w:t xml:space="preserve"> </w:t>
      </w:r>
    </w:p>
    <w:p w:rsidR="00DA121A" w:rsidRDefault="00904DD6">
      <w:pPr>
        <w:numPr>
          <w:ilvl w:val="0"/>
          <w:numId w:val="7"/>
        </w:numPr>
        <w:ind w:right="146" w:hanging="360"/>
      </w:pPr>
      <w:r>
        <w:rPr>
          <w:b/>
          <w:i/>
        </w:rPr>
        <w:t>Esfuerzo Fiscal</w:t>
      </w:r>
      <w:r>
        <w:t>, que se exige que sea superior al 70,66 por 100, se encuentra por encima del ochenta y cinco por ciento, como en el ejercicio del 202</w:t>
      </w:r>
      <w:r>
        <w:t>1.</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6" w:line="248" w:lineRule="auto"/>
        <w:ind w:left="279" w:right="424"/>
      </w:pPr>
      <w:r>
        <w:rPr>
          <w:b/>
          <w:i/>
        </w:rPr>
        <w:t>1.- LIQUIDACIÓN DEL PRESUPUESTO DE INGRESOS</w:t>
      </w:r>
      <w:r>
        <w:rPr>
          <w:rFonts w:ascii="Times New Roman" w:eastAsia="Times New Roman" w:hAnsi="Times New Roman" w:cs="Times New Roman"/>
          <w:sz w:val="24"/>
        </w:rPr>
        <w:t xml:space="preserve"> </w:t>
      </w:r>
    </w:p>
    <w:p w:rsidR="00DA121A" w:rsidRDefault="00904DD6">
      <w:pPr>
        <w:spacing w:after="98" w:line="259" w:lineRule="auto"/>
        <w:ind w:left="567" w:firstLine="0"/>
        <w:jc w:val="left"/>
      </w:pPr>
      <w:r>
        <w:t xml:space="preserve"> </w:t>
      </w:r>
    </w:p>
    <w:p w:rsidR="00DA121A" w:rsidRDefault="00904DD6">
      <w:pPr>
        <w:ind w:left="567" w:right="146" w:firstLine="180"/>
      </w:pPr>
      <w:r>
        <w:t xml:space="preserve">El estado de ejecución de </w:t>
      </w:r>
      <w:r>
        <w:rPr>
          <w:b/>
        </w:rPr>
        <w:t>ingresos</w:t>
      </w:r>
      <w:r>
        <w:t xml:space="preserve"> en el 2022 y 2021, así como la comparativa con las previsiones presupuestarias de esos ejercicios, da lugar a los siguientes importes: </w:t>
      </w:r>
    </w:p>
    <w:tbl>
      <w:tblPr>
        <w:tblStyle w:val="TableGrid"/>
        <w:tblW w:w="8790" w:type="dxa"/>
        <w:tblInd w:w="358" w:type="dxa"/>
        <w:tblCellMar>
          <w:top w:w="7" w:type="dxa"/>
          <w:left w:w="70" w:type="dxa"/>
          <w:bottom w:w="0" w:type="dxa"/>
          <w:right w:w="24" w:type="dxa"/>
        </w:tblCellMar>
        <w:tblLook w:val="04A0" w:firstRow="1" w:lastRow="0" w:firstColumn="1" w:lastColumn="0" w:noHBand="0" w:noVBand="1"/>
      </w:tblPr>
      <w:tblGrid>
        <w:gridCol w:w="3120"/>
        <w:gridCol w:w="2552"/>
        <w:gridCol w:w="1985"/>
        <w:gridCol w:w="1133"/>
      </w:tblGrid>
      <w:tr w:rsidR="00DA121A">
        <w:trPr>
          <w:trHeight w:val="929"/>
        </w:trPr>
        <w:tc>
          <w:tcPr>
            <w:tcW w:w="31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77" w:right="471" w:firstLine="0"/>
              <w:jc w:val="center"/>
            </w:pPr>
            <w:r>
              <w:rPr>
                <w:sz w:val="20"/>
              </w:rPr>
              <w:t xml:space="preserve">Liquidación 2022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672" w:hanging="257"/>
              <w:jc w:val="left"/>
            </w:pPr>
            <w:r>
              <w:rPr>
                <w:sz w:val="20"/>
              </w:rPr>
              <w:t xml:space="preserve">Liquidación  2021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1" w:line="240" w:lineRule="auto"/>
              <w:ind w:left="0" w:right="32" w:firstLine="0"/>
              <w:jc w:val="left"/>
            </w:pPr>
            <w:r>
              <w:rPr>
                <w:sz w:val="20"/>
              </w:rPr>
              <w:t xml:space="preserve">Variación Liquidació n </w:t>
            </w:r>
          </w:p>
          <w:p w:rsidR="00DA121A" w:rsidRDefault="00904DD6">
            <w:pPr>
              <w:spacing w:after="0" w:line="259" w:lineRule="auto"/>
              <w:ind w:left="0" w:firstLine="0"/>
            </w:pPr>
            <w:r>
              <w:rPr>
                <w:sz w:val="20"/>
              </w:rPr>
              <w:t xml:space="preserve">2022/2021 </w:t>
            </w:r>
          </w:p>
        </w:tc>
      </w:tr>
      <w:tr w:rsidR="00DA121A">
        <w:trPr>
          <w:trHeight w:val="240"/>
        </w:trPr>
        <w:tc>
          <w:tcPr>
            <w:tcW w:w="31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1.-Impuestos Directos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center"/>
            </w:pPr>
            <w:r>
              <w:rPr>
                <w:sz w:val="20"/>
              </w:rPr>
              <w:t xml:space="preserve">7.894.478,23 Euros.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9" w:firstLine="0"/>
              <w:jc w:val="left"/>
            </w:pPr>
            <w:r>
              <w:rPr>
                <w:sz w:val="20"/>
              </w:rPr>
              <w:t xml:space="preserve">8.088.125,11 Euros.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8" w:firstLine="0"/>
              <w:jc w:val="center"/>
            </w:pPr>
            <w:r>
              <w:rPr>
                <w:sz w:val="20"/>
              </w:rPr>
              <w:t xml:space="preserve">- 2,4 % </w:t>
            </w:r>
          </w:p>
        </w:tc>
      </w:tr>
      <w:tr w:rsidR="00DA121A">
        <w:trPr>
          <w:trHeight w:val="240"/>
        </w:trPr>
        <w:tc>
          <w:tcPr>
            <w:tcW w:w="31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2.-Impuestos Indirectos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center"/>
            </w:pPr>
            <w:r>
              <w:rPr>
                <w:sz w:val="20"/>
              </w:rPr>
              <w:t xml:space="preserve">4.645.124,59 Euros.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2" w:firstLine="0"/>
            </w:pPr>
            <w:r>
              <w:rPr>
                <w:sz w:val="20"/>
              </w:rPr>
              <w:t xml:space="preserve">4.354.013,91 Euros.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1" w:firstLine="0"/>
              <w:jc w:val="center"/>
            </w:pPr>
            <w:r>
              <w:rPr>
                <w:sz w:val="20"/>
              </w:rPr>
              <w:t xml:space="preserve">6,7 % </w:t>
            </w:r>
          </w:p>
        </w:tc>
      </w:tr>
      <w:tr w:rsidR="00DA121A">
        <w:trPr>
          <w:trHeight w:val="240"/>
        </w:trPr>
        <w:tc>
          <w:tcPr>
            <w:tcW w:w="31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 Tasas y Otros Ingresos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center"/>
            </w:pPr>
            <w:r>
              <w:rPr>
                <w:sz w:val="20"/>
              </w:rPr>
              <w:t xml:space="preserve">2.769.851,47 Euros.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0" w:firstLine="0"/>
              <w:jc w:val="left"/>
            </w:pPr>
            <w:r>
              <w:rPr>
                <w:sz w:val="20"/>
              </w:rPr>
              <w:t xml:space="preserve">2.483.992,82 Euros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8" w:firstLine="0"/>
              <w:jc w:val="center"/>
            </w:pPr>
            <w:r>
              <w:rPr>
                <w:sz w:val="20"/>
              </w:rPr>
              <w:t xml:space="preserve">11,5  % </w:t>
            </w:r>
          </w:p>
        </w:tc>
      </w:tr>
      <w:tr w:rsidR="00DA121A">
        <w:trPr>
          <w:trHeight w:val="240"/>
        </w:trPr>
        <w:tc>
          <w:tcPr>
            <w:tcW w:w="31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4.-Transferencias Corrientes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 w:firstLine="0"/>
              <w:jc w:val="center"/>
            </w:pPr>
            <w:r>
              <w:rPr>
                <w:sz w:val="20"/>
              </w:rPr>
              <w:t xml:space="preserve">12.384.400,91 Euros.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 w:firstLine="0"/>
            </w:pPr>
            <w:r>
              <w:rPr>
                <w:sz w:val="20"/>
              </w:rPr>
              <w:t xml:space="preserve">11.911.285,91 Euros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8" w:firstLine="0"/>
              <w:jc w:val="center"/>
            </w:pPr>
            <w:r>
              <w:rPr>
                <w:sz w:val="20"/>
              </w:rPr>
              <w:t xml:space="preserve">4 % </w:t>
            </w:r>
          </w:p>
        </w:tc>
      </w:tr>
      <w:tr w:rsidR="00DA121A">
        <w:trPr>
          <w:trHeight w:val="240"/>
        </w:trPr>
        <w:tc>
          <w:tcPr>
            <w:tcW w:w="31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5.- Ingresos Patrimoniales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3" w:firstLine="0"/>
              <w:jc w:val="center"/>
            </w:pPr>
            <w:r>
              <w:rPr>
                <w:sz w:val="20"/>
              </w:rPr>
              <w:t>12.568,73 Euros</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 w:firstLine="0"/>
              <w:jc w:val="center"/>
            </w:pPr>
            <w:r>
              <w:rPr>
                <w:sz w:val="20"/>
              </w:rPr>
              <w:t xml:space="preserve">7.123,97  Euros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1" w:firstLine="0"/>
              <w:jc w:val="center"/>
            </w:pPr>
            <w:r>
              <w:rPr>
                <w:sz w:val="20"/>
              </w:rPr>
              <w:t xml:space="preserve">76,4 % </w:t>
            </w:r>
          </w:p>
        </w:tc>
      </w:tr>
      <w:tr w:rsidR="00DA121A">
        <w:trPr>
          <w:trHeight w:val="240"/>
        </w:trPr>
        <w:tc>
          <w:tcPr>
            <w:tcW w:w="31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6.-Enajenación de Inversión Real</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1" w:firstLine="0"/>
              <w:jc w:val="center"/>
            </w:pPr>
            <w:r>
              <w:rPr>
                <w:sz w:val="20"/>
              </w:rPr>
              <w:t>0,00 Euros.</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1" w:firstLine="0"/>
              <w:jc w:val="center"/>
            </w:pPr>
            <w:r>
              <w:rPr>
                <w:sz w:val="20"/>
              </w:rP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6" w:firstLine="0"/>
              <w:jc w:val="center"/>
            </w:pPr>
            <w:r>
              <w:rPr>
                <w:sz w:val="20"/>
              </w:rPr>
              <w:t xml:space="preserve">-- </w:t>
            </w:r>
          </w:p>
        </w:tc>
      </w:tr>
      <w:tr w:rsidR="00DA121A">
        <w:trPr>
          <w:trHeight w:val="240"/>
        </w:trPr>
        <w:tc>
          <w:tcPr>
            <w:tcW w:w="31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7.-</w:t>
            </w:r>
            <w:r>
              <w:rPr>
                <w:sz w:val="20"/>
              </w:rPr>
              <w:t xml:space="preserve">Transferencias de Capital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8" w:firstLine="0"/>
              <w:jc w:val="center"/>
            </w:pPr>
            <w:r>
              <w:rPr>
                <w:sz w:val="20"/>
              </w:rPr>
              <w:t xml:space="preserve">4.363.794,70 Euros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0" w:firstLine="0"/>
              <w:jc w:val="left"/>
            </w:pPr>
            <w:r>
              <w:rPr>
                <w:sz w:val="20"/>
              </w:rPr>
              <w:t>2.203.099,73 Euros</w:t>
            </w: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8" w:firstLine="0"/>
              <w:jc w:val="center"/>
            </w:pPr>
            <w:r>
              <w:rPr>
                <w:sz w:val="20"/>
              </w:rPr>
              <w:t xml:space="preserve">98 % </w:t>
            </w:r>
          </w:p>
        </w:tc>
      </w:tr>
      <w:tr w:rsidR="00DA121A">
        <w:trPr>
          <w:trHeight w:val="240"/>
        </w:trPr>
        <w:tc>
          <w:tcPr>
            <w:tcW w:w="31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8.-Activos Financieros</w:t>
            </w: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 w:firstLine="0"/>
              <w:jc w:val="center"/>
            </w:pPr>
            <w:r>
              <w:rPr>
                <w:sz w:val="20"/>
              </w:rPr>
              <w:t>0,00 Euros</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 w:firstLine="0"/>
              <w:jc w:val="center"/>
            </w:pPr>
            <w:r>
              <w:rPr>
                <w:sz w:val="20"/>
              </w:rP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6" w:firstLine="0"/>
              <w:jc w:val="center"/>
            </w:pPr>
            <w:r>
              <w:rPr>
                <w:sz w:val="20"/>
              </w:rPr>
              <w:t xml:space="preserve">-- </w:t>
            </w:r>
          </w:p>
        </w:tc>
      </w:tr>
      <w:tr w:rsidR="00DA121A">
        <w:trPr>
          <w:trHeight w:val="240"/>
        </w:trPr>
        <w:tc>
          <w:tcPr>
            <w:tcW w:w="31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9.-Pasivos Financieros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 w:firstLine="0"/>
              <w:jc w:val="center"/>
            </w:pPr>
            <w:r>
              <w:rPr>
                <w:sz w:val="20"/>
              </w:rPr>
              <w:t xml:space="preserve">0,00 Euros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 w:firstLine="0"/>
              <w:jc w:val="center"/>
            </w:pPr>
            <w:r>
              <w:rPr>
                <w:sz w:val="20"/>
              </w:rP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6" w:firstLine="0"/>
              <w:jc w:val="center"/>
            </w:pPr>
            <w:r>
              <w:rPr>
                <w:sz w:val="20"/>
              </w:rPr>
              <w:t xml:space="preserve">-- </w:t>
            </w:r>
          </w:p>
        </w:tc>
      </w:tr>
      <w:tr w:rsidR="00DA121A">
        <w:trPr>
          <w:trHeight w:val="471"/>
        </w:trPr>
        <w:tc>
          <w:tcPr>
            <w:tcW w:w="31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32" w:firstLine="0"/>
              <w:jc w:val="left"/>
            </w:pPr>
            <w:r>
              <w:rPr>
                <w:b/>
                <w:sz w:val="20"/>
              </w:rPr>
              <w:t xml:space="preserve">TOTAL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2" w:firstLine="0"/>
              <w:jc w:val="center"/>
            </w:pPr>
            <w:r>
              <w:rPr>
                <w:b/>
                <w:sz w:val="20"/>
              </w:rPr>
              <w:t xml:space="preserve">32.070.218,63 Euros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 w:firstLine="0"/>
              <w:jc w:val="center"/>
            </w:pPr>
            <w:r>
              <w:rPr>
                <w:b/>
                <w:sz w:val="20"/>
              </w:rPr>
              <w:t xml:space="preserve">29.047.641,45 Euros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8" w:firstLine="0"/>
              <w:jc w:val="center"/>
            </w:pPr>
            <w:r>
              <w:rPr>
                <w:b/>
                <w:sz w:val="20"/>
              </w:rPr>
              <w:t xml:space="preserve">10,4 % </w:t>
            </w:r>
          </w:p>
        </w:tc>
      </w:tr>
    </w:tbl>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ind w:left="278" w:right="146" w:firstLine="360"/>
      </w:pPr>
      <w:r>
        <w:t xml:space="preserve">Del cuadro anterior, se observan algunas variaciones en los capítulos de ingresos, destacando una subida importante de los impuestos indirectos, tasas y transferencias corrientes y de capital, mientras que disminuyen los demás capítulos de ingresos.  </w:t>
      </w:r>
    </w:p>
    <w:p w:rsidR="00DA121A" w:rsidRDefault="00904DD6">
      <w:pPr>
        <w:spacing w:after="0" w:line="259" w:lineRule="auto"/>
        <w:ind w:left="644" w:firstLine="0"/>
        <w:jc w:val="left"/>
      </w:pPr>
      <w:r>
        <w:t xml:space="preserve"> </w:t>
      </w:r>
    </w:p>
    <w:p w:rsidR="00DA121A" w:rsidRDefault="00904DD6">
      <w:pPr>
        <w:spacing w:after="0" w:line="259" w:lineRule="auto"/>
        <w:ind w:left="644" w:firstLine="0"/>
        <w:jc w:val="left"/>
      </w:pPr>
      <w:r>
        <w:t xml:space="preserve"> </w:t>
      </w:r>
    </w:p>
    <w:p w:rsidR="00DA121A" w:rsidRDefault="00904DD6">
      <w:pPr>
        <w:spacing w:after="4"/>
        <w:ind w:left="654" w:right="144"/>
      </w:pPr>
      <w:r>
        <w:rPr>
          <w:b/>
        </w:rPr>
        <w:t xml:space="preserve">A) IMPUESTOS DIRECTOS </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ind w:left="278" w:right="146" w:firstLine="360"/>
      </w:pPr>
      <w:r>
        <w:t xml:space="preserve">Así, en materia de Impuestos directos, cae un 2,4 % (ya disminuyó un 3,5 % en el año 2021 y un 1% en el año 2020). </w:t>
      </w:r>
    </w:p>
    <w:p w:rsidR="00DA121A" w:rsidRDefault="00904DD6">
      <w:pPr>
        <w:spacing w:after="0" w:line="259" w:lineRule="auto"/>
        <w:ind w:left="644" w:firstLine="0"/>
        <w:jc w:val="left"/>
      </w:pPr>
      <w:r>
        <w:t xml:space="preserve"> </w:t>
      </w:r>
    </w:p>
    <w:p w:rsidR="00DA121A" w:rsidRDefault="00904DD6">
      <w:pPr>
        <w:ind w:left="278" w:right="146" w:firstLine="360"/>
      </w:pPr>
      <w:r>
        <w:t>Por su cuantía, destaca el Impuesto de Bienes Inmuebles, que representa el 91,7 % de las cantidades liquidadas e</w:t>
      </w:r>
      <w:r>
        <w:t xml:space="preserve">n este capítulo.  </w:t>
      </w:r>
    </w:p>
    <w:p w:rsidR="00DA121A" w:rsidRDefault="00904DD6">
      <w:pPr>
        <w:spacing w:after="0" w:line="259" w:lineRule="auto"/>
        <w:ind w:left="284" w:firstLine="0"/>
        <w:jc w:val="left"/>
      </w:pPr>
      <w:r>
        <w:t xml:space="preserve"> </w:t>
      </w:r>
    </w:p>
    <w:p w:rsidR="00DA121A" w:rsidRDefault="00904DD6">
      <w:pPr>
        <w:spacing w:after="0" w:line="259" w:lineRule="auto"/>
        <w:ind w:left="279"/>
        <w:jc w:val="left"/>
      </w:pPr>
      <w:r>
        <w:rPr>
          <w:i/>
          <w:u w:val="single" w:color="000000"/>
        </w:rPr>
        <w:t>IBI URBANA (incluida los bienes de características especiales)</w:t>
      </w:r>
      <w:r>
        <w:rPr>
          <w:i/>
        </w:rPr>
        <w:t xml:space="preserve"> </w:t>
      </w:r>
    </w:p>
    <w:p w:rsidR="00DA121A" w:rsidRDefault="00904DD6">
      <w:pPr>
        <w:spacing w:after="0" w:line="259" w:lineRule="auto"/>
        <w:ind w:left="284" w:firstLine="0"/>
        <w:jc w:val="left"/>
      </w:pPr>
      <w:r>
        <w:rPr>
          <w:rFonts w:ascii="Times New Roman" w:eastAsia="Times New Roman" w:hAnsi="Times New Roman" w:cs="Times New Roman"/>
          <w:i/>
          <w:sz w:val="24"/>
        </w:rPr>
        <w:t xml:space="preserve"> </w:t>
      </w:r>
    </w:p>
    <w:tbl>
      <w:tblPr>
        <w:tblStyle w:val="TableGrid"/>
        <w:tblW w:w="9259" w:type="dxa"/>
        <w:tblInd w:w="173" w:type="dxa"/>
        <w:tblCellMar>
          <w:top w:w="10" w:type="dxa"/>
          <w:left w:w="67" w:type="dxa"/>
          <w:bottom w:w="0" w:type="dxa"/>
          <w:right w:w="5" w:type="dxa"/>
        </w:tblCellMar>
        <w:tblLook w:val="04A0" w:firstRow="1" w:lastRow="0" w:firstColumn="1" w:lastColumn="0" w:noHBand="0" w:noVBand="1"/>
      </w:tblPr>
      <w:tblGrid>
        <w:gridCol w:w="520"/>
        <w:gridCol w:w="1097"/>
        <w:gridCol w:w="494"/>
        <w:gridCol w:w="769"/>
        <w:gridCol w:w="394"/>
        <w:gridCol w:w="1022"/>
        <w:gridCol w:w="1136"/>
        <w:gridCol w:w="425"/>
        <w:gridCol w:w="1133"/>
        <w:gridCol w:w="427"/>
        <w:gridCol w:w="1417"/>
        <w:gridCol w:w="425"/>
      </w:tblGrid>
      <w:tr w:rsidR="00DA121A">
        <w:trPr>
          <w:trHeight w:val="631"/>
        </w:trPr>
        <w:tc>
          <w:tcPr>
            <w:tcW w:w="5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jc w:val="left"/>
            </w:pPr>
            <w:r>
              <w:rPr>
                <w:sz w:val="18"/>
              </w:rPr>
              <w:t>AÑ</w:t>
            </w:r>
          </w:p>
          <w:p w:rsidR="00DA121A" w:rsidRDefault="00904DD6">
            <w:pPr>
              <w:spacing w:after="0" w:line="259" w:lineRule="auto"/>
              <w:ind w:left="3" w:firstLine="0"/>
              <w:jc w:val="left"/>
            </w:pPr>
            <w:r>
              <w:rPr>
                <w:sz w:val="18"/>
              </w:rPr>
              <w:t xml:space="preserve">O </w:t>
            </w:r>
          </w:p>
        </w:tc>
        <w:tc>
          <w:tcPr>
            <w:tcW w:w="109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PADRON </w:t>
            </w:r>
          </w:p>
        </w:tc>
        <w:tc>
          <w:tcPr>
            <w:tcW w:w="4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Nº </w:t>
            </w:r>
          </w:p>
          <w:p w:rsidR="00DA121A" w:rsidRDefault="00904DD6">
            <w:pPr>
              <w:spacing w:after="0" w:line="259" w:lineRule="auto"/>
              <w:ind w:left="2" w:firstLine="0"/>
              <w:jc w:val="left"/>
            </w:pPr>
            <w:r>
              <w:rPr>
                <w:sz w:val="18"/>
              </w:rPr>
              <w:t>RECIB</w:t>
            </w:r>
          </w:p>
          <w:p w:rsidR="00DA121A" w:rsidRDefault="00904DD6">
            <w:pPr>
              <w:spacing w:after="0" w:line="259" w:lineRule="auto"/>
              <w:ind w:left="2" w:firstLine="0"/>
              <w:jc w:val="left"/>
            </w:pPr>
            <w:r>
              <w:rPr>
                <w:sz w:val="18"/>
              </w:rPr>
              <w:t xml:space="preserve">OS </w:t>
            </w:r>
          </w:p>
        </w:tc>
        <w:tc>
          <w:tcPr>
            <w:tcW w:w="3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TIPO </w:t>
            </w:r>
          </w:p>
          <w:p w:rsidR="00DA121A" w:rsidRDefault="00904DD6">
            <w:pPr>
              <w:spacing w:after="0" w:line="259" w:lineRule="auto"/>
              <w:ind w:left="2" w:firstLine="0"/>
            </w:pPr>
            <w:r>
              <w:rPr>
                <w:sz w:val="18"/>
              </w:rPr>
              <w:t>GRAVAME</w:t>
            </w:r>
          </w:p>
          <w:p w:rsidR="00DA121A" w:rsidRDefault="00904DD6">
            <w:pPr>
              <w:spacing w:after="0" w:line="259" w:lineRule="auto"/>
              <w:ind w:left="2" w:firstLine="0"/>
              <w:jc w:val="left"/>
            </w:pPr>
            <w:r>
              <w:rPr>
                <w:sz w:val="18"/>
              </w:rPr>
              <w:t xml:space="preserve">N </w:t>
            </w:r>
          </w:p>
        </w:tc>
        <w:tc>
          <w:tcPr>
            <w:tcW w:w="113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PRESUPUE STO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INGRESOS </w:t>
            </w:r>
          </w:p>
          <w:p w:rsidR="00DA121A" w:rsidRDefault="00904DD6">
            <w:pPr>
              <w:spacing w:after="0" w:line="259" w:lineRule="auto"/>
              <w:ind w:left="2" w:firstLine="0"/>
            </w:pPr>
            <w:r>
              <w:rPr>
                <w:sz w:val="18"/>
              </w:rPr>
              <w:t>LIQUIDADO</w:t>
            </w:r>
          </w:p>
          <w:p w:rsidR="00DA121A" w:rsidRDefault="00904DD6">
            <w:pPr>
              <w:spacing w:after="0" w:line="259" w:lineRule="auto"/>
              <w:ind w:left="2" w:firstLine="0"/>
              <w:jc w:val="left"/>
            </w:pPr>
            <w:r>
              <w:rPr>
                <w:sz w:val="18"/>
              </w:rPr>
              <w:t xml:space="preserve">S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RECAUDACIÓ</w:t>
            </w:r>
          </w:p>
          <w:p w:rsidR="00DA121A" w:rsidRDefault="00904DD6">
            <w:pPr>
              <w:spacing w:after="0" w:line="259" w:lineRule="auto"/>
              <w:ind w:left="2" w:firstLine="0"/>
              <w:jc w:val="left"/>
            </w:pPr>
            <w:r>
              <w:rPr>
                <w:sz w:val="18"/>
              </w:rPr>
              <w:t xml:space="preserve">N LÍQUIDA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r>
      <w:tr w:rsidR="00DA121A">
        <w:trPr>
          <w:trHeight w:val="422"/>
        </w:trPr>
        <w:tc>
          <w:tcPr>
            <w:tcW w:w="5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jc w:val="left"/>
            </w:pPr>
            <w:r>
              <w:rPr>
                <w:sz w:val="18"/>
              </w:rPr>
              <w:t>202</w:t>
            </w:r>
          </w:p>
          <w:p w:rsidR="00DA121A" w:rsidRDefault="00904DD6">
            <w:pPr>
              <w:spacing w:after="0" w:line="259" w:lineRule="auto"/>
              <w:ind w:left="3" w:firstLine="0"/>
              <w:jc w:val="left"/>
            </w:pPr>
            <w:r>
              <w:rPr>
                <w:sz w:val="18"/>
              </w:rPr>
              <w:t xml:space="preserve">2 </w:t>
            </w:r>
          </w:p>
        </w:tc>
        <w:tc>
          <w:tcPr>
            <w:tcW w:w="109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6.562.225,2</w:t>
            </w:r>
          </w:p>
          <w:p w:rsidR="00DA121A" w:rsidRDefault="00904DD6">
            <w:pPr>
              <w:spacing w:after="0" w:line="259" w:lineRule="auto"/>
              <w:ind w:left="2" w:firstLine="0"/>
              <w:jc w:val="left"/>
            </w:pPr>
            <w:r>
              <w:rPr>
                <w:sz w:val="18"/>
              </w:rPr>
              <w:t xml:space="preserve">8 </w:t>
            </w:r>
          </w:p>
        </w:tc>
        <w:tc>
          <w:tcPr>
            <w:tcW w:w="4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7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22.173 </w:t>
            </w:r>
          </w:p>
        </w:tc>
        <w:tc>
          <w:tcPr>
            <w:tcW w:w="3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102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0,53 </w:t>
            </w:r>
          </w:p>
        </w:tc>
        <w:tc>
          <w:tcPr>
            <w:tcW w:w="113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6.350.000,0</w:t>
            </w:r>
          </w:p>
          <w:p w:rsidR="00DA121A" w:rsidRDefault="00904DD6">
            <w:pPr>
              <w:spacing w:after="0" w:line="259" w:lineRule="auto"/>
              <w:ind w:left="2" w:firstLine="0"/>
              <w:jc w:val="left"/>
            </w:pPr>
            <w:r>
              <w:rPr>
                <w:sz w:val="18"/>
              </w:rPr>
              <w:t xml:space="preserve">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6.164.475,2</w:t>
            </w:r>
          </w:p>
          <w:p w:rsidR="00DA121A" w:rsidRDefault="00904DD6">
            <w:pPr>
              <w:spacing w:after="0" w:line="259" w:lineRule="auto"/>
              <w:ind w:left="2" w:firstLine="0"/>
              <w:jc w:val="left"/>
            </w:pPr>
            <w:r>
              <w:rPr>
                <w:sz w:val="18"/>
              </w:rPr>
              <w:t xml:space="preserve">5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3,5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6.164.475,25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3,5 </w:t>
            </w:r>
          </w:p>
        </w:tc>
      </w:tr>
      <w:tr w:rsidR="00DA121A">
        <w:trPr>
          <w:trHeight w:val="425"/>
        </w:trPr>
        <w:tc>
          <w:tcPr>
            <w:tcW w:w="5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jc w:val="left"/>
            </w:pPr>
            <w:r>
              <w:rPr>
                <w:sz w:val="18"/>
              </w:rPr>
              <w:t>202</w:t>
            </w:r>
          </w:p>
          <w:p w:rsidR="00DA121A" w:rsidRDefault="00904DD6">
            <w:pPr>
              <w:spacing w:after="0" w:line="259" w:lineRule="auto"/>
              <w:ind w:left="3" w:firstLine="0"/>
              <w:jc w:val="left"/>
            </w:pPr>
            <w:r>
              <w:rPr>
                <w:sz w:val="18"/>
              </w:rPr>
              <w:t xml:space="preserve">1 </w:t>
            </w:r>
          </w:p>
        </w:tc>
        <w:tc>
          <w:tcPr>
            <w:tcW w:w="109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6.552.620,1</w:t>
            </w:r>
          </w:p>
          <w:p w:rsidR="00DA121A" w:rsidRDefault="00904DD6">
            <w:pPr>
              <w:spacing w:after="0" w:line="259" w:lineRule="auto"/>
              <w:ind w:left="2" w:firstLine="0"/>
              <w:jc w:val="left"/>
            </w:pPr>
            <w:r>
              <w:rPr>
                <w:sz w:val="18"/>
              </w:rPr>
              <w:t xml:space="preserve">7 </w:t>
            </w:r>
          </w:p>
        </w:tc>
        <w:tc>
          <w:tcPr>
            <w:tcW w:w="4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0,08 </w:t>
            </w:r>
          </w:p>
        </w:tc>
        <w:tc>
          <w:tcPr>
            <w:tcW w:w="7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22.173 </w:t>
            </w:r>
          </w:p>
        </w:tc>
        <w:tc>
          <w:tcPr>
            <w:tcW w:w="3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0,3 </w:t>
            </w:r>
          </w:p>
        </w:tc>
        <w:tc>
          <w:tcPr>
            <w:tcW w:w="102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0,53 </w:t>
            </w:r>
          </w:p>
        </w:tc>
        <w:tc>
          <w:tcPr>
            <w:tcW w:w="113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6.350.000,0</w:t>
            </w:r>
          </w:p>
          <w:p w:rsidR="00DA121A" w:rsidRDefault="00904DD6">
            <w:pPr>
              <w:spacing w:after="0" w:line="259" w:lineRule="auto"/>
              <w:ind w:left="2" w:firstLine="0"/>
              <w:jc w:val="left"/>
            </w:pPr>
            <w:r>
              <w:rPr>
                <w:sz w:val="18"/>
              </w:rPr>
              <w:t xml:space="preserve">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1,2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5.955.574,2</w:t>
            </w:r>
          </w:p>
          <w:p w:rsidR="00DA121A" w:rsidRDefault="00904DD6">
            <w:pPr>
              <w:spacing w:after="0" w:line="259" w:lineRule="auto"/>
              <w:ind w:left="2" w:firstLine="0"/>
              <w:jc w:val="left"/>
            </w:pPr>
            <w:r>
              <w:rPr>
                <w:sz w:val="18"/>
              </w:rPr>
              <w:t xml:space="preserve">9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w:t>
            </w:r>
          </w:p>
          <w:p w:rsidR="00DA121A" w:rsidRDefault="00904DD6">
            <w:pPr>
              <w:spacing w:after="0" w:line="259" w:lineRule="auto"/>
              <w:ind w:left="2" w:firstLine="0"/>
            </w:pPr>
            <w:r>
              <w:rPr>
                <w:sz w:val="18"/>
              </w:rPr>
              <w:t xml:space="preserve">6,3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5.955.574,29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w:t>
            </w:r>
          </w:p>
          <w:p w:rsidR="00DA121A" w:rsidRDefault="00904DD6">
            <w:pPr>
              <w:spacing w:after="0" w:line="259" w:lineRule="auto"/>
              <w:ind w:left="2" w:firstLine="0"/>
            </w:pPr>
            <w:r>
              <w:rPr>
                <w:sz w:val="18"/>
              </w:rPr>
              <w:t xml:space="preserve">6,3 </w:t>
            </w:r>
          </w:p>
        </w:tc>
      </w:tr>
      <w:tr w:rsidR="00DA121A">
        <w:trPr>
          <w:trHeight w:val="425"/>
        </w:trPr>
        <w:tc>
          <w:tcPr>
            <w:tcW w:w="5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jc w:val="left"/>
            </w:pPr>
            <w:r>
              <w:rPr>
                <w:sz w:val="18"/>
              </w:rPr>
              <w:t>202</w:t>
            </w:r>
          </w:p>
          <w:p w:rsidR="00DA121A" w:rsidRDefault="00904DD6">
            <w:pPr>
              <w:spacing w:after="0" w:line="259" w:lineRule="auto"/>
              <w:ind w:left="3" w:firstLine="0"/>
              <w:jc w:val="left"/>
            </w:pPr>
            <w:r>
              <w:rPr>
                <w:sz w:val="18"/>
              </w:rPr>
              <w:t xml:space="preserve">0 </w:t>
            </w:r>
          </w:p>
        </w:tc>
        <w:tc>
          <w:tcPr>
            <w:tcW w:w="109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6.546.849,7</w:t>
            </w:r>
          </w:p>
          <w:p w:rsidR="00DA121A" w:rsidRDefault="00904DD6">
            <w:pPr>
              <w:spacing w:after="0" w:line="259" w:lineRule="auto"/>
              <w:ind w:left="2" w:firstLine="0"/>
              <w:jc w:val="left"/>
            </w:pPr>
            <w:r>
              <w:rPr>
                <w:sz w:val="18"/>
              </w:rPr>
              <w:t xml:space="preserve">5 </w:t>
            </w:r>
          </w:p>
        </w:tc>
        <w:tc>
          <w:tcPr>
            <w:tcW w:w="4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0,3 </w:t>
            </w:r>
          </w:p>
        </w:tc>
        <w:tc>
          <w:tcPr>
            <w:tcW w:w="7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22.102 </w:t>
            </w:r>
          </w:p>
        </w:tc>
        <w:tc>
          <w:tcPr>
            <w:tcW w:w="3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0,6 </w:t>
            </w:r>
          </w:p>
        </w:tc>
        <w:tc>
          <w:tcPr>
            <w:tcW w:w="102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0,53 </w:t>
            </w:r>
          </w:p>
        </w:tc>
        <w:tc>
          <w:tcPr>
            <w:tcW w:w="113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6.069.385,0</w:t>
            </w:r>
          </w:p>
          <w:p w:rsidR="00DA121A" w:rsidRDefault="00904DD6">
            <w:pPr>
              <w:spacing w:after="0" w:line="259" w:lineRule="auto"/>
              <w:ind w:left="2" w:firstLine="0"/>
              <w:jc w:val="left"/>
            </w:pPr>
            <w:r>
              <w:rPr>
                <w:sz w:val="18"/>
              </w:rPr>
              <w:t xml:space="preserve">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w:t>
            </w:r>
          </w:p>
          <w:p w:rsidR="00DA121A" w:rsidRDefault="00904DD6">
            <w:pPr>
              <w:spacing w:after="0" w:line="259" w:lineRule="auto"/>
              <w:ind w:left="2" w:firstLine="0"/>
            </w:pPr>
            <w:r>
              <w:rPr>
                <w:sz w:val="18"/>
              </w:rPr>
              <w:t xml:space="preserve">1,5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6.353.574,1</w:t>
            </w:r>
          </w:p>
          <w:p w:rsidR="00DA121A" w:rsidRDefault="00904DD6">
            <w:pPr>
              <w:spacing w:after="0" w:line="259" w:lineRule="auto"/>
              <w:ind w:left="2" w:firstLine="0"/>
              <w:jc w:val="left"/>
            </w:pPr>
            <w:r>
              <w:rPr>
                <w:sz w:val="18"/>
              </w:rPr>
              <w:t xml:space="preserve">8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3,5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6.353.574,18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3,5 </w:t>
            </w:r>
          </w:p>
        </w:tc>
      </w:tr>
      <w:tr w:rsidR="00DA121A">
        <w:trPr>
          <w:trHeight w:val="422"/>
        </w:trPr>
        <w:tc>
          <w:tcPr>
            <w:tcW w:w="5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jc w:val="left"/>
            </w:pPr>
            <w:r>
              <w:rPr>
                <w:sz w:val="18"/>
              </w:rPr>
              <w:t>201</w:t>
            </w:r>
          </w:p>
          <w:p w:rsidR="00DA121A" w:rsidRDefault="00904DD6">
            <w:pPr>
              <w:spacing w:after="0" w:line="259" w:lineRule="auto"/>
              <w:ind w:left="3" w:firstLine="0"/>
              <w:jc w:val="left"/>
            </w:pPr>
            <w:r>
              <w:rPr>
                <w:sz w:val="18"/>
              </w:rPr>
              <w:t xml:space="preserve">9 </w:t>
            </w:r>
          </w:p>
        </w:tc>
        <w:tc>
          <w:tcPr>
            <w:tcW w:w="109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6.523.389,9</w:t>
            </w:r>
          </w:p>
          <w:p w:rsidR="00DA121A" w:rsidRDefault="00904DD6">
            <w:pPr>
              <w:spacing w:after="0" w:line="259" w:lineRule="auto"/>
              <w:ind w:left="2" w:firstLine="0"/>
              <w:jc w:val="left"/>
            </w:pPr>
            <w:r>
              <w:rPr>
                <w:sz w:val="18"/>
              </w:rPr>
              <w:t xml:space="preserve">4 </w:t>
            </w:r>
          </w:p>
        </w:tc>
        <w:tc>
          <w:tcPr>
            <w:tcW w:w="4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-2,2 </w:t>
            </w:r>
          </w:p>
        </w:tc>
        <w:tc>
          <w:tcPr>
            <w:tcW w:w="7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21.963 </w:t>
            </w:r>
          </w:p>
        </w:tc>
        <w:tc>
          <w:tcPr>
            <w:tcW w:w="3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0,3 </w:t>
            </w:r>
          </w:p>
        </w:tc>
        <w:tc>
          <w:tcPr>
            <w:tcW w:w="102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0,53 </w:t>
            </w:r>
          </w:p>
        </w:tc>
        <w:tc>
          <w:tcPr>
            <w:tcW w:w="113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6.159.385,0</w:t>
            </w:r>
          </w:p>
          <w:p w:rsidR="00DA121A" w:rsidRDefault="00904DD6">
            <w:pPr>
              <w:spacing w:after="0" w:line="259" w:lineRule="auto"/>
              <w:ind w:left="2" w:firstLine="0"/>
              <w:jc w:val="left"/>
            </w:pPr>
            <w:r>
              <w:rPr>
                <w:sz w:val="18"/>
              </w:rPr>
              <w:t xml:space="preserve">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6.135.598,3</w:t>
            </w:r>
          </w:p>
          <w:p w:rsidR="00DA121A" w:rsidRDefault="00904DD6">
            <w:pPr>
              <w:spacing w:after="0" w:line="259" w:lineRule="auto"/>
              <w:ind w:left="2" w:firstLine="0"/>
              <w:jc w:val="left"/>
            </w:pPr>
            <w:r>
              <w:rPr>
                <w:sz w:val="18"/>
              </w:rPr>
              <w:t xml:space="preserve">4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7,1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6.135.598,34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5,8 </w:t>
            </w:r>
          </w:p>
        </w:tc>
      </w:tr>
      <w:tr w:rsidR="00DA121A">
        <w:trPr>
          <w:trHeight w:val="425"/>
        </w:trPr>
        <w:tc>
          <w:tcPr>
            <w:tcW w:w="52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jc w:val="left"/>
            </w:pPr>
            <w:r>
              <w:rPr>
                <w:sz w:val="18"/>
              </w:rPr>
              <w:t>201</w:t>
            </w:r>
          </w:p>
          <w:p w:rsidR="00DA121A" w:rsidRDefault="00904DD6">
            <w:pPr>
              <w:spacing w:after="0" w:line="259" w:lineRule="auto"/>
              <w:ind w:left="3" w:firstLine="0"/>
              <w:jc w:val="left"/>
            </w:pPr>
            <w:r>
              <w:rPr>
                <w:sz w:val="18"/>
              </w:rPr>
              <w:t xml:space="preserve">8 </w:t>
            </w:r>
          </w:p>
        </w:tc>
        <w:tc>
          <w:tcPr>
            <w:tcW w:w="109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6.669.916,2</w:t>
            </w:r>
          </w:p>
          <w:p w:rsidR="00DA121A" w:rsidRDefault="00904DD6">
            <w:pPr>
              <w:spacing w:after="0" w:line="259" w:lineRule="auto"/>
              <w:ind w:left="2" w:firstLine="0"/>
              <w:jc w:val="left"/>
            </w:pPr>
            <w:r>
              <w:rPr>
                <w:sz w:val="18"/>
              </w:rPr>
              <w:t xml:space="preserve">9 </w:t>
            </w:r>
          </w:p>
        </w:tc>
        <w:tc>
          <w:tcPr>
            <w:tcW w:w="4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3,4 </w:t>
            </w:r>
          </w:p>
        </w:tc>
        <w:tc>
          <w:tcPr>
            <w:tcW w:w="7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21.883 </w:t>
            </w:r>
          </w:p>
        </w:tc>
        <w:tc>
          <w:tcPr>
            <w:tcW w:w="3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2,3 </w:t>
            </w:r>
          </w:p>
        </w:tc>
        <w:tc>
          <w:tcPr>
            <w:tcW w:w="102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0,53 </w:t>
            </w:r>
          </w:p>
        </w:tc>
        <w:tc>
          <w:tcPr>
            <w:tcW w:w="113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6.159.385,0</w:t>
            </w:r>
          </w:p>
          <w:p w:rsidR="00DA121A" w:rsidRDefault="00904DD6">
            <w:pPr>
              <w:spacing w:after="0" w:line="259" w:lineRule="auto"/>
              <w:ind w:left="2" w:firstLine="0"/>
              <w:jc w:val="left"/>
            </w:pPr>
            <w:r>
              <w:rPr>
                <w:sz w:val="18"/>
              </w:rPr>
              <w:t xml:space="preserve">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1,7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5.725.984,3</w:t>
            </w:r>
          </w:p>
          <w:p w:rsidR="00DA121A" w:rsidRDefault="00904DD6">
            <w:pPr>
              <w:spacing w:after="0" w:line="259" w:lineRule="auto"/>
              <w:ind w:left="2" w:firstLine="0"/>
              <w:jc w:val="left"/>
            </w:pPr>
            <w:r>
              <w:rPr>
                <w:sz w:val="18"/>
              </w:rPr>
              <w:t xml:space="preserve">6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5.725.984,36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 </w:t>
            </w:r>
          </w:p>
        </w:tc>
      </w:tr>
    </w:tbl>
    <w:p w:rsidR="00DA121A" w:rsidRDefault="00904DD6">
      <w:pPr>
        <w:spacing w:after="27" w:line="259" w:lineRule="auto"/>
        <w:ind w:left="284" w:firstLine="0"/>
        <w:jc w:val="left"/>
      </w:pPr>
      <w:r>
        <w:rPr>
          <w:sz w:val="18"/>
        </w:rPr>
        <w:t xml:space="preserve"> </w:t>
      </w:r>
      <w:r>
        <w:rPr>
          <w:sz w:val="18"/>
        </w:rPr>
        <w:tab/>
        <w:t xml:space="preserve"> </w:t>
      </w:r>
    </w:p>
    <w:p w:rsidR="00DA121A" w:rsidRDefault="00904DD6">
      <w:pPr>
        <w:ind w:left="278" w:right="146" w:firstLine="708"/>
      </w:pPr>
      <w:r>
        <w:t xml:space="preserve">Crece un 3,5 %, respecto al año anterior, las cantidades liquidadas por este impuesto siendo éstas inferiores en un 3 % respecto las previsiones reflejadas para el año 2022, y un 6 %, respecto al padrón del impuesto.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i/>
        </w:rPr>
        <w:t xml:space="preserve"> </w:t>
      </w:r>
    </w:p>
    <w:p w:rsidR="00DA121A" w:rsidRDefault="00904DD6">
      <w:pPr>
        <w:spacing w:after="0" w:line="259" w:lineRule="auto"/>
        <w:ind w:left="279"/>
        <w:jc w:val="left"/>
      </w:pPr>
      <w:r>
        <w:rPr>
          <w:i/>
          <w:u w:val="single" w:color="000000"/>
        </w:rPr>
        <w:t>IBI RUSTICA</w:t>
      </w:r>
      <w:r>
        <w:rPr>
          <w:i/>
        </w:rPr>
        <w:t xml:space="preserve"> </w:t>
      </w:r>
    </w:p>
    <w:p w:rsidR="00DA121A" w:rsidRDefault="00904DD6">
      <w:pPr>
        <w:spacing w:after="0" w:line="259" w:lineRule="auto"/>
        <w:ind w:left="284" w:firstLine="0"/>
        <w:jc w:val="left"/>
      </w:pPr>
      <w:r>
        <w:rPr>
          <w:i/>
        </w:rPr>
        <w:t xml:space="preserve"> </w:t>
      </w:r>
    </w:p>
    <w:p w:rsidR="00DA121A" w:rsidRDefault="00904DD6">
      <w:pPr>
        <w:tabs>
          <w:tab w:val="center" w:pos="284"/>
          <w:tab w:val="center" w:pos="4300"/>
        </w:tabs>
        <w:ind w:left="0" w:firstLine="0"/>
        <w:jc w:val="left"/>
      </w:pPr>
      <w:r>
        <w:rPr>
          <w:rFonts w:ascii="Calibri" w:eastAsia="Calibri" w:hAnsi="Calibri" w:cs="Calibri"/>
        </w:rPr>
        <w:tab/>
      </w:r>
      <w:r>
        <w:t xml:space="preserve"> </w:t>
      </w:r>
      <w:r>
        <w:tab/>
        <w:t xml:space="preserve"> </w:t>
      </w:r>
      <w:r>
        <w:t xml:space="preserve">A continuación, se refleja en cuadro, la evolución de este impuesto: </w:t>
      </w:r>
    </w:p>
    <w:p w:rsidR="00DA121A" w:rsidRDefault="00904DD6">
      <w:pPr>
        <w:spacing w:after="0" w:line="259" w:lineRule="auto"/>
        <w:ind w:left="284" w:firstLine="0"/>
        <w:jc w:val="left"/>
      </w:pPr>
      <w:r>
        <w:t xml:space="preserve"> </w:t>
      </w:r>
    </w:p>
    <w:tbl>
      <w:tblPr>
        <w:tblStyle w:val="TableGrid"/>
        <w:tblW w:w="9357" w:type="dxa"/>
        <w:tblInd w:w="74" w:type="dxa"/>
        <w:tblCellMar>
          <w:top w:w="10" w:type="dxa"/>
          <w:left w:w="67" w:type="dxa"/>
          <w:bottom w:w="0" w:type="dxa"/>
          <w:right w:w="36" w:type="dxa"/>
        </w:tblCellMar>
        <w:tblLook w:val="04A0" w:firstRow="1" w:lastRow="0" w:firstColumn="1" w:lastColumn="0" w:noHBand="0" w:noVBand="1"/>
      </w:tblPr>
      <w:tblGrid>
        <w:gridCol w:w="570"/>
        <w:gridCol w:w="991"/>
        <w:gridCol w:w="425"/>
        <w:gridCol w:w="853"/>
        <w:gridCol w:w="425"/>
        <w:gridCol w:w="991"/>
        <w:gridCol w:w="1135"/>
        <w:gridCol w:w="425"/>
        <w:gridCol w:w="1135"/>
        <w:gridCol w:w="566"/>
        <w:gridCol w:w="1275"/>
        <w:gridCol w:w="566"/>
      </w:tblGrid>
      <w:tr w:rsidR="00DA121A">
        <w:trPr>
          <w:trHeight w:val="631"/>
        </w:trPr>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AÑO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PADRON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Nº </w:t>
            </w:r>
          </w:p>
          <w:p w:rsidR="00DA121A" w:rsidRDefault="00904DD6">
            <w:pPr>
              <w:spacing w:after="0" w:line="259" w:lineRule="auto"/>
              <w:ind w:left="2" w:firstLine="0"/>
            </w:pPr>
            <w:r>
              <w:rPr>
                <w:sz w:val="18"/>
              </w:rPr>
              <w:t>RECIBO</w:t>
            </w:r>
          </w:p>
          <w:p w:rsidR="00DA121A" w:rsidRDefault="00904DD6">
            <w:pPr>
              <w:spacing w:after="0" w:line="259" w:lineRule="auto"/>
              <w:ind w:left="2" w:firstLine="0"/>
              <w:jc w:val="left"/>
            </w:pPr>
            <w:r>
              <w:rPr>
                <w:sz w:val="18"/>
              </w:rPr>
              <w:t xml:space="preserve">S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TIPO </w:t>
            </w:r>
          </w:p>
          <w:p w:rsidR="00DA121A" w:rsidRDefault="00904DD6">
            <w:pPr>
              <w:spacing w:after="0" w:line="259" w:lineRule="auto"/>
              <w:ind w:left="2" w:firstLine="0"/>
              <w:jc w:val="left"/>
            </w:pPr>
            <w:r>
              <w:rPr>
                <w:sz w:val="18"/>
              </w:rPr>
              <w:t>GRAVAM</w:t>
            </w:r>
          </w:p>
          <w:p w:rsidR="00DA121A" w:rsidRDefault="00904DD6">
            <w:pPr>
              <w:spacing w:after="0" w:line="259" w:lineRule="auto"/>
              <w:ind w:left="2" w:firstLine="0"/>
              <w:jc w:val="left"/>
            </w:pPr>
            <w:r>
              <w:rPr>
                <w:sz w:val="18"/>
              </w:rPr>
              <w:t xml:space="preserve">EN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PRESUPUE</w:t>
            </w:r>
          </w:p>
          <w:p w:rsidR="00DA121A" w:rsidRDefault="00904DD6">
            <w:pPr>
              <w:spacing w:after="0" w:line="259" w:lineRule="auto"/>
              <w:ind w:left="2" w:firstLine="0"/>
              <w:jc w:val="left"/>
            </w:pPr>
            <w:r>
              <w:rPr>
                <w:sz w:val="18"/>
              </w:rPr>
              <w:t xml:space="preserve">STO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INGRESOS </w:t>
            </w:r>
          </w:p>
          <w:p w:rsidR="00DA121A" w:rsidRDefault="00904DD6">
            <w:pPr>
              <w:spacing w:after="0" w:line="259" w:lineRule="auto"/>
              <w:ind w:left="2" w:firstLine="0"/>
            </w:pPr>
            <w:r>
              <w:rPr>
                <w:sz w:val="18"/>
              </w:rPr>
              <w:t>LIQUIDADO</w:t>
            </w:r>
          </w:p>
          <w:p w:rsidR="00DA121A" w:rsidRDefault="00904DD6">
            <w:pPr>
              <w:spacing w:after="0" w:line="259" w:lineRule="auto"/>
              <w:ind w:left="2" w:firstLine="0"/>
              <w:jc w:val="left"/>
            </w:pPr>
            <w:r>
              <w:rPr>
                <w:sz w:val="18"/>
              </w:rPr>
              <w:t xml:space="preserve">S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RECAUDACI ÓN LÍQUIDA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r>
      <w:tr w:rsidR="00DA121A">
        <w:trPr>
          <w:trHeight w:val="425"/>
        </w:trPr>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2022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129.987,8</w:t>
            </w:r>
          </w:p>
          <w:p w:rsidR="00DA121A" w:rsidRDefault="00904DD6">
            <w:pPr>
              <w:spacing w:after="0" w:line="259" w:lineRule="auto"/>
              <w:ind w:left="2" w:firstLine="0"/>
              <w:jc w:val="left"/>
            </w:pPr>
            <w:r>
              <w:rPr>
                <w:sz w:val="18"/>
              </w:rPr>
              <w:t xml:space="preserve">8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930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0,53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118.000,00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107.850,70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2,8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107.850,70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2,8 </w:t>
            </w:r>
          </w:p>
        </w:tc>
      </w:tr>
      <w:tr w:rsidR="00DA121A">
        <w:trPr>
          <w:trHeight w:val="422"/>
        </w:trPr>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2021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129.040,3</w:t>
            </w:r>
          </w:p>
          <w:p w:rsidR="00DA121A" w:rsidRDefault="00904DD6">
            <w:pPr>
              <w:spacing w:after="0" w:line="259" w:lineRule="auto"/>
              <w:ind w:left="2" w:firstLine="0"/>
              <w:jc w:val="left"/>
            </w:pPr>
            <w:r>
              <w:rPr>
                <w:sz w:val="18"/>
              </w:rPr>
              <w:t xml:space="preserve">6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0,2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930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0,53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118.000,00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18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104.899,63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-11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104.899,63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-11,3 </w:t>
            </w:r>
          </w:p>
        </w:tc>
      </w:tr>
      <w:tr w:rsidR="00DA121A">
        <w:trPr>
          <w:trHeight w:val="425"/>
        </w:trPr>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2020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129.737,8</w:t>
            </w:r>
          </w:p>
          <w:p w:rsidR="00DA121A" w:rsidRDefault="00904DD6">
            <w:pPr>
              <w:spacing w:after="0" w:line="259" w:lineRule="auto"/>
              <w:ind w:left="2" w:firstLine="0"/>
              <w:jc w:val="left"/>
            </w:pPr>
            <w:r>
              <w:rPr>
                <w:sz w:val="18"/>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2,2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937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2,1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0,53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100.000,00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118.196,69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7,8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118.196,69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7,8 </w:t>
            </w:r>
          </w:p>
        </w:tc>
      </w:tr>
      <w:tr w:rsidR="00DA121A">
        <w:trPr>
          <w:trHeight w:val="425"/>
        </w:trPr>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2019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126.837,5</w:t>
            </w:r>
          </w:p>
          <w:p w:rsidR="00DA121A" w:rsidRDefault="00904DD6">
            <w:pPr>
              <w:spacing w:after="0" w:line="259" w:lineRule="auto"/>
              <w:ind w:left="2" w:firstLine="0"/>
              <w:jc w:val="left"/>
            </w:pPr>
            <w:r>
              <w:rPr>
                <w:sz w:val="18"/>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5,1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917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0,7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0,53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108.000,00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109.546,39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30,6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109.546,39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30,6 </w:t>
            </w:r>
          </w:p>
        </w:tc>
      </w:tr>
      <w:tr w:rsidR="00DA121A">
        <w:trPr>
          <w:trHeight w:val="425"/>
        </w:trPr>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2018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120.613,0</w:t>
            </w:r>
          </w:p>
          <w:p w:rsidR="00DA121A" w:rsidRDefault="00904DD6">
            <w:pPr>
              <w:spacing w:after="0" w:line="259" w:lineRule="auto"/>
              <w:ind w:left="2" w:firstLine="0"/>
              <w:jc w:val="left"/>
            </w:pPr>
            <w:r>
              <w:rPr>
                <w:sz w:val="18"/>
              </w:rPr>
              <w:t xml:space="preserve">8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9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910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-14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0,53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108.000,00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42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82.512,08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-23,5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82.512,08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-23,5 </w:t>
            </w:r>
          </w:p>
        </w:tc>
      </w:tr>
    </w:tbl>
    <w:p w:rsidR="00DA121A" w:rsidRDefault="00904DD6">
      <w:pPr>
        <w:spacing w:after="0" w:line="259" w:lineRule="auto"/>
        <w:ind w:left="284" w:firstLine="0"/>
        <w:jc w:val="left"/>
      </w:pPr>
      <w:r>
        <w:rPr>
          <w:sz w:val="20"/>
        </w:rPr>
        <w:t xml:space="preserve"> </w:t>
      </w:r>
    </w:p>
    <w:p w:rsidR="00DA121A" w:rsidRDefault="00904DD6">
      <w:pPr>
        <w:ind w:left="278" w:right="146" w:firstLine="708"/>
      </w:pPr>
      <w:r>
        <w:t xml:space="preserve">Aumentan un 2,8 % las cantidades liquidadas e ingresadas, siendo inferiores en un 8,7 % respecto a las previsiones del año 2022, y un 17 % respecto al padrón de ese ejercicio. </w:t>
      </w:r>
    </w:p>
    <w:p w:rsidR="00DA121A" w:rsidRDefault="00904DD6">
      <w:pPr>
        <w:spacing w:after="0" w:line="259" w:lineRule="auto"/>
        <w:ind w:left="284" w:firstLine="0"/>
        <w:jc w:val="left"/>
      </w:pPr>
      <w:r>
        <w:t xml:space="preserve"> </w:t>
      </w:r>
    </w:p>
    <w:p w:rsidR="00DA121A" w:rsidRDefault="00904DD6">
      <w:pPr>
        <w:spacing w:after="0" w:line="259" w:lineRule="auto"/>
        <w:ind w:left="279"/>
        <w:jc w:val="left"/>
      </w:pPr>
      <w:r>
        <w:rPr>
          <w:i/>
          <w:u w:val="single" w:color="000000"/>
        </w:rPr>
        <w:t>IVTM</w:t>
      </w:r>
      <w:r>
        <w:rPr>
          <w:i/>
        </w:rPr>
        <w:t xml:space="preserve"> </w:t>
      </w:r>
    </w:p>
    <w:p w:rsidR="00DA121A" w:rsidRDefault="00904DD6">
      <w:pPr>
        <w:spacing w:after="0" w:line="259" w:lineRule="auto"/>
        <w:ind w:left="992" w:firstLine="0"/>
        <w:jc w:val="left"/>
      </w:pPr>
      <w:r>
        <w:rPr>
          <w:i/>
        </w:rPr>
        <w:t xml:space="preserve"> </w:t>
      </w:r>
    </w:p>
    <w:p w:rsidR="00DA121A" w:rsidRDefault="00904DD6">
      <w:pPr>
        <w:ind w:left="1002" w:right="146"/>
      </w:pPr>
      <w:r>
        <w:t xml:space="preserve"> A continuación, se refleja en cuadro, la evolución de este impuesto:</w:t>
      </w:r>
      <w:r>
        <w:t xml:space="preserve"> </w:t>
      </w:r>
    </w:p>
    <w:p w:rsidR="00DA121A" w:rsidRDefault="00904DD6">
      <w:pPr>
        <w:spacing w:after="0" w:line="259" w:lineRule="auto"/>
        <w:ind w:left="992" w:firstLine="0"/>
        <w:jc w:val="left"/>
      </w:pPr>
      <w:r>
        <w:t xml:space="preserve"> </w:t>
      </w:r>
    </w:p>
    <w:tbl>
      <w:tblPr>
        <w:tblStyle w:val="TableGrid"/>
        <w:tblW w:w="9499" w:type="dxa"/>
        <w:tblInd w:w="-67" w:type="dxa"/>
        <w:tblCellMar>
          <w:top w:w="10" w:type="dxa"/>
          <w:left w:w="67" w:type="dxa"/>
          <w:bottom w:w="0" w:type="dxa"/>
          <w:right w:w="39" w:type="dxa"/>
        </w:tblCellMar>
        <w:tblLook w:val="04A0" w:firstRow="1" w:lastRow="0" w:firstColumn="1" w:lastColumn="0" w:noHBand="0" w:noVBand="1"/>
      </w:tblPr>
      <w:tblGrid>
        <w:gridCol w:w="567"/>
        <w:gridCol w:w="1186"/>
        <w:gridCol w:w="374"/>
        <w:gridCol w:w="853"/>
        <w:gridCol w:w="425"/>
        <w:gridCol w:w="991"/>
        <w:gridCol w:w="1135"/>
        <w:gridCol w:w="425"/>
        <w:gridCol w:w="1274"/>
        <w:gridCol w:w="569"/>
        <w:gridCol w:w="1275"/>
        <w:gridCol w:w="425"/>
      </w:tblGrid>
      <w:tr w:rsidR="00DA121A">
        <w:trPr>
          <w:trHeight w:val="632"/>
        </w:trPr>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AÑO </w:t>
            </w:r>
          </w:p>
        </w:tc>
        <w:tc>
          <w:tcPr>
            <w:tcW w:w="11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PADRON </w:t>
            </w:r>
          </w:p>
        </w:tc>
        <w:tc>
          <w:tcPr>
            <w:tcW w:w="3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Nº </w:t>
            </w:r>
          </w:p>
          <w:p w:rsidR="00DA121A" w:rsidRDefault="00904DD6">
            <w:pPr>
              <w:spacing w:after="0" w:line="259" w:lineRule="auto"/>
              <w:ind w:left="2" w:firstLine="0"/>
            </w:pPr>
            <w:r>
              <w:rPr>
                <w:sz w:val="18"/>
              </w:rPr>
              <w:t>RECIBO</w:t>
            </w:r>
          </w:p>
          <w:p w:rsidR="00DA121A" w:rsidRDefault="00904DD6">
            <w:pPr>
              <w:spacing w:after="0" w:line="259" w:lineRule="auto"/>
              <w:ind w:left="2" w:firstLine="0"/>
              <w:jc w:val="left"/>
            </w:pPr>
            <w:r>
              <w:rPr>
                <w:sz w:val="18"/>
              </w:rPr>
              <w:t xml:space="preserve">S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TIPO </w:t>
            </w:r>
          </w:p>
          <w:p w:rsidR="00DA121A" w:rsidRDefault="00904DD6">
            <w:pPr>
              <w:spacing w:after="0" w:line="259" w:lineRule="auto"/>
              <w:ind w:left="2" w:firstLine="0"/>
              <w:jc w:val="left"/>
            </w:pPr>
            <w:r>
              <w:rPr>
                <w:sz w:val="18"/>
              </w:rPr>
              <w:t>GRAVAM</w:t>
            </w:r>
          </w:p>
          <w:p w:rsidR="00DA121A" w:rsidRDefault="00904DD6">
            <w:pPr>
              <w:spacing w:after="0" w:line="259" w:lineRule="auto"/>
              <w:ind w:left="2" w:firstLine="0"/>
              <w:jc w:val="left"/>
            </w:pPr>
            <w:r>
              <w:rPr>
                <w:sz w:val="18"/>
              </w:rPr>
              <w:t xml:space="preserve">EN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PRESUPUE</w:t>
            </w:r>
          </w:p>
          <w:p w:rsidR="00DA121A" w:rsidRDefault="00904DD6">
            <w:pPr>
              <w:spacing w:after="0" w:line="259" w:lineRule="auto"/>
              <w:ind w:left="2" w:firstLine="0"/>
              <w:jc w:val="left"/>
            </w:pPr>
            <w:r>
              <w:rPr>
                <w:sz w:val="18"/>
              </w:rPr>
              <w:t xml:space="preserve">STO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INGRESOS LIQUIDADOS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RECAUDACI ÓN LÍQUIDA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r>
      <w:tr w:rsidR="00DA121A">
        <w:trPr>
          <w:trHeight w:val="425"/>
        </w:trPr>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2022 </w:t>
            </w:r>
          </w:p>
        </w:tc>
        <w:tc>
          <w:tcPr>
            <w:tcW w:w="11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1.051.667,2</w:t>
            </w:r>
          </w:p>
          <w:p w:rsidR="00DA121A" w:rsidRDefault="00904DD6">
            <w:pPr>
              <w:spacing w:after="0" w:line="259" w:lineRule="auto"/>
              <w:ind w:left="2" w:firstLine="0"/>
              <w:jc w:val="left"/>
            </w:pPr>
            <w:r>
              <w:rPr>
                <w:sz w:val="18"/>
              </w:rPr>
              <w:t xml:space="preserve">8 </w:t>
            </w:r>
          </w:p>
        </w:tc>
        <w:tc>
          <w:tcPr>
            <w:tcW w:w="3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18.178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1,33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777.000,00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861.162,10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5,7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861.162,10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5,7 </w:t>
            </w:r>
          </w:p>
        </w:tc>
      </w:tr>
      <w:tr w:rsidR="00DA121A">
        <w:trPr>
          <w:trHeight w:val="422"/>
        </w:trPr>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2021 </w:t>
            </w:r>
          </w:p>
        </w:tc>
        <w:tc>
          <w:tcPr>
            <w:tcW w:w="11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1.052.535,4</w:t>
            </w:r>
          </w:p>
          <w:p w:rsidR="00DA121A" w:rsidRDefault="00904DD6">
            <w:pPr>
              <w:spacing w:after="0" w:line="259" w:lineRule="auto"/>
              <w:ind w:left="2" w:firstLine="0"/>
              <w:jc w:val="left"/>
            </w:pPr>
            <w:r>
              <w:rPr>
                <w:sz w:val="18"/>
              </w:rPr>
              <w:t xml:space="preserve">1 </w:t>
            </w:r>
          </w:p>
        </w:tc>
        <w:tc>
          <w:tcPr>
            <w:tcW w:w="3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-3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17.948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0,4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1,33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777.000,00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3,6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814.747,50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4,8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814.747,50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4,8 </w:t>
            </w:r>
          </w:p>
        </w:tc>
      </w:tr>
      <w:tr w:rsidR="00DA121A">
        <w:trPr>
          <w:trHeight w:val="425"/>
        </w:trPr>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2020 </w:t>
            </w:r>
          </w:p>
        </w:tc>
        <w:tc>
          <w:tcPr>
            <w:tcW w:w="11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1.086.398,9</w:t>
            </w:r>
          </w:p>
          <w:p w:rsidR="00DA121A" w:rsidRDefault="00904DD6">
            <w:pPr>
              <w:spacing w:after="0" w:line="259" w:lineRule="auto"/>
              <w:ind w:left="2" w:firstLine="0"/>
              <w:jc w:val="left"/>
            </w:pPr>
            <w:r>
              <w:rPr>
                <w:sz w:val="18"/>
              </w:rPr>
              <w:t xml:space="preserve">9 </w:t>
            </w:r>
          </w:p>
        </w:tc>
        <w:tc>
          <w:tcPr>
            <w:tcW w:w="3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0,</w:t>
            </w:r>
          </w:p>
          <w:p w:rsidR="00DA121A" w:rsidRDefault="00904DD6">
            <w:pPr>
              <w:spacing w:after="0" w:line="259" w:lineRule="auto"/>
              <w:ind w:left="2" w:firstLine="0"/>
              <w:jc w:val="left"/>
            </w:pPr>
            <w:r>
              <w:rPr>
                <w:sz w:val="18"/>
              </w:rPr>
              <w:t xml:space="preserve">9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17.868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1,33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750.00,00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w:t>
            </w:r>
          </w:p>
          <w:p w:rsidR="00DA121A" w:rsidRDefault="00904DD6">
            <w:pPr>
              <w:spacing w:after="0" w:line="259" w:lineRule="auto"/>
              <w:ind w:left="0" w:firstLine="0"/>
            </w:pPr>
            <w:r>
              <w:rPr>
                <w:sz w:val="18"/>
              </w:rPr>
              <w:t xml:space="preserve">6,2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777.712,42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-28,7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777.712,42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r>
      <w:tr w:rsidR="00DA121A">
        <w:trPr>
          <w:trHeight w:val="425"/>
        </w:trPr>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2019 </w:t>
            </w:r>
          </w:p>
        </w:tc>
        <w:tc>
          <w:tcPr>
            <w:tcW w:w="11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1.075.922,7</w:t>
            </w:r>
          </w:p>
          <w:p w:rsidR="00DA121A" w:rsidRDefault="00904DD6">
            <w:pPr>
              <w:spacing w:after="0" w:line="259" w:lineRule="auto"/>
              <w:ind w:left="2" w:firstLine="0"/>
              <w:jc w:val="left"/>
            </w:pPr>
            <w:r>
              <w:rPr>
                <w:sz w:val="18"/>
              </w:rPr>
              <w:t xml:space="preserve">3 </w:t>
            </w:r>
          </w:p>
        </w:tc>
        <w:tc>
          <w:tcPr>
            <w:tcW w:w="3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2,</w:t>
            </w:r>
          </w:p>
          <w:p w:rsidR="00DA121A" w:rsidRDefault="00904DD6">
            <w:pPr>
              <w:spacing w:after="0" w:line="259" w:lineRule="auto"/>
              <w:ind w:left="2" w:firstLine="0"/>
              <w:jc w:val="left"/>
            </w:pPr>
            <w:r>
              <w:rPr>
                <w:sz w:val="18"/>
              </w:rPr>
              <w:t xml:space="preserve">1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17.156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1,33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800.000,00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1.090.533,30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1,4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777.288,09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r>
      <w:tr w:rsidR="00DA121A">
        <w:trPr>
          <w:trHeight w:val="422"/>
        </w:trPr>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2018 </w:t>
            </w:r>
          </w:p>
        </w:tc>
        <w:tc>
          <w:tcPr>
            <w:tcW w:w="11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1.053.218,2</w:t>
            </w:r>
          </w:p>
          <w:p w:rsidR="00DA121A" w:rsidRDefault="00904DD6">
            <w:pPr>
              <w:spacing w:after="0" w:line="259" w:lineRule="auto"/>
              <w:ind w:left="2" w:firstLine="0"/>
              <w:jc w:val="left"/>
            </w:pPr>
            <w:r>
              <w:rPr>
                <w:sz w:val="18"/>
              </w:rPr>
              <w:t xml:space="preserve">7 </w:t>
            </w:r>
          </w:p>
        </w:tc>
        <w:tc>
          <w:tcPr>
            <w:tcW w:w="3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2,</w:t>
            </w:r>
          </w:p>
          <w:p w:rsidR="00DA121A" w:rsidRDefault="00904DD6">
            <w:pPr>
              <w:spacing w:after="0" w:line="259" w:lineRule="auto"/>
              <w:ind w:left="2" w:firstLine="0"/>
              <w:jc w:val="left"/>
            </w:pPr>
            <w:r>
              <w:rPr>
                <w:sz w:val="18"/>
              </w:rPr>
              <w:t xml:space="preserve">5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16.763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2,5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1,33 </w:t>
            </w:r>
          </w:p>
        </w:tc>
        <w:tc>
          <w:tcPr>
            <w:tcW w:w="11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800.000,00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1.075.389,38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2,2 </w:t>
            </w:r>
          </w:p>
        </w:tc>
        <w:tc>
          <w:tcPr>
            <w:tcW w:w="127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776.982,02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-3 </w:t>
            </w:r>
          </w:p>
        </w:tc>
      </w:tr>
    </w:tbl>
    <w:p w:rsidR="00DA121A" w:rsidRDefault="00904DD6">
      <w:pPr>
        <w:spacing w:after="0" w:line="259" w:lineRule="auto"/>
        <w:ind w:left="284" w:firstLine="0"/>
        <w:jc w:val="left"/>
      </w:pPr>
      <w:r>
        <w:t xml:space="preserve"> </w:t>
      </w:r>
    </w:p>
    <w:p w:rsidR="00DA121A" w:rsidRDefault="00904DD6">
      <w:pPr>
        <w:ind w:left="142" w:right="146" w:firstLine="142"/>
      </w:pPr>
      <w:r>
        <w:rPr>
          <w:rFonts w:ascii="Times New Roman" w:eastAsia="Times New Roman" w:hAnsi="Times New Roman" w:cs="Times New Roman"/>
        </w:rPr>
        <w:t xml:space="preserve"> </w:t>
      </w:r>
      <w:r>
        <w:t>Suben los ingresos liquidados en este impuesto en un 5,7 %, así como un 10,8 %, respecto a las cantidades presupuestadas, pero cae un 18,1 % respecto al padrón del año 2022.</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jc w:val="left"/>
      </w:pPr>
      <w:r>
        <w:rPr>
          <w:i/>
          <w:u w:val="single" w:color="000000"/>
        </w:rPr>
        <w:t>IIVTNU</w:t>
      </w:r>
      <w:r>
        <w:rPr>
          <w:rFonts w:ascii="Times New Roman" w:eastAsia="Times New Roman" w:hAnsi="Times New Roman" w:cs="Times New Roman"/>
          <w:sz w:val="24"/>
        </w:rPr>
        <w:t xml:space="preserve"> </w:t>
      </w:r>
    </w:p>
    <w:p w:rsidR="00DA121A" w:rsidRDefault="00904DD6">
      <w:pPr>
        <w:spacing w:after="0" w:line="259" w:lineRule="auto"/>
        <w:ind w:left="992" w:firstLine="0"/>
        <w:jc w:val="left"/>
      </w:pPr>
      <w:r>
        <w:t xml:space="preserve">  </w:t>
      </w:r>
    </w:p>
    <w:p w:rsidR="00DA121A" w:rsidRDefault="00904DD6">
      <w:pPr>
        <w:ind w:left="288" w:right="146"/>
      </w:pPr>
      <w:r>
        <w:t xml:space="preserve">A continuación, se refleja en cuadro, la evolución de este impuesto de plusvalías: </w:t>
      </w:r>
    </w:p>
    <w:p w:rsidR="00DA121A" w:rsidRDefault="00904DD6">
      <w:pPr>
        <w:spacing w:after="0" w:line="259" w:lineRule="auto"/>
        <w:ind w:left="992" w:firstLine="0"/>
        <w:jc w:val="left"/>
      </w:pPr>
      <w:r>
        <w:t xml:space="preserve"> </w:t>
      </w:r>
    </w:p>
    <w:tbl>
      <w:tblPr>
        <w:tblStyle w:val="TableGrid"/>
        <w:tblW w:w="7684" w:type="dxa"/>
        <w:tblInd w:w="190" w:type="dxa"/>
        <w:tblCellMar>
          <w:top w:w="9" w:type="dxa"/>
          <w:left w:w="67" w:type="dxa"/>
          <w:bottom w:w="0" w:type="dxa"/>
          <w:right w:w="17" w:type="dxa"/>
        </w:tblCellMar>
        <w:tblLook w:val="04A0" w:firstRow="1" w:lastRow="0" w:firstColumn="1" w:lastColumn="0" w:noHBand="0" w:noVBand="1"/>
      </w:tblPr>
      <w:tblGrid>
        <w:gridCol w:w="577"/>
        <w:gridCol w:w="1013"/>
        <w:gridCol w:w="1417"/>
        <w:gridCol w:w="566"/>
        <w:gridCol w:w="1560"/>
        <w:gridCol w:w="567"/>
        <w:gridCol w:w="1274"/>
        <w:gridCol w:w="710"/>
      </w:tblGrid>
      <w:tr w:rsidR="00DA121A">
        <w:trPr>
          <w:trHeight w:val="698"/>
        </w:trPr>
        <w:tc>
          <w:tcPr>
            <w:tcW w:w="57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pPr>
            <w:r>
              <w:rPr>
                <w:sz w:val="20"/>
              </w:rPr>
              <w:t xml:space="preserve">AÑO </w:t>
            </w:r>
          </w:p>
        </w:tc>
        <w:tc>
          <w:tcPr>
            <w:tcW w:w="101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TIPO </w:t>
            </w:r>
          </w:p>
          <w:p w:rsidR="00DA121A" w:rsidRDefault="00904DD6">
            <w:pPr>
              <w:spacing w:after="0" w:line="259" w:lineRule="auto"/>
              <w:ind w:left="2" w:firstLine="0"/>
            </w:pPr>
            <w:r>
              <w:rPr>
                <w:sz w:val="20"/>
              </w:rPr>
              <w:t>GRAVAM</w:t>
            </w:r>
          </w:p>
          <w:p w:rsidR="00DA121A" w:rsidRDefault="00904DD6">
            <w:pPr>
              <w:spacing w:after="0" w:line="259" w:lineRule="auto"/>
              <w:ind w:left="2" w:firstLine="0"/>
              <w:jc w:val="left"/>
            </w:pPr>
            <w:r>
              <w:rPr>
                <w:sz w:val="20"/>
              </w:rPr>
              <w:t xml:space="preserve">EN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PRESUPUES</w:t>
            </w:r>
          </w:p>
          <w:p w:rsidR="00DA121A" w:rsidRDefault="00904DD6">
            <w:pPr>
              <w:spacing w:after="0" w:line="259" w:lineRule="auto"/>
              <w:ind w:left="2" w:firstLine="0"/>
              <w:jc w:val="left"/>
            </w:pPr>
            <w:r>
              <w:rPr>
                <w:sz w:val="20"/>
              </w:rPr>
              <w:t xml:space="preserve">TO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INGRESOS LIQUIDADOS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RECAUDAC</w:t>
            </w:r>
          </w:p>
          <w:p w:rsidR="00DA121A" w:rsidRDefault="00904DD6">
            <w:pPr>
              <w:spacing w:after="0" w:line="259" w:lineRule="auto"/>
              <w:ind w:left="2" w:firstLine="0"/>
              <w:jc w:val="left"/>
            </w:pPr>
            <w:r>
              <w:rPr>
                <w:sz w:val="20"/>
              </w:rPr>
              <w:t xml:space="preserve">IÓN </w:t>
            </w:r>
          </w:p>
          <w:p w:rsidR="00DA121A" w:rsidRDefault="00904DD6">
            <w:pPr>
              <w:spacing w:after="0" w:line="259" w:lineRule="auto"/>
              <w:ind w:left="2" w:firstLine="0"/>
              <w:jc w:val="left"/>
            </w:pPr>
            <w:r>
              <w:rPr>
                <w:sz w:val="20"/>
              </w:rPr>
              <w:t xml:space="preserve">LÍQUIDA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r>
      <w:tr w:rsidR="00DA121A">
        <w:trPr>
          <w:trHeight w:val="470"/>
        </w:trPr>
        <w:tc>
          <w:tcPr>
            <w:tcW w:w="57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jc w:val="left"/>
            </w:pPr>
            <w:r>
              <w:rPr>
                <w:sz w:val="20"/>
              </w:rPr>
              <w:t>202</w:t>
            </w:r>
          </w:p>
          <w:p w:rsidR="00DA121A" w:rsidRDefault="00904DD6">
            <w:pPr>
              <w:spacing w:after="0" w:line="259" w:lineRule="auto"/>
              <w:ind w:left="3" w:firstLine="0"/>
              <w:jc w:val="left"/>
            </w:pPr>
            <w:r>
              <w:rPr>
                <w:sz w:val="20"/>
              </w:rPr>
              <w:t xml:space="preserve">2 </w:t>
            </w:r>
          </w:p>
        </w:tc>
        <w:tc>
          <w:tcPr>
            <w:tcW w:w="101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30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200.000,00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6" w:firstLine="0"/>
              <w:jc w:val="center"/>
            </w:pPr>
            <w:r>
              <w:rPr>
                <w:sz w:val="20"/>
              </w:rPr>
              <w:t>-</w:t>
            </w:r>
          </w:p>
          <w:p w:rsidR="00DA121A" w:rsidRDefault="00904DD6">
            <w:pPr>
              <w:spacing w:after="0" w:line="259" w:lineRule="auto"/>
              <w:ind w:left="19" w:firstLine="0"/>
            </w:pPr>
            <w:r>
              <w:rPr>
                <w:sz w:val="20"/>
              </w:rPr>
              <w:t xml:space="preserve">33,3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54.780,41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-84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47.868,33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-83 </w:t>
            </w:r>
          </w:p>
        </w:tc>
      </w:tr>
      <w:tr w:rsidR="00DA121A">
        <w:trPr>
          <w:trHeight w:val="470"/>
        </w:trPr>
        <w:tc>
          <w:tcPr>
            <w:tcW w:w="57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jc w:val="left"/>
            </w:pPr>
            <w:r>
              <w:rPr>
                <w:sz w:val="20"/>
              </w:rPr>
              <w:t>202</w:t>
            </w:r>
          </w:p>
          <w:p w:rsidR="00DA121A" w:rsidRDefault="00904DD6">
            <w:pPr>
              <w:spacing w:after="0" w:line="259" w:lineRule="auto"/>
              <w:ind w:left="3" w:firstLine="0"/>
              <w:jc w:val="left"/>
            </w:pPr>
            <w:r>
              <w:rPr>
                <w:sz w:val="20"/>
              </w:rPr>
              <w:t xml:space="preserve">1 </w:t>
            </w:r>
          </w:p>
        </w:tc>
        <w:tc>
          <w:tcPr>
            <w:tcW w:w="101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27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300.000,00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left"/>
            </w:pPr>
            <w:r>
              <w:rPr>
                <w:sz w:val="20"/>
              </w:rPr>
              <w:t xml:space="preserve">200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341.261,55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w:t>
            </w:r>
          </w:p>
          <w:p w:rsidR="00DA121A" w:rsidRDefault="00904DD6">
            <w:pPr>
              <w:spacing w:after="0" w:line="259" w:lineRule="auto"/>
              <w:ind w:left="2" w:firstLine="0"/>
            </w:pPr>
            <w:r>
              <w:rPr>
                <w:sz w:val="20"/>
              </w:rPr>
              <w:t xml:space="preserve">23,7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279.953,33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-27 </w:t>
            </w:r>
          </w:p>
        </w:tc>
      </w:tr>
      <w:tr w:rsidR="00DA121A">
        <w:trPr>
          <w:trHeight w:val="471"/>
        </w:trPr>
        <w:tc>
          <w:tcPr>
            <w:tcW w:w="57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jc w:val="left"/>
            </w:pPr>
            <w:r>
              <w:rPr>
                <w:sz w:val="20"/>
              </w:rPr>
              <w:t>202</w:t>
            </w:r>
          </w:p>
          <w:p w:rsidR="00DA121A" w:rsidRDefault="00904DD6">
            <w:pPr>
              <w:spacing w:after="0" w:line="259" w:lineRule="auto"/>
              <w:ind w:left="3" w:firstLine="0"/>
              <w:jc w:val="left"/>
            </w:pPr>
            <w:r>
              <w:rPr>
                <w:sz w:val="20"/>
              </w:rPr>
              <w:t xml:space="preserve">0 </w:t>
            </w:r>
          </w:p>
        </w:tc>
        <w:tc>
          <w:tcPr>
            <w:tcW w:w="101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27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150.000,00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6" w:firstLine="0"/>
              <w:jc w:val="center"/>
            </w:pPr>
            <w:r>
              <w:rPr>
                <w:sz w:val="20"/>
              </w:rPr>
              <w:t>-</w:t>
            </w:r>
          </w:p>
          <w:p w:rsidR="00DA121A" w:rsidRDefault="00904DD6">
            <w:pPr>
              <w:spacing w:after="0" w:line="259" w:lineRule="auto"/>
              <w:ind w:left="19" w:firstLine="0"/>
            </w:pPr>
            <w:r>
              <w:rPr>
                <w:sz w:val="20"/>
              </w:rPr>
              <w:t xml:space="preserve">72,4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447.215,65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29,5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378.513,77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53,6 </w:t>
            </w:r>
          </w:p>
        </w:tc>
      </w:tr>
      <w:tr w:rsidR="00DA121A">
        <w:trPr>
          <w:trHeight w:val="470"/>
        </w:trPr>
        <w:tc>
          <w:tcPr>
            <w:tcW w:w="57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jc w:val="left"/>
            </w:pPr>
            <w:r>
              <w:rPr>
                <w:sz w:val="20"/>
              </w:rPr>
              <w:t>201</w:t>
            </w:r>
          </w:p>
          <w:p w:rsidR="00DA121A" w:rsidRDefault="00904DD6">
            <w:pPr>
              <w:spacing w:after="0" w:line="259" w:lineRule="auto"/>
              <w:ind w:left="3" w:firstLine="0"/>
              <w:jc w:val="left"/>
            </w:pPr>
            <w:r>
              <w:rPr>
                <w:sz w:val="20"/>
              </w:rPr>
              <w:t xml:space="preserve">9 </w:t>
            </w:r>
          </w:p>
        </w:tc>
        <w:tc>
          <w:tcPr>
            <w:tcW w:w="101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27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542.000,00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6" w:firstLine="0"/>
              <w:jc w:val="center"/>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345.114,33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-63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246.391,33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-57 </w:t>
            </w:r>
          </w:p>
        </w:tc>
      </w:tr>
      <w:tr w:rsidR="00DA121A">
        <w:trPr>
          <w:trHeight w:val="470"/>
        </w:trPr>
        <w:tc>
          <w:tcPr>
            <w:tcW w:w="57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jc w:val="left"/>
            </w:pPr>
            <w:r>
              <w:rPr>
                <w:sz w:val="20"/>
              </w:rPr>
              <w:t>201</w:t>
            </w:r>
          </w:p>
          <w:p w:rsidR="00DA121A" w:rsidRDefault="00904DD6">
            <w:pPr>
              <w:spacing w:after="0" w:line="259" w:lineRule="auto"/>
              <w:ind w:left="3" w:firstLine="0"/>
              <w:jc w:val="left"/>
            </w:pPr>
            <w:r>
              <w:rPr>
                <w:sz w:val="20"/>
              </w:rPr>
              <w:t xml:space="preserve">8 </w:t>
            </w:r>
          </w:p>
        </w:tc>
        <w:tc>
          <w:tcPr>
            <w:tcW w:w="101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27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542.000,00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6" w:firstLine="0"/>
              <w:jc w:val="center"/>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932.586,12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16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570.377,67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3,6 </w:t>
            </w:r>
          </w:p>
        </w:tc>
      </w:tr>
    </w:tbl>
    <w:p w:rsidR="00DA121A" w:rsidRDefault="00904DD6">
      <w:pPr>
        <w:spacing w:after="0" w:line="259" w:lineRule="auto"/>
        <w:ind w:left="992" w:firstLine="0"/>
        <w:jc w:val="left"/>
      </w:pPr>
      <w:r>
        <w:rPr>
          <w:rFonts w:ascii="Times New Roman" w:eastAsia="Times New Roman" w:hAnsi="Times New Roman" w:cs="Times New Roman"/>
          <w:sz w:val="24"/>
        </w:rPr>
        <w:t xml:space="preserve"> </w:t>
      </w:r>
    </w:p>
    <w:p w:rsidR="00DA121A" w:rsidRDefault="00904DD6">
      <w:pPr>
        <w:ind w:left="278" w:right="146" w:firstLine="708"/>
      </w:pPr>
      <w:r>
        <w:t xml:space="preserve">Destaca un importante decrecimiento del 84 %, de las cantidades liquidadas, mientras que cae, respecto las presupuestadas, en un 82,6 %. </w:t>
      </w:r>
    </w:p>
    <w:p w:rsidR="00DA121A" w:rsidRDefault="00904DD6">
      <w:pPr>
        <w:spacing w:after="0" w:line="259" w:lineRule="auto"/>
        <w:ind w:left="992" w:firstLine="0"/>
        <w:jc w:val="left"/>
      </w:pPr>
      <w:r>
        <w:t xml:space="preserve"> </w:t>
      </w:r>
    </w:p>
    <w:p w:rsidR="00DA121A" w:rsidRDefault="00904DD6">
      <w:pPr>
        <w:spacing w:after="0" w:line="259" w:lineRule="auto"/>
        <w:ind w:left="992" w:firstLine="0"/>
        <w:jc w:val="left"/>
      </w:pPr>
      <w:r>
        <w:t xml:space="preserve"> </w:t>
      </w:r>
    </w:p>
    <w:p w:rsidR="00DA121A" w:rsidRDefault="00904DD6">
      <w:pPr>
        <w:spacing w:after="0" w:line="259" w:lineRule="auto"/>
        <w:ind w:left="279"/>
        <w:jc w:val="left"/>
      </w:pPr>
      <w:r>
        <w:rPr>
          <w:i/>
          <w:u w:val="single" w:color="000000"/>
        </w:rPr>
        <w:t>IAE</w:t>
      </w:r>
      <w:r>
        <w:rPr>
          <w:i/>
        </w:rPr>
        <w:t xml:space="preserve"> </w:t>
      </w:r>
    </w:p>
    <w:p w:rsidR="00DA121A" w:rsidRDefault="00904DD6">
      <w:pPr>
        <w:spacing w:after="0" w:line="259" w:lineRule="auto"/>
        <w:ind w:left="284" w:firstLine="0"/>
        <w:jc w:val="left"/>
      </w:pPr>
      <w:r>
        <w:rPr>
          <w:i/>
        </w:rPr>
        <w:t xml:space="preserve"> </w:t>
      </w:r>
    </w:p>
    <w:p w:rsidR="00DA121A" w:rsidRDefault="00904DD6">
      <w:pPr>
        <w:ind w:left="1002" w:right="146"/>
      </w:pPr>
      <w:r>
        <w:t xml:space="preserve">A continuación, se refleja en cuadro, la evolución de este impuesto: </w:t>
      </w:r>
    </w:p>
    <w:p w:rsidR="00DA121A" w:rsidRDefault="00904DD6">
      <w:pPr>
        <w:spacing w:after="0" w:line="259" w:lineRule="auto"/>
        <w:ind w:left="992" w:firstLine="0"/>
        <w:jc w:val="left"/>
      </w:pPr>
      <w:r>
        <w:t xml:space="preserve"> </w:t>
      </w:r>
    </w:p>
    <w:p w:rsidR="00DA121A" w:rsidRDefault="00904DD6">
      <w:pPr>
        <w:spacing w:after="0" w:line="259" w:lineRule="auto"/>
        <w:ind w:left="992" w:firstLine="0"/>
        <w:jc w:val="left"/>
      </w:pPr>
      <w:r>
        <w:t xml:space="preserve"> </w:t>
      </w:r>
    </w:p>
    <w:p w:rsidR="00DA121A" w:rsidRDefault="00904DD6">
      <w:pPr>
        <w:spacing w:after="0" w:line="259" w:lineRule="auto"/>
        <w:ind w:left="992" w:firstLine="0"/>
        <w:jc w:val="left"/>
      </w:pPr>
      <w:r>
        <w:t xml:space="preserve"> </w:t>
      </w:r>
    </w:p>
    <w:tbl>
      <w:tblPr>
        <w:tblStyle w:val="TableGrid"/>
        <w:tblW w:w="8784" w:type="dxa"/>
        <w:tblInd w:w="161" w:type="dxa"/>
        <w:tblCellMar>
          <w:top w:w="9" w:type="dxa"/>
          <w:left w:w="67" w:type="dxa"/>
          <w:bottom w:w="0" w:type="dxa"/>
          <w:right w:w="21" w:type="dxa"/>
        </w:tblCellMar>
        <w:tblLook w:val="04A0" w:firstRow="1" w:lastRow="0" w:firstColumn="1" w:lastColumn="0" w:noHBand="0" w:noVBand="1"/>
      </w:tblPr>
      <w:tblGrid>
        <w:gridCol w:w="624"/>
        <w:gridCol w:w="1133"/>
        <w:gridCol w:w="425"/>
        <w:gridCol w:w="853"/>
        <w:gridCol w:w="425"/>
        <w:gridCol w:w="1274"/>
        <w:gridCol w:w="427"/>
        <w:gridCol w:w="1133"/>
        <w:gridCol w:w="569"/>
        <w:gridCol w:w="1417"/>
        <w:gridCol w:w="504"/>
      </w:tblGrid>
      <w:tr w:rsidR="00DA121A">
        <w:trPr>
          <w:trHeight w:val="929"/>
        </w:trPr>
        <w:tc>
          <w:tcPr>
            <w:tcW w:w="6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pPr>
            <w:r>
              <w:rPr>
                <w:sz w:val="20"/>
              </w:rPr>
              <w:t xml:space="preserve">AÑO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MATRÍCU</w:t>
            </w:r>
          </w:p>
          <w:p w:rsidR="00DA121A" w:rsidRDefault="00904DD6">
            <w:pPr>
              <w:spacing w:after="0" w:line="259" w:lineRule="auto"/>
              <w:ind w:left="2" w:firstLine="0"/>
              <w:jc w:val="left"/>
            </w:pPr>
            <w:r>
              <w:rPr>
                <w:sz w:val="20"/>
              </w:rPr>
              <w:t xml:space="preserve">LA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Nº </w:t>
            </w:r>
          </w:p>
          <w:p w:rsidR="00DA121A" w:rsidRDefault="00904DD6">
            <w:pPr>
              <w:spacing w:after="0" w:line="259" w:lineRule="auto"/>
              <w:ind w:left="2" w:firstLine="0"/>
              <w:jc w:val="left"/>
            </w:pPr>
            <w:r>
              <w:rPr>
                <w:sz w:val="20"/>
              </w:rPr>
              <w:t>RECIB</w:t>
            </w:r>
          </w:p>
          <w:p w:rsidR="00DA121A" w:rsidRDefault="00904DD6">
            <w:pPr>
              <w:spacing w:after="0" w:line="259" w:lineRule="auto"/>
              <w:ind w:left="2" w:firstLine="0"/>
              <w:jc w:val="left"/>
            </w:pPr>
            <w:r>
              <w:rPr>
                <w:sz w:val="20"/>
              </w:rPr>
              <w:t xml:space="preserve">OS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PRESUPUE</w:t>
            </w:r>
          </w:p>
          <w:p w:rsidR="00DA121A" w:rsidRDefault="00904DD6">
            <w:pPr>
              <w:spacing w:after="0" w:line="259" w:lineRule="auto"/>
              <w:ind w:left="2" w:firstLine="0"/>
              <w:jc w:val="left"/>
            </w:pPr>
            <w:r>
              <w:rPr>
                <w:sz w:val="20"/>
              </w:rPr>
              <w:t xml:space="preserve">STO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INGRESO</w:t>
            </w:r>
          </w:p>
          <w:p w:rsidR="00DA121A" w:rsidRDefault="00904DD6">
            <w:pPr>
              <w:spacing w:after="0" w:line="259" w:lineRule="auto"/>
              <w:ind w:left="2" w:firstLine="0"/>
              <w:jc w:val="left"/>
            </w:pPr>
            <w:r>
              <w:rPr>
                <w:sz w:val="20"/>
              </w:rPr>
              <w:t xml:space="preserve">S </w:t>
            </w:r>
          </w:p>
          <w:p w:rsidR="00DA121A" w:rsidRDefault="00904DD6">
            <w:pPr>
              <w:spacing w:after="0" w:line="259" w:lineRule="auto"/>
              <w:ind w:left="2" w:firstLine="0"/>
              <w:jc w:val="left"/>
            </w:pPr>
            <w:r>
              <w:rPr>
                <w:sz w:val="20"/>
              </w:rPr>
              <w:t>LIQUIDAD</w:t>
            </w:r>
          </w:p>
          <w:p w:rsidR="00DA121A" w:rsidRDefault="00904DD6">
            <w:pPr>
              <w:spacing w:after="0" w:line="259" w:lineRule="auto"/>
              <w:ind w:left="2" w:firstLine="0"/>
              <w:jc w:val="left"/>
            </w:pPr>
            <w:r>
              <w:rPr>
                <w:sz w:val="20"/>
              </w:rPr>
              <w:t xml:space="preserve">OS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RECAUDACI ÓN LÍQUIDA </w:t>
            </w:r>
          </w:p>
        </w:tc>
        <w:tc>
          <w:tcPr>
            <w:tcW w:w="50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r>
      <w:tr w:rsidR="00DA121A">
        <w:trPr>
          <w:trHeight w:val="470"/>
        </w:trPr>
        <w:tc>
          <w:tcPr>
            <w:tcW w:w="6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pPr>
            <w:r>
              <w:rPr>
                <w:sz w:val="20"/>
              </w:rPr>
              <w:t xml:space="preserve">2022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575.633,3</w:t>
            </w:r>
          </w:p>
          <w:p w:rsidR="00DA121A" w:rsidRDefault="00904DD6">
            <w:pPr>
              <w:spacing w:after="0" w:line="259" w:lineRule="auto"/>
              <w:ind w:left="2" w:firstLine="0"/>
              <w:jc w:val="left"/>
            </w:pPr>
            <w:r>
              <w:rPr>
                <w:sz w:val="20"/>
              </w:rPr>
              <w:t xml:space="preserve">8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22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220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-11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687.000,00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706.209,7</w:t>
            </w:r>
          </w:p>
          <w:p w:rsidR="00DA121A" w:rsidRDefault="00904DD6">
            <w:pPr>
              <w:spacing w:after="0" w:line="259" w:lineRule="auto"/>
              <w:ind w:left="2" w:firstLine="0"/>
              <w:jc w:val="left"/>
            </w:pPr>
            <w:r>
              <w:rPr>
                <w:sz w:val="20"/>
              </w:rPr>
              <w:t xml:space="preserve">7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-19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706.209,77 </w:t>
            </w:r>
          </w:p>
        </w:tc>
        <w:tc>
          <w:tcPr>
            <w:tcW w:w="50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-19 </w:t>
            </w:r>
          </w:p>
        </w:tc>
      </w:tr>
      <w:tr w:rsidR="00DA121A">
        <w:trPr>
          <w:trHeight w:val="471"/>
        </w:trPr>
        <w:tc>
          <w:tcPr>
            <w:tcW w:w="6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pPr>
            <w:r>
              <w:rPr>
                <w:sz w:val="20"/>
              </w:rPr>
              <w:t xml:space="preserve">2021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472.611,85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6,5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220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-11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687.000,00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871.642,1</w:t>
            </w:r>
          </w:p>
          <w:p w:rsidR="00DA121A" w:rsidRDefault="00904DD6">
            <w:pPr>
              <w:spacing w:after="0" w:line="259" w:lineRule="auto"/>
              <w:ind w:left="2" w:firstLine="0"/>
              <w:jc w:val="left"/>
            </w:pPr>
            <w:r>
              <w:rPr>
                <w:sz w:val="20"/>
              </w:rPr>
              <w:t xml:space="preserve">4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26,7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871.642,14 </w:t>
            </w:r>
          </w:p>
        </w:tc>
        <w:tc>
          <w:tcPr>
            <w:tcW w:w="50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26,</w:t>
            </w:r>
          </w:p>
          <w:p w:rsidR="00DA121A" w:rsidRDefault="00904DD6">
            <w:pPr>
              <w:spacing w:after="0" w:line="259" w:lineRule="auto"/>
              <w:ind w:left="2" w:firstLine="0"/>
              <w:jc w:val="left"/>
            </w:pPr>
            <w:r>
              <w:rPr>
                <w:sz w:val="20"/>
              </w:rPr>
              <w:t xml:space="preserve">7 </w:t>
            </w:r>
          </w:p>
        </w:tc>
      </w:tr>
      <w:tr w:rsidR="00DA121A">
        <w:trPr>
          <w:trHeight w:val="470"/>
        </w:trPr>
        <w:tc>
          <w:tcPr>
            <w:tcW w:w="6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pPr>
            <w:r>
              <w:rPr>
                <w:sz w:val="20"/>
              </w:rPr>
              <w:t xml:space="preserve">2020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443.556,5</w:t>
            </w:r>
          </w:p>
          <w:p w:rsidR="00DA121A" w:rsidRDefault="00904DD6">
            <w:pPr>
              <w:spacing w:after="0" w:line="259" w:lineRule="auto"/>
              <w:ind w:left="2" w:firstLine="0"/>
              <w:jc w:val="left"/>
            </w:pPr>
            <w:r>
              <w:rPr>
                <w:sz w:val="20"/>
              </w:rPr>
              <w:t xml:space="preserve">2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w:t>
            </w:r>
          </w:p>
          <w:p w:rsidR="00DA121A" w:rsidRDefault="00904DD6">
            <w:pPr>
              <w:spacing w:after="0" w:line="259" w:lineRule="auto"/>
              <w:ind w:left="2" w:firstLine="0"/>
            </w:pPr>
            <w:r>
              <w:rPr>
                <w:sz w:val="20"/>
              </w:rPr>
              <w:t xml:space="preserve">22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228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w:t>
            </w:r>
          </w:p>
          <w:p w:rsidR="00DA121A" w:rsidRDefault="00904DD6">
            <w:pPr>
              <w:spacing w:after="0" w:line="259" w:lineRule="auto"/>
              <w:ind w:left="0" w:firstLine="0"/>
            </w:pPr>
            <w:r>
              <w:rPr>
                <w:sz w:val="20"/>
              </w:rPr>
              <w:t xml:space="preserve">49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770.000,00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687.967,2</w:t>
            </w:r>
          </w:p>
          <w:p w:rsidR="00DA121A" w:rsidRDefault="00904DD6">
            <w:pPr>
              <w:spacing w:after="0" w:line="259" w:lineRule="auto"/>
              <w:ind w:left="2" w:firstLine="0"/>
              <w:jc w:val="left"/>
            </w:pPr>
            <w:r>
              <w:rPr>
                <w:sz w:val="20"/>
              </w:rPr>
              <w:t xml:space="preserve">0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-9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687.967,20 </w:t>
            </w:r>
          </w:p>
        </w:tc>
        <w:tc>
          <w:tcPr>
            <w:tcW w:w="50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-9 </w:t>
            </w:r>
          </w:p>
        </w:tc>
      </w:tr>
      <w:tr w:rsidR="00DA121A">
        <w:trPr>
          <w:trHeight w:val="468"/>
        </w:trPr>
        <w:tc>
          <w:tcPr>
            <w:tcW w:w="6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pPr>
            <w:r>
              <w:rPr>
                <w:sz w:val="20"/>
              </w:rPr>
              <w:t xml:space="preserve">2019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567.262,3</w:t>
            </w:r>
          </w:p>
          <w:p w:rsidR="00DA121A" w:rsidRDefault="00904DD6">
            <w:pPr>
              <w:spacing w:after="0" w:line="259" w:lineRule="auto"/>
              <w:ind w:left="2" w:firstLine="0"/>
              <w:jc w:val="left"/>
            </w:pPr>
            <w:r>
              <w:rPr>
                <w:sz w:val="20"/>
              </w:rPr>
              <w:t xml:space="preserve">8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w:t>
            </w:r>
          </w:p>
          <w:p w:rsidR="00DA121A" w:rsidRDefault="00904DD6">
            <w:pPr>
              <w:spacing w:after="0" w:line="259" w:lineRule="auto"/>
              <w:ind w:left="2" w:firstLine="0"/>
            </w:pPr>
            <w:r>
              <w:rPr>
                <w:sz w:val="20"/>
              </w:rPr>
              <w:t xml:space="preserve">1,5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448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770.000,00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757.544,4</w:t>
            </w:r>
          </w:p>
          <w:p w:rsidR="00DA121A" w:rsidRDefault="00904DD6">
            <w:pPr>
              <w:spacing w:after="0" w:line="259" w:lineRule="auto"/>
              <w:ind w:left="2" w:firstLine="0"/>
              <w:jc w:val="left"/>
            </w:pPr>
            <w:r>
              <w:rPr>
                <w:sz w:val="20"/>
              </w:rPr>
              <w:t xml:space="preserve">2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757.544,42 </w:t>
            </w:r>
          </w:p>
        </w:tc>
        <w:tc>
          <w:tcPr>
            <w:tcW w:w="50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1,1 </w:t>
            </w:r>
          </w:p>
        </w:tc>
      </w:tr>
      <w:tr w:rsidR="00DA121A">
        <w:trPr>
          <w:trHeight w:val="470"/>
        </w:trPr>
        <w:tc>
          <w:tcPr>
            <w:tcW w:w="6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 w:firstLine="0"/>
            </w:pPr>
            <w:r>
              <w:rPr>
                <w:sz w:val="20"/>
              </w:rPr>
              <w:t xml:space="preserve">2018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575.530,6</w:t>
            </w:r>
          </w:p>
          <w:p w:rsidR="00DA121A" w:rsidRDefault="00904DD6">
            <w:pPr>
              <w:spacing w:after="0" w:line="259" w:lineRule="auto"/>
              <w:ind w:left="2" w:firstLine="0"/>
              <w:jc w:val="left"/>
            </w:pPr>
            <w:r>
              <w:rPr>
                <w:sz w:val="20"/>
              </w:rPr>
              <w:t xml:space="preserve">1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8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430 </w:t>
            </w:r>
          </w:p>
        </w:tc>
        <w:tc>
          <w:tcPr>
            <w:tcW w:w="4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770.000,00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-11 </w:t>
            </w:r>
          </w:p>
        </w:tc>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693.229,6</w:t>
            </w:r>
          </w:p>
          <w:p w:rsidR="00DA121A" w:rsidRDefault="00904DD6">
            <w:pPr>
              <w:spacing w:after="0" w:line="259" w:lineRule="auto"/>
              <w:ind w:left="2" w:firstLine="0"/>
              <w:jc w:val="left"/>
            </w:pPr>
            <w:r>
              <w:rPr>
                <w:sz w:val="20"/>
              </w:rPr>
              <w:t xml:space="preserve">8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-10 </w:t>
            </w:r>
          </w:p>
        </w:tc>
        <w:tc>
          <w:tcPr>
            <w:tcW w:w="14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693.229,68 </w:t>
            </w:r>
          </w:p>
        </w:tc>
        <w:tc>
          <w:tcPr>
            <w:tcW w:w="50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-10 </w:t>
            </w:r>
          </w:p>
        </w:tc>
      </w:tr>
    </w:tbl>
    <w:p w:rsidR="00DA121A" w:rsidRDefault="00904DD6">
      <w:pPr>
        <w:spacing w:after="2" w:line="259" w:lineRule="auto"/>
        <w:ind w:left="284" w:firstLine="0"/>
        <w:jc w:val="left"/>
      </w:pPr>
      <w:r>
        <w:rPr>
          <w:sz w:val="20"/>
        </w:rPr>
        <w:t xml:space="preserve"> </w:t>
      </w:r>
    </w:p>
    <w:p w:rsidR="00DA121A" w:rsidRDefault="00904DD6">
      <w:pPr>
        <w:ind w:left="278" w:right="146" w:firstLine="708"/>
      </w:pPr>
      <w:r>
        <w:t>Hay que destacar que, en este concepto, se incluyen los ingresos que realiza la Hacienda estatal en concepto de compensación por la eliminación en el pago de la cuota del impuesto a los contribuyentes que tengan un importe neto de la cifra de negocios infe</w:t>
      </w:r>
      <w:r>
        <w:t>rior a un millón de euros, y que en el ejercicio 2022, ascendió a 50.748,66 Euros (236.674,20 Euros en el año anterior). Igualmente hay que incluir las cuotas nacionales y provinciales, que, en el ejercicio anterior, ascendió a 99.222,39 euros (97.398,39 E</w:t>
      </w:r>
      <w:r>
        <w:t xml:space="preserve">uros en 2021). La recaudación del Consorcio de Tributos de este impuesto fue de 356.238,72 Euros (524.171,30 Euros en 2021).  </w:t>
      </w:r>
    </w:p>
    <w:p w:rsidR="00DA121A" w:rsidRDefault="00904DD6">
      <w:pPr>
        <w:spacing w:after="0" w:line="259" w:lineRule="auto"/>
        <w:ind w:left="992" w:firstLine="0"/>
        <w:jc w:val="left"/>
      </w:pPr>
      <w:r>
        <w:t xml:space="preserve"> </w:t>
      </w:r>
    </w:p>
    <w:p w:rsidR="00DA121A" w:rsidRDefault="00904DD6">
      <w:pPr>
        <w:ind w:left="278" w:right="146" w:firstLine="708"/>
      </w:pPr>
      <w:r>
        <w:t xml:space="preserve">Ha disminuido las cantidades liquidadas en un 19 %, pero ha aumentado, un 2,8 %, respecto las previsiones del año 2022. </w:t>
      </w:r>
    </w:p>
    <w:p w:rsidR="00DA121A" w:rsidRDefault="00904DD6">
      <w:pPr>
        <w:spacing w:after="0" w:line="259" w:lineRule="auto"/>
        <w:ind w:left="992" w:firstLine="0"/>
        <w:jc w:val="left"/>
      </w:pPr>
      <w:r>
        <w:rPr>
          <w:i/>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B) IMPUESTOS INDIRECTOS </w:t>
      </w:r>
    </w:p>
    <w:p w:rsidR="00DA121A" w:rsidRDefault="00904DD6">
      <w:pPr>
        <w:spacing w:after="0" w:line="259" w:lineRule="auto"/>
        <w:ind w:left="644" w:firstLine="0"/>
        <w:jc w:val="left"/>
      </w:pPr>
      <w:r>
        <w:rPr>
          <w:b/>
        </w:rPr>
        <w:t xml:space="preserve"> </w:t>
      </w:r>
    </w:p>
    <w:p w:rsidR="00DA121A" w:rsidRDefault="00904DD6">
      <w:pPr>
        <w:spacing w:after="0" w:line="240" w:lineRule="auto"/>
        <w:ind w:left="284" w:right="144" w:firstLine="0"/>
      </w:pPr>
      <w:r>
        <w:rPr>
          <w:rFonts w:ascii="Times New Roman" w:eastAsia="Times New Roman" w:hAnsi="Times New Roman" w:cs="Times New Roman"/>
          <w:sz w:val="24"/>
        </w:rPr>
        <w:t xml:space="preserve"> </w:t>
      </w:r>
      <w:r>
        <w:rPr>
          <w:sz w:val="24"/>
        </w:rPr>
        <w:t xml:space="preserve">Este capítulo experimenta una subida del 6,7 %, frente a la subida del 37,4 %, del año 2021, e incluye, además del Impuesto de Construcciones, Instalaciones y Obras, los recursos del Régimen Económico Fiscal: Arbitrios sobre la </w:t>
      </w:r>
      <w:r>
        <w:rPr>
          <w:sz w:val="24"/>
        </w:rPr>
        <w:t>Importación y Entregas de Mercancías en Canarias (AIEM), el Impuesto de Matriculación y el Impuesto General Indirecto Canario (IGIC).</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sz w:val="24"/>
        </w:rPr>
        <w:t xml:space="preserve"> </w:t>
      </w:r>
    </w:p>
    <w:p w:rsidR="00DA121A" w:rsidRDefault="00904DD6">
      <w:pPr>
        <w:spacing w:after="0" w:line="240" w:lineRule="auto"/>
        <w:ind w:left="284" w:right="144" w:firstLine="708"/>
      </w:pPr>
      <w:r>
        <w:rPr>
          <w:sz w:val="24"/>
        </w:rPr>
        <w:t xml:space="preserve"> Los recursos del REF se reparten los municipios en los siguientes porcentajes: un sesenta por ciento los Cabildos y un</w:t>
      </w:r>
      <w:r>
        <w:rPr>
          <w:sz w:val="24"/>
        </w:rPr>
        <w:t xml:space="preserve"> cuarenta por ciento, los Ayuntamientos, distribuyéndose, de conformidad con los porcentajes de reparto establecidos por el Cabildo Insular de Tenerife: un 89,31 por 100 para el Impuesto General Indirecto Canario (IGIC); un 9,92 por 100 para los Arbitrios </w:t>
      </w:r>
      <w:r>
        <w:rPr>
          <w:sz w:val="24"/>
        </w:rPr>
        <w:t xml:space="preserve">sobre la Importación y Entregas de Mercancías en Canarias (AIEM) y un 0,77 por 100, para el Impuesto de Matriculación. Estos recursos han generado unos ingresos en el año 2022, de 4.355.572,55 Euros, frente a los 4.063.069,17 Euros del ejercicio anterior, </w:t>
      </w:r>
      <w:r>
        <w:rPr>
          <w:sz w:val="24"/>
        </w:rPr>
        <w:t>un 7,2 % más, respecto al año anterior, con una subida del 12 % respecto a las previsiones presupuestarias.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sz w:val="24"/>
        </w:rPr>
        <w:t xml:space="preserve"> </w:t>
      </w:r>
    </w:p>
    <w:p w:rsidR="00DA121A" w:rsidRDefault="00904DD6">
      <w:pPr>
        <w:spacing w:after="0" w:line="259" w:lineRule="auto"/>
        <w:ind w:left="284" w:firstLine="0"/>
        <w:jc w:val="left"/>
      </w:pPr>
      <w:r>
        <w:rPr>
          <w:sz w:val="24"/>
        </w:rPr>
        <w:t xml:space="preserve"> </w:t>
      </w:r>
    </w:p>
    <w:p w:rsidR="00DA121A" w:rsidRDefault="00904DD6">
      <w:pPr>
        <w:spacing w:after="0" w:line="259" w:lineRule="auto"/>
        <w:ind w:left="284" w:firstLine="0"/>
        <w:jc w:val="left"/>
      </w:pPr>
      <w:r>
        <w:rPr>
          <w:i/>
          <w:sz w:val="24"/>
          <w:u w:val="single" w:color="000000"/>
        </w:rPr>
        <w:t>ICIO</w:t>
      </w:r>
      <w:r>
        <w:rPr>
          <w:i/>
          <w:sz w:val="24"/>
        </w:rPr>
        <w:t xml:space="preserve"> </w:t>
      </w:r>
    </w:p>
    <w:p w:rsidR="00DA121A" w:rsidRDefault="00904DD6">
      <w:pPr>
        <w:spacing w:after="0" w:line="259" w:lineRule="auto"/>
        <w:ind w:left="284" w:firstLine="0"/>
        <w:jc w:val="left"/>
      </w:pPr>
      <w:r>
        <w:rPr>
          <w:sz w:val="24"/>
        </w:rPr>
        <w:t xml:space="preserve"> </w:t>
      </w:r>
    </w:p>
    <w:p w:rsidR="00DA121A" w:rsidRDefault="00904DD6">
      <w:pPr>
        <w:spacing w:after="0" w:line="259" w:lineRule="auto"/>
        <w:ind w:left="992" w:firstLine="0"/>
        <w:jc w:val="left"/>
      </w:pPr>
      <w:r>
        <w:rPr>
          <w:rFonts w:ascii="Times New Roman" w:eastAsia="Times New Roman" w:hAnsi="Times New Roman" w:cs="Times New Roman"/>
          <w:sz w:val="24"/>
        </w:rPr>
        <w:t xml:space="preserve"> </w:t>
      </w:r>
    </w:p>
    <w:tbl>
      <w:tblPr>
        <w:tblStyle w:val="TableGrid"/>
        <w:tblW w:w="8788" w:type="dxa"/>
        <w:tblInd w:w="644" w:type="dxa"/>
        <w:tblCellMar>
          <w:top w:w="9" w:type="dxa"/>
          <w:left w:w="67" w:type="dxa"/>
          <w:bottom w:w="0" w:type="dxa"/>
          <w:right w:w="53" w:type="dxa"/>
        </w:tblCellMar>
        <w:tblLook w:val="04A0" w:firstRow="1" w:lastRow="0" w:firstColumn="1" w:lastColumn="0" w:noHBand="0" w:noVBand="1"/>
      </w:tblPr>
      <w:tblGrid>
        <w:gridCol w:w="708"/>
        <w:gridCol w:w="1416"/>
        <w:gridCol w:w="1561"/>
        <w:gridCol w:w="427"/>
        <w:gridCol w:w="1558"/>
        <w:gridCol w:w="566"/>
        <w:gridCol w:w="1561"/>
        <w:gridCol w:w="991"/>
      </w:tblGrid>
      <w:tr w:rsidR="00DA121A">
        <w:trPr>
          <w:trHeight w:val="470"/>
        </w:trPr>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AÑO </w:t>
            </w:r>
          </w:p>
        </w:tc>
        <w:tc>
          <w:tcPr>
            <w:tcW w:w="141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TIPO </w:t>
            </w:r>
          </w:p>
          <w:p w:rsidR="00DA121A" w:rsidRDefault="00904DD6">
            <w:pPr>
              <w:spacing w:after="0" w:line="259" w:lineRule="auto"/>
              <w:ind w:left="2" w:firstLine="0"/>
              <w:jc w:val="left"/>
            </w:pPr>
            <w:r>
              <w:rPr>
                <w:sz w:val="20"/>
              </w:rPr>
              <w:t xml:space="preserve">GRAVAMEN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PRESUPUEST</w:t>
            </w:r>
          </w:p>
          <w:p w:rsidR="00DA121A" w:rsidRDefault="00904DD6">
            <w:pPr>
              <w:spacing w:after="0" w:line="259" w:lineRule="auto"/>
              <w:ind w:left="2" w:firstLine="0"/>
              <w:jc w:val="left"/>
            </w:pPr>
            <w:r>
              <w:rPr>
                <w:sz w:val="20"/>
              </w:rPr>
              <w:t xml:space="preserve">O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INGRESOS LIQUIDADOS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RECAUDACIÓ</w:t>
            </w:r>
          </w:p>
          <w:p w:rsidR="00DA121A" w:rsidRDefault="00904DD6">
            <w:pPr>
              <w:spacing w:after="0" w:line="259" w:lineRule="auto"/>
              <w:ind w:left="2" w:firstLine="0"/>
              <w:jc w:val="left"/>
            </w:pPr>
            <w:r>
              <w:rPr>
                <w:sz w:val="20"/>
              </w:rPr>
              <w:t xml:space="preserve">N LÍQUIDA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r>
      <w:tr w:rsidR="00DA121A">
        <w:trPr>
          <w:trHeight w:val="240"/>
        </w:trPr>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2022 </w:t>
            </w:r>
          </w:p>
        </w:tc>
        <w:tc>
          <w:tcPr>
            <w:tcW w:w="141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3,8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242.000,00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289.552,04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289.358,24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70 </w:t>
            </w:r>
          </w:p>
        </w:tc>
      </w:tr>
      <w:tr w:rsidR="00DA121A">
        <w:trPr>
          <w:trHeight w:val="240"/>
        </w:trPr>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2021 </w:t>
            </w:r>
          </w:p>
        </w:tc>
        <w:tc>
          <w:tcPr>
            <w:tcW w:w="141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3,8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242.000,00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51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290.944,74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19,7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169.921,25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-30,5 </w:t>
            </w:r>
          </w:p>
        </w:tc>
      </w:tr>
      <w:tr w:rsidR="00DA121A">
        <w:trPr>
          <w:trHeight w:val="240"/>
        </w:trPr>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2020 </w:t>
            </w:r>
          </w:p>
        </w:tc>
        <w:tc>
          <w:tcPr>
            <w:tcW w:w="141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3,8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160.000,00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243.130,60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20,7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242.908,77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25,7 </w:t>
            </w:r>
          </w:p>
        </w:tc>
      </w:tr>
      <w:tr w:rsidR="00DA121A">
        <w:trPr>
          <w:trHeight w:val="240"/>
        </w:trPr>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2019 </w:t>
            </w:r>
          </w:p>
        </w:tc>
        <w:tc>
          <w:tcPr>
            <w:tcW w:w="141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3,8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160.000,00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201.118,61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-21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193.274,47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-21 </w:t>
            </w:r>
          </w:p>
        </w:tc>
      </w:tr>
      <w:tr w:rsidR="00DA121A">
        <w:trPr>
          <w:trHeight w:val="241"/>
        </w:trPr>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2018 </w:t>
            </w:r>
          </w:p>
        </w:tc>
        <w:tc>
          <w:tcPr>
            <w:tcW w:w="141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3,8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160.000,00 </w:t>
            </w:r>
          </w:p>
        </w:tc>
        <w:tc>
          <w:tcPr>
            <w:tcW w:w="42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60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253.724,70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50,7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243.631,68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51 </w:t>
            </w:r>
          </w:p>
        </w:tc>
      </w:tr>
    </w:tbl>
    <w:p w:rsidR="00DA121A" w:rsidRDefault="00904DD6">
      <w:pPr>
        <w:spacing w:after="2" w:line="259" w:lineRule="auto"/>
        <w:ind w:left="1056" w:firstLine="0"/>
        <w:jc w:val="left"/>
      </w:pPr>
      <w:r>
        <w:rPr>
          <w:sz w:val="20"/>
        </w:rPr>
        <w:t xml:space="preserve"> </w:t>
      </w:r>
    </w:p>
    <w:p w:rsidR="00DA121A" w:rsidRDefault="00904DD6">
      <w:pPr>
        <w:ind w:left="348" w:right="146" w:firstLine="708"/>
      </w:pPr>
      <w:r>
        <w:t xml:space="preserve">Prácticamente se ha liquidado lo mismo que en el ejercicio anterior, mejorando las previsiones en un 19,5 %, si bien aumenta un 70 % la recaudación del citado impuesto. </w:t>
      </w:r>
    </w:p>
    <w:p w:rsidR="00DA121A" w:rsidRDefault="00904DD6">
      <w:pPr>
        <w:spacing w:after="0" w:line="259" w:lineRule="auto"/>
        <w:ind w:left="284" w:firstLine="0"/>
        <w:jc w:val="left"/>
      </w:pPr>
      <w:r>
        <w:t xml:space="preserve"> </w:t>
      </w:r>
      <w:r>
        <w:tab/>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C) TASAS, PRECIOS PÚBLICOS Y OTROS INGRESOS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rPr>
          <w:b/>
        </w:rPr>
        <w:t xml:space="preserve"> </w:t>
      </w:r>
      <w:r>
        <w:t>A continuación, se refleja en cuadro, la evolución de este capítulo de Tasas, que aumenta un 11,5 %: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tbl>
      <w:tblPr>
        <w:tblStyle w:val="TableGrid"/>
        <w:tblW w:w="8675" w:type="dxa"/>
        <w:tblInd w:w="332" w:type="dxa"/>
        <w:tblCellMar>
          <w:top w:w="9" w:type="dxa"/>
          <w:left w:w="70" w:type="dxa"/>
          <w:bottom w:w="0" w:type="dxa"/>
          <w:right w:w="96" w:type="dxa"/>
        </w:tblCellMar>
        <w:tblLook w:val="04A0" w:firstRow="1" w:lastRow="0" w:firstColumn="1" w:lastColumn="0" w:noHBand="0" w:noVBand="1"/>
      </w:tblPr>
      <w:tblGrid>
        <w:gridCol w:w="737"/>
        <w:gridCol w:w="1418"/>
        <w:gridCol w:w="567"/>
        <w:gridCol w:w="2268"/>
        <w:gridCol w:w="708"/>
        <w:gridCol w:w="2269"/>
        <w:gridCol w:w="708"/>
      </w:tblGrid>
      <w:tr w:rsidR="00DA121A">
        <w:trPr>
          <w:trHeight w:val="701"/>
        </w:trPr>
        <w:tc>
          <w:tcPr>
            <w:tcW w:w="73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AÑO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PRESUPUES</w:t>
            </w:r>
          </w:p>
          <w:p w:rsidR="00DA121A" w:rsidRDefault="00904DD6">
            <w:pPr>
              <w:spacing w:after="0" w:line="259" w:lineRule="auto"/>
              <w:ind w:left="0" w:firstLine="0"/>
              <w:jc w:val="left"/>
            </w:pPr>
            <w:r>
              <w:rPr>
                <w:sz w:val="20"/>
              </w:rPr>
              <w:t xml:space="preserve">TO </w:t>
            </w:r>
          </w:p>
          <w:p w:rsidR="00DA121A" w:rsidRDefault="00904DD6">
            <w:pPr>
              <w:spacing w:after="0" w:line="259" w:lineRule="auto"/>
              <w:ind w:left="0" w:firstLine="0"/>
              <w:jc w:val="left"/>
            </w:pPr>
            <w:r>
              <w:rPr>
                <w:sz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INGRESOS LIQUIDADOS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RECAUDACIÓN </w:t>
            </w:r>
          </w:p>
          <w:p w:rsidR="00DA121A" w:rsidRDefault="00904DD6">
            <w:pPr>
              <w:spacing w:after="0" w:line="259" w:lineRule="auto"/>
              <w:ind w:left="0" w:firstLine="0"/>
              <w:jc w:val="left"/>
            </w:pPr>
            <w:r>
              <w:rPr>
                <w:sz w:val="20"/>
              </w:rPr>
              <w:t xml:space="preserve">LÍQUIDA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tc>
      </w:tr>
      <w:tr w:rsidR="00DA121A">
        <w:trPr>
          <w:trHeight w:val="240"/>
        </w:trPr>
        <w:tc>
          <w:tcPr>
            <w:tcW w:w="73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2022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1.981.400,00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7,4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2.769.851,47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11,5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2.574.474,46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14,2 </w:t>
            </w:r>
          </w:p>
        </w:tc>
      </w:tr>
      <w:tr w:rsidR="00DA121A">
        <w:trPr>
          <w:trHeight w:val="240"/>
        </w:trPr>
        <w:tc>
          <w:tcPr>
            <w:tcW w:w="73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2021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1.845.100,00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-6,7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2.483.992,82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15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2.236.317,83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12,2 </w:t>
            </w:r>
          </w:p>
        </w:tc>
      </w:tr>
      <w:tr w:rsidR="00DA121A">
        <w:trPr>
          <w:trHeight w:val="240"/>
        </w:trPr>
        <w:tc>
          <w:tcPr>
            <w:tcW w:w="73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2020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1.975.450,00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-16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2.154.494,58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-14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1.993.404,36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-11,5 </w:t>
            </w:r>
          </w:p>
        </w:tc>
      </w:tr>
      <w:tr w:rsidR="00DA121A">
        <w:trPr>
          <w:trHeight w:val="240"/>
        </w:trPr>
        <w:tc>
          <w:tcPr>
            <w:tcW w:w="73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2019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2.345.324,00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2.497.963,94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9,8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2.248.778,71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9,9 </w:t>
            </w:r>
          </w:p>
        </w:tc>
      </w:tr>
      <w:tr w:rsidR="00DA121A">
        <w:trPr>
          <w:trHeight w:val="240"/>
        </w:trPr>
        <w:tc>
          <w:tcPr>
            <w:tcW w:w="73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2018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2.391.159,57 </w:t>
            </w:r>
          </w:p>
        </w:tc>
        <w:tc>
          <w:tcPr>
            <w:tcW w:w="5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7,4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2.274.712,15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-36,4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2.045.681,99 </w:t>
            </w:r>
          </w:p>
        </w:tc>
        <w:tc>
          <w:tcPr>
            <w:tcW w:w="7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-26 </w:t>
            </w:r>
          </w:p>
        </w:tc>
      </w:tr>
    </w:tbl>
    <w:p w:rsidR="00DA121A" w:rsidRDefault="00904DD6">
      <w:pPr>
        <w:spacing w:after="0" w:line="259" w:lineRule="auto"/>
        <w:ind w:left="28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ind w:left="288" w:right="146"/>
      </w:pPr>
      <w:r>
        <w:rPr>
          <w:rFonts w:ascii="Times New Roman" w:eastAsia="Times New Roman" w:hAnsi="Times New Roman" w:cs="Times New Roman"/>
          <w:sz w:val="24"/>
        </w:rPr>
        <w:t xml:space="preserve"> </w:t>
      </w:r>
      <w:r>
        <w:t>En el lado de las Tasas por prestación de servicios o realización de actividades de competencia municipal, destaca el aumento de la liquidación de la tasa por recogida de residuos, en un 12,4 %, hasta llegar a los 1.335.157,87, frente a los 1.185.13</w:t>
      </w:r>
      <w:r>
        <w:t>7,53 Euros del año anterior y (representa esta tasa el 48,5 %, frente 48,2 %, en el ejercicio anterior, de este capítulo de ingresos). Aumenta un 14 % respecto a las previsiones.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En servicios deportivos, aumenta un 11,6 % respecto del año anterior y un</w:t>
      </w:r>
      <w:r>
        <w:t xml:space="preserve"> 67,4 % respecto las previsiones. </w:t>
      </w:r>
    </w:p>
    <w:p w:rsidR="00DA121A" w:rsidRDefault="00904DD6">
      <w:pPr>
        <w:spacing w:after="0" w:line="259" w:lineRule="auto"/>
        <w:ind w:left="284" w:firstLine="0"/>
        <w:jc w:val="left"/>
      </w:pPr>
      <w:r>
        <w:t xml:space="preserve"> </w:t>
      </w:r>
    </w:p>
    <w:p w:rsidR="00DA121A" w:rsidRDefault="00904DD6">
      <w:pPr>
        <w:ind w:left="288" w:right="146"/>
      </w:pPr>
      <w:r>
        <w:t xml:space="preserve"> En la tasa por entrada de vehículos a través de las aceras, que representa el 5,6 % del total liquidado, el aumento fue del 1,8 % y un 24,3 % respecto las previsiones. </w:t>
      </w:r>
    </w:p>
    <w:p w:rsidR="00DA121A" w:rsidRDefault="00904DD6">
      <w:pPr>
        <w:spacing w:after="0" w:line="259" w:lineRule="auto"/>
        <w:ind w:left="284" w:firstLine="0"/>
        <w:jc w:val="left"/>
      </w:pPr>
      <w:r>
        <w:t xml:space="preserve"> </w:t>
      </w:r>
    </w:p>
    <w:p w:rsidR="00DA121A" w:rsidRDefault="00904DD6">
      <w:pPr>
        <w:ind w:left="288" w:right="146"/>
      </w:pPr>
      <w:r>
        <w:t xml:space="preserve"> </w:t>
      </w:r>
      <w:r>
        <w:t>La tasa que paga Endesa y demás empresas de energía, por ocupación dominio público local, se incrementó un 3,6 % y un 65 %, en relación a las previsiones del año 2020, representando el 7,1 % del total liquidado. En cuanto a Telefónica, hubo una caída fue d</w:t>
      </w:r>
      <w:r>
        <w:t xml:space="preserve">el 13,5 %, representando el 4,2 % del total liquidado.  </w:t>
      </w:r>
    </w:p>
    <w:p w:rsidR="00DA121A" w:rsidRDefault="00904DD6">
      <w:pPr>
        <w:spacing w:after="0" w:line="259" w:lineRule="auto"/>
        <w:ind w:left="284" w:firstLine="0"/>
        <w:jc w:val="left"/>
      </w:pPr>
      <w:r>
        <w:t xml:space="preserve"> </w:t>
      </w:r>
    </w:p>
    <w:p w:rsidR="00DA121A" w:rsidRDefault="00904DD6">
      <w:pPr>
        <w:tabs>
          <w:tab w:val="center" w:pos="284"/>
          <w:tab w:val="center" w:pos="4375"/>
        </w:tabs>
        <w:ind w:left="0" w:firstLine="0"/>
        <w:jc w:val="left"/>
      </w:pPr>
      <w:r>
        <w:rPr>
          <w:rFonts w:ascii="Calibri" w:eastAsia="Calibri" w:hAnsi="Calibri" w:cs="Calibri"/>
        </w:rPr>
        <w:tab/>
      </w:r>
      <w:r>
        <w:t xml:space="preserve"> </w:t>
      </w:r>
      <w:r>
        <w:tab/>
        <w:t xml:space="preserve">En Mesa y Sillas, está suspendida la liquidación por acuerdo plenario  </w:t>
      </w:r>
    </w:p>
    <w:p w:rsidR="00DA121A" w:rsidRDefault="00904DD6">
      <w:pPr>
        <w:ind w:left="288" w:right="146"/>
      </w:pPr>
      <w:r>
        <w:t xml:space="preserve"> En la tasa por servicios prestados a través de la UPCAN, se obtuvieron unos ingresos liquidados de 100.686,25 Euros frent</w:t>
      </w:r>
      <w:r>
        <w:t xml:space="preserve">e a los 114.230 Euros, del año anterior. </w:t>
      </w:r>
    </w:p>
    <w:p w:rsidR="00DA121A" w:rsidRDefault="00904DD6">
      <w:pPr>
        <w:ind w:left="288" w:right="146"/>
      </w:pPr>
      <w:r>
        <w:t xml:space="preserve"> </w:t>
      </w:r>
      <w:r>
        <w:tab/>
        <w:t xml:space="preserve">Sube la liquidación de multas por infracción de la ordenanza de tráfico en un 50,6 %, hasta llegar a 243.450,61 Euros. Aumenta un 341 % respecto las previsiones. </w:t>
      </w:r>
    </w:p>
    <w:p w:rsidR="00DA121A" w:rsidRDefault="00904DD6">
      <w:pPr>
        <w:spacing w:after="0" w:line="259" w:lineRule="auto"/>
        <w:ind w:left="284" w:firstLine="0"/>
        <w:jc w:val="left"/>
      </w:pPr>
      <w:r>
        <w:t xml:space="preserve"> </w:t>
      </w:r>
    </w:p>
    <w:p w:rsidR="00DA121A" w:rsidRDefault="00904DD6">
      <w:pPr>
        <w:ind w:left="288" w:right="146"/>
      </w:pPr>
      <w:r>
        <w:t xml:space="preserve"> Crece las liquidaciones en el recargo de aprem</w:t>
      </w:r>
      <w:r>
        <w:t>io en un 68 % hasta llegar a 178.142,24 Euros y los intereses de demora, en un 32,6 %, ascendiendo a la cantidad de 99.448,79 Euros, relativo a la recaudación de recursos tributarios y no tributarios municipales y que gestiona el Consorcio de tributos de T</w:t>
      </w:r>
      <w:r>
        <w:t>enerife, y que corresponde a dicho ente, respecto del primero el 100 % y un 50 % en relación al segundo.</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D) TRANSFERENCIAS CORRIENTES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En materia de Transferencias Corrientes, sube un 4 %, frente a la subida de un 22,4 % en año anterior. </w:t>
      </w:r>
    </w:p>
    <w:p w:rsidR="00DA121A" w:rsidRDefault="00904DD6">
      <w:pPr>
        <w:spacing w:after="0" w:line="259" w:lineRule="auto"/>
        <w:ind w:left="284" w:firstLine="0"/>
        <w:jc w:val="left"/>
      </w:pPr>
      <w:r>
        <w:t xml:space="preserve"> </w:t>
      </w:r>
    </w:p>
    <w:tbl>
      <w:tblPr>
        <w:tblStyle w:val="TableGrid"/>
        <w:tblW w:w="8973" w:type="dxa"/>
        <w:tblInd w:w="320" w:type="dxa"/>
        <w:tblCellMar>
          <w:top w:w="9" w:type="dxa"/>
          <w:left w:w="70" w:type="dxa"/>
          <w:bottom w:w="0" w:type="dxa"/>
          <w:right w:w="31" w:type="dxa"/>
        </w:tblCellMar>
        <w:tblLook w:val="04A0" w:firstRow="1" w:lastRow="0" w:firstColumn="1" w:lastColumn="0" w:noHBand="0" w:noVBand="1"/>
      </w:tblPr>
      <w:tblGrid>
        <w:gridCol w:w="600"/>
        <w:gridCol w:w="1848"/>
        <w:gridCol w:w="569"/>
        <w:gridCol w:w="2269"/>
        <w:gridCol w:w="566"/>
        <w:gridCol w:w="2411"/>
        <w:gridCol w:w="710"/>
      </w:tblGrid>
      <w:tr w:rsidR="00DA121A">
        <w:trPr>
          <w:trHeight w:val="470"/>
        </w:trPr>
        <w:tc>
          <w:tcPr>
            <w:tcW w:w="60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AÑO </w:t>
            </w:r>
          </w:p>
        </w:tc>
        <w:tc>
          <w:tcPr>
            <w:tcW w:w="18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PRESUPUESTO </w:t>
            </w:r>
          </w:p>
          <w:p w:rsidR="00DA121A" w:rsidRDefault="00904DD6">
            <w:pPr>
              <w:spacing w:after="0" w:line="259" w:lineRule="auto"/>
              <w:ind w:left="0" w:firstLine="0"/>
              <w:jc w:val="left"/>
            </w:pPr>
            <w:r>
              <w:rPr>
                <w:sz w:val="20"/>
              </w:rPr>
              <w:t xml:space="preserve">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INGRESOS LIQUIDADOS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RECAUDACIÓN LÍQUIDA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tc>
      </w:tr>
      <w:tr w:rsidR="00DA121A">
        <w:trPr>
          <w:trHeight w:val="240"/>
        </w:trPr>
        <w:tc>
          <w:tcPr>
            <w:tcW w:w="60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2022 </w:t>
            </w:r>
          </w:p>
        </w:tc>
        <w:tc>
          <w:tcPr>
            <w:tcW w:w="18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8.729.756,14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12,8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12.384.400,91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 </w:t>
            </w:r>
          </w:p>
        </w:tc>
        <w:tc>
          <w:tcPr>
            <w:tcW w:w="24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12.384.400,91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 </w:t>
            </w:r>
          </w:p>
        </w:tc>
      </w:tr>
      <w:tr w:rsidR="00DA121A">
        <w:trPr>
          <w:trHeight w:val="240"/>
        </w:trPr>
        <w:tc>
          <w:tcPr>
            <w:tcW w:w="60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2021 </w:t>
            </w:r>
          </w:p>
        </w:tc>
        <w:tc>
          <w:tcPr>
            <w:tcW w:w="18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7.739.526,30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10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11.911.285,91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 </w:t>
            </w:r>
          </w:p>
        </w:tc>
        <w:tc>
          <w:tcPr>
            <w:tcW w:w="24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11.911.285,91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 </w:t>
            </w:r>
          </w:p>
        </w:tc>
      </w:tr>
      <w:tr w:rsidR="00DA121A">
        <w:trPr>
          <w:trHeight w:val="240"/>
        </w:trPr>
        <w:tc>
          <w:tcPr>
            <w:tcW w:w="60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2020 </w:t>
            </w:r>
          </w:p>
        </w:tc>
        <w:tc>
          <w:tcPr>
            <w:tcW w:w="18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7.022.228,63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-28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9.915.782,65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-8,3 </w:t>
            </w:r>
          </w:p>
        </w:tc>
        <w:tc>
          <w:tcPr>
            <w:tcW w:w="24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9.915.782,65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-8,3</w:t>
            </w:r>
            <w:r>
              <w:rPr>
                <w:sz w:val="20"/>
              </w:rPr>
              <w:t xml:space="preserve"> </w:t>
            </w:r>
          </w:p>
        </w:tc>
      </w:tr>
      <w:tr w:rsidR="00DA121A">
        <w:trPr>
          <w:trHeight w:val="240"/>
        </w:trPr>
        <w:tc>
          <w:tcPr>
            <w:tcW w:w="60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2019 </w:t>
            </w:r>
          </w:p>
        </w:tc>
        <w:tc>
          <w:tcPr>
            <w:tcW w:w="18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9.780.509,42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10.804.057,40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22,4 </w:t>
            </w:r>
          </w:p>
        </w:tc>
        <w:tc>
          <w:tcPr>
            <w:tcW w:w="24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10.804.057,40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22,4 </w:t>
            </w:r>
          </w:p>
        </w:tc>
      </w:tr>
      <w:tr w:rsidR="00DA121A">
        <w:trPr>
          <w:trHeight w:val="240"/>
        </w:trPr>
        <w:tc>
          <w:tcPr>
            <w:tcW w:w="60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2018 </w:t>
            </w:r>
          </w:p>
        </w:tc>
        <w:tc>
          <w:tcPr>
            <w:tcW w:w="18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10.201.686,33 </w:t>
            </w:r>
          </w:p>
        </w:tc>
        <w:tc>
          <w:tcPr>
            <w:tcW w:w="5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38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8.824.131,12 </w:t>
            </w:r>
          </w:p>
        </w:tc>
        <w:tc>
          <w:tcPr>
            <w:tcW w:w="5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1,7 </w:t>
            </w:r>
          </w:p>
        </w:tc>
        <w:tc>
          <w:tcPr>
            <w:tcW w:w="24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8.824.131,12 </w:t>
            </w:r>
          </w:p>
        </w:tc>
        <w:tc>
          <w:tcPr>
            <w:tcW w:w="7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1,7 </w:t>
            </w:r>
          </w:p>
        </w:tc>
      </w:tr>
    </w:tbl>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ind w:left="288" w:right="146"/>
      </w:pPr>
      <w:r>
        <w:rPr>
          <w:rFonts w:ascii="Times New Roman" w:eastAsia="Times New Roman" w:hAnsi="Times New Roman" w:cs="Times New Roman"/>
          <w:b/>
          <w:sz w:val="24"/>
        </w:rPr>
        <w:t xml:space="preserve"> </w:t>
      </w:r>
      <w:r>
        <w:t>En este capítulo se han liquidado un 4 % más, representando el 39,4 % de la liquidación del presupuesto general, destacando la subida de las transferencias del Estado, de las que la Participación de los Tributos del Estado representa prácticamente el 100 %</w:t>
      </w:r>
      <w:r>
        <w:t xml:space="preserve"> del total estatal, y subió a 7.130.011,74 Euros, creciendo un 19,4 % en relación al año anterior y las previsiones (un 8,4 %).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78" w:right="146" w:firstLine="708"/>
      </w:pPr>
      <w:r>
        <w:t>En relación a las transferencias de la Comunidad Autónoma, importan un total de 4.651.058,58 Euros. Cae un 5 % respecto al añ</w:t>
      </w:r>
      <w:r>
        <w:t>o 2021 y aumenta un 133 % en relación a las previsiones, de las que el Fondo Canario de Financiación Municipal, representa el 34,9 % y ha aumentado un 2,1 % en relación al ejercicio anterior. La aportación del Servicio Canario de Empleo, cayó un 16,7 %, re</w:t>
      </w:r>
      <w:r>
        <w:t xml:space="preserve">presentando el 46 % de la aportación de la Comunidad Autónoma %.  </w:t>
      </w:r>
    </w:p>
    <w:p w:rsidR="00DA121A" w:rsidRDefault="00904DD6">
      <w:pPr>
        <w:spacing w:after="0" w:line="259" w:lineRule="auto"/>
        <w:ind w:left="284" w:firstLine="0"/>
        <w:jc w:val="left"/>
      </w:pPr>
      <w:r>
        <w:t xml:space="preserve"> </w:t>
      </w:r>
    </w:p>
    <w:p w:rsidR="00DA121A" w:rsidRDefault="00904DD6">
      <w:pPr>
        <w:ind w:left="288" w:right="146"/>
      </w:pPr>
      <w:r>
        <w:t xml:space="preserve"> </w:t>
      </w:r>
      <w:r>
        <w:t xml:space="preserve">Los ingresos del Cabildo Insular, descendió un 40 %, ascendiendo a 479.566,23 Euros, destacando las aportaciones para Candelaria por el Empleo (230.017,10 Euros) y las aportaciones del IASS, por importe de 181.717,79 Euros. </w:t>
      </w:r>
    </w:p>
    <w:p w:rsidR="00DA121A" w:rsidRDefault="00904DD6">
      <w:pPr>
        <w:spacing w:after="0" w:line="259" w:lineRule="auto"/>
        <w:ind w:left="284" w:firstLine="0"/>
        <w:jc w:val="left"/>
      </w:pPr>
      <w:r>
        <w:t xml:space="preserve"> </w:t>
      </w:r>
    </w:p>
    <w:p w:rsidR="00DA121A" w:rsidRDefault="00904DD6">
      <w:pPr>
        <w:ind w:left="288" w:right="146"/>
      </w:pPr>
      <w:r>
        <w:t xml:space="preserve"> </w:t>
      </w:r>
      <w:r>
        <w:tab/>
        <w:t>Las transferencias de empre</w:t>
      </w:r>
      <w:r>
        <w:t xml:space="preserve">sas subieron un 17 %, y recoge la aportación de una empresa por la recogida selectiva, por importe de 92.537,71 Euros. </w:t>
      </w:r>
    </w:p>
    <w:p w:rsidR="00DA121A" w:rsidRDefault="00904DD6">
      <w:pPr>
        <w:spacing w:after="0" w:line="259" w:lineRule="auto"/>
        <w:ind w:left="284" w:firstLine="0"/>
        <w:jc w:val="left"/>
      </w:pPr>
      <w:r>
        <w:t xml:space="preserve"> </w:t>
      </w:r>
    </w:p>
    <w:p w:rsidR="00DA121A" w:rsidRDefault="00904DD6">
      <w:pPr>
        <w:ind w:left="288" w:right="146"/>
      </w:pPr>
      <w:r>
        <w:t xml:space="preserve"> Las transferencias externas ascendieron a 12.629,33 Euros, frente a los casi dos mil euros, liquidados en el año anterior, para la ej</w:t>
      </w:r>
      <w:r>
        <w:t xml:space="preserve">ecución de un proyecto Urbact.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numPr>
          <w:ilvl w:val="0"/>
          <w:numId w:val="8"/>
        </w:numPr>
        <w:spacing w:after="4"/>
        <w:ind w:right="144" w:hanging="302"/>
      </w:pPr>
      <w:r>
        <w:rPr>
          <w:b/>
        </w:rPr>
        <w:t>INGRESOS PATRIMONIALES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Los ingresos Patrimoniales han experimentado un ascenso del 70,4, pero representa un porcentaje muy pequeño en relación a los ingresos totales y se corresponde con cánones de concesiones admini</w:t>
      </w:r>
      <w:r>
        <w:t xml:space="preserve">strativas. </w:t>
      </w:r>
    </w:p>
    <w:p w:rsidR="00DA121A" w:rsidRDefault="00904DD6">
      <w:pPr>
        <w:spacing w:after="0" w:line="259" w:lineRule="auto"/>
        <w:ind w:left="284" w:firstLine="0"/>
        <w:jc w:val="left"/>
      </w:pPr>
      <w:r>
        <w:t xml:space="preserve"> </w:t>
      </w:r>
    </w:p>
    <w:tbl>
      <w:tblPr>
        <w:tblStyle w:val="TableGrid"/>
        <w:tblW w:w="6843" w:type="dxa"/>
        <w:tblInd w:w="336" w:type="dxa"/>
        <w:tblCellMar>
          <w:top w:w="10" w:type="dxa"/>
          <w:left w:w="67" w:type="dxa"/>
          <w:bottom w:w="0" w:type="dxa"/>
          <w:right w:w="41" w:type="dxa"/>
        </w:tblCellMar>
        <w:tblLook w:val="04A0" w:firstRow="1" w:lastRow="0" w:firstColumn="1" w:lastColumn="0" w:noHBand="0" w:noVBand="1"/>
      </w:tblPr>
      <w:tblGrid>
        <w:gridCol w:w="909"/>
        <w:gridCol w:w="1217"/>
        <w:gridCol w:w="574"/>
        <w:gridCol w:w="1109"/>
        <w:gridCol w:w="574"/>
        <w:gridCol w:w="1572"/>
        <w:gridCol w:w="888"/>
      </w:tblGrid>
      <w:tr w:rsidR="00DA121A">
        <w:trPr>
          <w:trHeight w:val="631"/>
        </w:trPr>
        <w:tc>
          <w:tcPr>
            <w:tcW w:w="9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AÑO </w:t>
            </w:r>
          </w:p>
        </w:tc>
        <w:tc>
          <w:tcPr>
            <w:tcW w:w="12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PRESUPUE</w:t>
            </w:r>
          </w:p>
          <w:p w:rsidR="00DA121A" w:rsidRDefault="00904DD6">
            <w:pPr>
              <w:spacing w:after="0" w:line="259" w:lineRule="auto"/>
              <w:ind w:left="2" w:firstLine="0"/>
              <w:jc w:val="left"/>
            </w:pPr>
            <w:r>
              <w:rPr>
                <w:sz w:val="18"/>
              </w:rPr>
              <w:t xml:space="preserve">STO </w:t>
            </w:r>
          </w:p>
          <w:p w:rsidR="00DA121A" w:rsidRDefault="00904DD6">
            <w:pPr>
              <w:spacing w:after="0" w:line="259" w:lineRule="auto"/>
              <w:ind w:left="2" w:firstLine="0"/>
              <w:jc w:val="left"/>
            </w:pPr>
            <w:r>
              <w:rPr>
                <w:sz w:val="18"/>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INGRESOS </w:t>
            </w:r>
          </w:p>
          <w:p w:rsidR="00DA121A" w:rsidRDefault="00904DD6">
            <w:pPr>
              <w:spacing w:after="0" w:line="259" w:lineRule="auto"/>
              <w:ind w:left="2" w:firstLine="0"/>
              <w:jc w:val="left"/>
            </w:pPr>
            <w:r>
              <w:rPr>
                <w:sz w:val="18"/>
              </w:rPr>
              <w:t xml:space="preserve">LIQUIDAD OS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RECAUDACIÓN LÍQUIDA </w:t>
            </w:r>
          </w:p>
        </w:tc>
        <w:tc>
          <w:tcPr>
            <w:tcW w:w="8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 </w:t>
            </w:r>
          </w:p>
        </w:tc>
      </w:tr>
      <w:tr w:rsidR="00DA121A">
        <w:trPr>
          <w:trHeight w:val="216"/>
        </w:trPr>
        <w:tc>
          <w:tcPr>
            <w:tcW w:w="9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2022 </w:t>
            </w:r>
          </w:p>
        </w:tc>
        <w:tc>
          <w:tcPr>
            <w:tcW w:w="12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12.000,00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12.568,73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70,4 </w:t>
            </w:r>
          </w:p>
        </w:tc>
        <w:tc>
          <w:tcPr>
            <w:tcW w:w="157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12.568,73 </w:t>
            </w:r>
          </w:p>
        </w:tc>
        <w:tc>
          <w:tcPr>
            <w:tcW w:w="8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70,4 </w:t>
            </w:r>
          </w:p>
        </w:tc>
      </w:tr>
      <w:tr w:rsidR="00DA121A">
        <w:trPr>
          <w:trHeight w:val="219"/>
        </w:trPr>
        <w:tc>
          <w:tcPr>
            <w:tcW w:w="9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2021 </w:t>
            </w:r>
          </w:p>
        </w:tc>
        <w:tc>
          <w:tcPr>
            <w:tcW w:w="12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12.000,00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7.123,97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-40,7 </w:t>
            </w:r>
          </w:p>
        </w:tc>
        <w:tc>
          <w:tcPr>
            <w:tcW w:w="157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7.123,97 </w:t>
            </w:r>
          </w:p>
        </w:tc>
        <w:tc>
          <w:tcPr>
            <w:tcW w:w="8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-40,7 </w:t>
            </w:r>
          </w:p>
        </w:tc>
      </w:tr>
      <w:tr w:rsidR="00DA121A">
        <w:trPr>
          <w:trHeight w:val="216"/>
        </w:trPr>
        <w:tc>
          <w:tcPr>
            <w:tcW w:w="9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2020 </w:t>
            </w:r>
          </w:p>
        </w:tc>
        <w:tc>
          <w:tcPr>
            <w:tcW w:w="12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12.021,00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-60 </w:t>
            </w:r>
          </w:p>
        </w:tc>
        <w:tc>
          <w:tcPr>
            <w:tcW w:w="157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12.021,00 </w:t>
            </w:r>
          </w:p>
        </w:tc>
        <w:tc>
          <w:tcPr>
            <w:tcW w:w="8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-60 </w:t>
            </w:r>
          </w:p>
        </w:tc>
      </w:tr>
      <w:tr w:rsidR="00DA121A">
        <w:trPr>
          <w:trHeight w:val="216"/>
        </w:trPr>
        <w:tc>
          <w:tcPr>
            <w:tcW w:w="9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2019 </w:t>
            </w:r>
          </w:p>
        </w:tc>
        <w:tc>
          <w:tcPr>
            <w:tcW w:w="12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29.961,13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251 </w:t>
            </w:r>
          </w:p>
        </w:tc>
        <w:tc>
          <w:tcPr>
            <w:tcW w:w="157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29.961,13 </w:t>
            </w:r>
          </w:p>
        </w:tc>
        <w:tc>
          <w:tcPr>
            <w:tcW w:w="8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251 </w:t>
            </w:r>
          </w:p>
        </w:tc>
      </w:tr>
      <w:tr w:rsidR="00DA121A">
        <w:trPr>
          <w:trHeight w:val="218"/>
        </w:trPr>
        <w:tc>
          <w:tcPr>
            <w:tcW w:w="91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2018 </w:t>
            </w:r>
          </w:p>
        </w:tc>
        <w:tc>
          <w:tcPr>
            <w:tcW w:w="121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-75 </w:t>
            </w:r>
          </w:p>
        </w:tc>
        <w:tc>
          <w:tcPr>
            <w:tcW w:w="110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8.534,50 </w:t>
            </w:r>
          </w:p>
        </w:tc>
        <w:tc>
          <w:tcPr>
            <w:tcW w:w="57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-52 </w:t>
            </w:r>
          </w:p>
        </w:tc>
        <w:tc>
          <w:tcPr>
            <w:tcW w:w="157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8.534,50 </w:t>
            </w:r>
          </w:p>
        </w:tc>
        <w:tc>
          <w:tcPr>
            <w:tcW w:w="88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-52 </w:t>
            </w:r>
          </w:p>
        </w:tc>
      </w:tr>
    </w:tbl>
    <w:p w:rsidR="00DA121A" w:rsidRDefault="00904DD6">
      <w:pPr>
        <w:spacing w:after="34" w:line="259" w:lineRule="auto"/>
        <w:ind w:left="284" w:firstLine="0"/>
        <w:jc w:val="left"/>
      </w:pPr>
      <w:r>
        <w:rPr>
          <w:rFonts w:ascii="Times New Roman" w:eastAsia="Times New Roman" w:hAnsi="Times New Roman" w:cs="Times New Roman"/>
          <w:sz w:val="18"/>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numPr>
          <w:ilvl w:val="0"/>
          <w:numId w:val="8"/>
        </w:numPr>
        <w:spacing w:after="4"/>
        <w:ind w:right="144" w:hanging="302"/>
      </w:pPr>
      <w:r>
        <w:rPr>
          <w:b/>
        </w:rPr>
        <w:t>TRANSFERENCIAS DE CAPITAL</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w:t>
      </w:r>
      <w:r>
        <w:t xml:space="preserve">En las Transferencias de capital, se ha generado un incremento del 98 %, de los que un 39 % procede de la Comunidad Autónoma, en las que destaca el Fondo Canario de Financiación Municipal, por importe de 1.621.298,11 Euros. El resto, es una aportación del </w:t>
      </w:r>
      <w:r>
        <w:t xml:space="preserve">Cabildo Insular, en la que destaca la cantidad de 1.900.321,72 Euros para la Obra de Impulsión del Ebar de Punta Larga.  </w:t>
      </w:r>
    </w:p>
    <w:p w:rsidR="00DA121A" w:rsidRDefault="00904DD6">
      <w:pPr>
        <w:spacing w:after="0" w:line="259" w:lineRule="auto"/>
        <w:ind w:left="284" w:firstLine="0"/>
        <w:jc w:val="left"/>
      </w:pPr>
      <w:r>
        <w:t xml:space="preserve"> </w:t>
      </w:r>
    </w:p>
    <w:p w:rsidR="00DA121A" w:rsidRDefault="00904DD6">
      <w:pPr>
        <w:numPr>
          <w:ilvl w:val="0"/>
          <w:numId w:val="8"/>
        </w:numPr>
        <w:spacing w:after="4"/>
        <w:ind w:right="144" w:hanging="302"/>
      </w:pPr>
      <w:r>
        <w:rPr>
          <w:b/>
        </w:rPr>
        <w:t>ACTIVOS FINANCIEROS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tabs>
          <w:tab w:val="center" w:pos="284"/>
          <w:tab w:val="center" w:pos="3946"/>
        </w:tabs>
        <w:ind w:left="0" w:firstLine="0"/>
        <w:jc w:val="left"/>
      </w:pPr>
      <w:r>
        <w:rPr>
          <w:rFonts w:ascii="Calibri" w:eastAsia="Calibri" w:hAnsi="Calibri" w:cs="Calibri"/>
        </w:rPr>
        <w:tab/>
      </w:r>
      <w:r>
        <w:t xml:space="preserve"> </w:t>
      </w:r>
      <w:r>
        <w:tab/>
        <w:t xml:space="preserve">En los activos financieros no se ha realizado ingreso alguno. </w:t>
      </w:r>
    </w:p>
    <w:p w:rsidR="00DA121A" w:rsidRDefault="00904DD6">
      <w:pPr>
        <w:spacing w:after="0" w:line="259" w:lineRule="auto"/>
        <w:ind w:left="284" w:firstLine="0"/>
        <w:jc w:val="left"/>
      </w:pPr>
      <w:r>
        <w:t xml:space="preserve"> </w:t>
      </w:r>
    </w:p>
    <w:p w:rsidR="00DA121A" w:rsidRDefault="00904DD6">
      <w:pPr>
        <w:numPr>
          <w:ilvl w:val="0"/>
          <w:numId w:val="8"/>
        </w:numPr>
        <w:spacing w:after="4"/>
        <w:ind w:right="144" w:hanging="302"/>
      </w:pPr>
      <w:r>
        <w:rPr>
          <w:b/>
        </w:rPr>
        <w:t>PASIVOS FINANCIEROS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tabs>
          <w:tab w:val="center" w:pos="284"/>
          <w:tab w:val="center" w:pos="3848"/>
        </w:tabs>
        <w:ind w:left="0" w:firstLine="0"/>
        <w:jc w:val="left"/>
      </w:pPr>
      <w:r>
        <w:rPr>
          <w:rFonts w:ascii="Calibri" w:eastAsia="Calibri" w:hAnsi="Calibri" w:cs="Calibri"/>
        </w:rPr>
        <w:tab/>
      </w:r>
      <w:r>
        <w:t xml:space="preserve"> </w:t>
      </w:r>
      <w:r>
        <w:tab/>
      </w:r>
      <w:r>
        <w:t xml:space="preserve">En el presente año no se ha formalizado ningún préstamo. </w:t>
      </w:r>
    </w:p>
    <w:p w:rsidR="00DA121A" w:rsidRDefault="00904DD6">
      <w:pPr>
        <w:spacing w:after="0" w:line="259" w:lineRule="auto"/>
        <w:ind w:left="284" w:firstLine="0"/>
        <w:jc w:val="left"/>
      </w:pPr>
      <w:r>
        <w:t xml:space="preserve"> </w:t>
      </w:r>
      <w:r>
        <w:tab/>
        <w:t xml:space="preserve">  </w:t>
      </w:r>
    </w:p>
    <w:p w:rsidR="00DA121A" w:rsidRDefault="00904DD6">
      <w:pPr>
        <w:ind w:left="288" w:right="146"/>
      </w:pPr>
      <w:r>
        <w:t xml:space="preserve"> En cuanto al nivel de ejecución del Presupuesto, llega al 100 % (frente al año anterior que fue del 96,5 %), excluido el efecto de las Incorporación de Remanentes de crédito financiado con Rem</w:t>
      </w:r>
      <w:r>
        <w:t xml:space="preserve">anente Líquido de Tesorería, que aumenta las previsiones definitivas, pero no los derechos liquidados.  En cuanto al nivel de cobranza, llega al 99,4 %, frente al 98,5 % del año anterior. </w:t>
      </w:r>
    </w:p>
    <w:p w:rsidR="00DA121A" w:rsidRDefault="00904DD6">
      <w:pPr>
        <w:spacing w:after="0" w:line="259" w:lineRule="auto"/>
        <w:ind w:left="284" w:firstLine="0"/>
        <w:jc w:val="left"/>
      </w:pPr>
      <w:r>
        <w:t xml:space="preserve"> </w:t>
      </w:r>
    </w:p>
    <w:p w:rsidR="00DA121A" w:rsidRDefault="00904DD6">
      <w:pPr>
        <w:ind w:left="284" w:right="146" w:hanging="284"/>
      </w:pPr>
      <w:r>
        <w:t xml:space="preserve">  En ejercicios Cerrados, se han realizado cobros por importe de </w:t>
      </w:r>
      <w:r>
        <w:t xml:space="preserve">386.296,98 Euros, frente a los cobros por importe de 354.914,10 Euros, obtenidos en el ejercicio anterior, siendo los ingresos obtenidos procedentes del año 2019, año de mayor recaudación, el 25 % del total y un 24 % el año 2018: </w:t>
      </w:r>
    </w:p>
    <w:p w:rsidR="00DA121A" w:rsidRDefault="00904DD6">
      <w:pPr>
        <w:spacing w:after="0" w:line="259" w:lineRule="auto"/>
        <w:ind w:left="0" w:firstLine="0"/>
        <w:jc w:val="left"/>
      </w:pPr>
      <w:r>
        <w:t xml:space="preserve"> </w:t>
      </w:r>
    </w:p>
    <w:p w:rsidR="00DA121A" w:rsidRDefault="00904DD6">
      <w:pPr>
        <w:ind w:left="10" w:right="146"/>
      </w:pPr>
      <w:r>
        <w:t xml:space="preserve">pp </w:t>
      </w:r>
    </w:p>
    <w:tbl>
      <w:tblPr>
        <w:tblStyle w:val="TableGrid"/>
        <w:tblW w:w="8939" w:type="dxa"/>
        <w:tblInd w:w="269" w:type="dxa"/>
        <w:tblCellMar>
          <w:top w:w="6" w:type="dxa"/>
          <w:left w:w="468" w:type="dxa"/>
          <w:bottom w:w="0" w:type="dxa"/>
          <w:right w:w="115" w:type="dxa"/>
        </w:tblCellMar>
        <w:tblLook w:val="04A0" w:firstRow="1" w:lastRow="0" w:firstColumn="1" w:lastColumn="0" w:noHBand="0" w:noVBand="1"/>
      </w:tblPr>
      <w:tblGrid>
        <w:gridCol w:w="2713"/>
        <w:gridCol w:w="2234"/>
        <w:gridCol w:w="3992"/>
      </w:tblGrid>
      <w:tr w:rsidR="00DA121A">
        <w:trPr>
          <w:trHeight w:val="290"/>
        </w:trPr>
        <w:tc>
          <w:tcPr>
            <w:tcW w:w="271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CAPÍTULOS </w:t>
            </w:r>
          </w:p>
        </w:tc>
        <w:tc>
          <w:tcPr>
            <w:tcW w:w="223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COBROS </w:t>
            </w:r>
          </w:p>
        </w:tc>
        <w:tc>
          <w:tcPr>
            <w:tcW w:w="39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DERECHOS PTES DE COBRO</w:t>
            </w:r>
            <w:r>
              <w:rPr>
                <w:rFonts w:ascii="Times New Roman" w:eastAsia="Times New Roman" w:hAnsi="Times New Roman" w:cs="Times New Roman"/>
                <w:sz w:val="24"/>
              </w:rPr>
              <w:t xml:space="preserve"> </w:t>
            </w:r>
          </w:p>
        </w:tc>
      </w:tr>
      <w:tr w:rsidR="00DA121A">
        <w:trPr>
          <w:trHeight w:val="240"/>
        </w:trPr>
        <w:tc>
          <w:tcPr>
            <w:tcW w:w="271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20" w:firstLine="0"/>
              <w:jc w:val="center"/>
            </w:pPr>
            <w:r>
              <w:rPr>
                <w:sz w:val="20"/>
              </w:rPr>
              <w:t xml:space="preserve">Impuestos Directos </w:t>
            </w:r>
          </w:p>
        </w:tc>
        <w:tc>
          <w:tcPr>
            <w:tcW w:w="223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85" w:firstLine="0"/>
              <w:jc w:val="center"/>
            </w:pPr>
            <w:r>
              <w:rPr>
                <w:sz w:val="20"/>
              </w:rPr>
              <w:t xml:space="preserve">263.588,99 € </w:t>
            </w:r>
          </w:p>
        </w:tc>
        <w:tc>
          <w:tcPr>
            <w:tcW w:w="39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3.059.452,57 € </w:t>
            </w:r>
          </w:p>
        </w:tc>
      </w:tr>
      <w:tr w:rsidR="00DA121A">
        <w:trPr>
          <w:trHeight w:val="240"/>
        </w:trPr>
        <w:tc>
          <w:tcPr>
            <w:tcW w:w="271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88" w:firstLine="0"/>
              <w:jc w:val="center"/>
            </w:pPr>
            <w:r>
              <w:rPr>
                <w:sz w:val="20"/>
              </w:rPr>
              <w:t xml:space="preserve">Impuestos Indirectos </w:t>
            </w:r>
          </w:p>
        </w:tc>
        <w:tc>
          <w:tcPr>
            <w:tcW w:w="223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5.207,75  € </w:t>
            </w:r>
          </w:p>
        </w:tc>
        <w:tc>
          <w:tcPr>
            <w:tcW w:w="39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2.343.221,93 € </w:t>
            </w:r>
          </w:p>
        </w:tc>
      </w:tr>
      <w:tr w:rsidR="00DA121A">
        <w:trPr>
          <w:trHeight w:val="240"/>
        </w:trPr>
        <w:tc>
          <w:tcPr>
            <w:tcW w:w="271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Tasas y Otros Ingresos </w:t>
            </w:r>
          </w:p>
        </w:tc>
        <w:tc>
          <w:tcPr>
            <w:tcW w:w="223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2" w:firstLine="0"/>
              <w:jc w:val="center"/>
            </w:pPr>
            <w:r>
              <w:rPr>
                <w:sz w:val="20"/>
              </w:rPr>
              <w:t xml:space="preserve">117.500,24 € </w:t>
            </w:r>
          </w:p>
        </w:tc>
        <w:tc>
          <w:tcPr>
            <w:tcW w:w="39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2.854.432,18 € </w:t>
            </w:r>
          </w:p>
        </w:tc>
      </w:tr>
    </w:tbl>
    <w:p w:rsidR="00DA121A" w:rsidRDefault="00904DD6">
      <w:pPr>
        <w:spacing w:after="0" w:line="259" w:lineRule="auto"/>
        <w:ind w:left="284" w:firstLine="0"/>
        <w:jc w:val="left"/>
      </w:pP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i/>
          <w:sz w:val="24"/>
        </w:rPr>
        <w:t xml:space="preserve"> </w:t>
      </w:r>
    </w:p>
    <w:p w:rsidR="00DA121A" w:rsidRDefault="00904DD6">
      <w:pPr>
        <w:pStyle w:val="Ttulo1"/>
        <w:spacing w:line="259" w:lineRule="auto"/>
        <w:ind w:left="284" w:right="0" w:firstLine="0"/>
        <w:jc w:val="left"/>
      </w:pPr>
      <w:r>
        <w:rPr>
          <w:i/>
          <w:sz w:val="24"/>
        </w:rPr>
        <w:t>2.- LIQUIDACIÓN DEL PRESUPUESTO DE GASTOS</w:t>
      </w:r>
      <w:r>
        <w:rPr>
          <w:rFonts w:ascii="Times New Roman" w:eastAsia="Times New Roman" w:hAnsi="Times New Roman" w:cs="Times New Roman"/>
          <w:b w:val="0"/>
          <w:sz w:val="24"/>
        </w:rPr>
        <w:t xml:space="preserve"> </w:t>
      </w:r>
    </w:p>
    <w:p w:rsidR="00DA121A" w:rsidRDefault="00904DD6">
      <w:pPr>
        <w:spacing w:after="0" w:line="259" w:lineRule="auto"/>
        <w:ind w:left="992" w:firstLine="0"/>
        <w:jc w:val="left"/>
      </w:pPr>
      <w:r>
        <w:t xml:space="preserve"> </w:t>
      </w:r>
    </w:p>
    <w:p w:rsidR="00DA121A" w:rsidRDefault="00904DD6">
      <w:pPr>
        <w:ind w:left="278" w:right="146" w:firstLine="708"/>
      </w:pPr>
      <w:r>
        <w:t xml:space="preserve">En cuanto a la ejecución de gastos en los ejercicios 2021 y 2022, importan las siguientes cantidades: </w:t>
      </w:r>
    </w:p>
    <w:tbl>
      <w:tblPr>
        <w:tblStyle w:val="TableGrid"/>
        <w:tblW w:w="8934" w:type="dxa"/>
        <w:tblInd w:w="358" w:type="dxa"/>
        <w:tblCellMar>
          <w:top w:w="0" w:type="dxa"/>
          <w:left w:w="70" w:type="dxa"/>
          <w:bottom w:w="0" w:type="dxa"/>
          <w:right w:w="115" w:type="dxa"/>
        </w:tblCellMar>
        <w:tblLook w:val="04A0" w:firstRow="1" w:lastRow="0" w:firstColumn="1" w:lastColumn="0" w:noHBand="0" w:noVBand="1"/>
      </w:tblPr>
      <w:tblGrid>
        <w:gridCol w:w="4111"/>
        <w:gridCol w:w="1844"/>
        <w:gridCol w:w="1702"/>
        <w:gridCol w:w="1277"/>
      </w:tblGrid>
      <w:tr w:rsidR="00DA121A">
        <w:trPr>
          <w:trHeight w:val="425"/>
        </w:trPr>
        <w:tc>
          <w:tcPr>
            <w:tcW w:w="41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44" w:right="51" w:firstLine="0"/>
              <w:jc w:val="center"/>
            </w:pPr>
            <w:r>
              <w:rPr>
                <w:b/>
                <w:sz w:val="18"/>
              </w:rPr>
              <w:t xml:space="preserve">Liquidación 2022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2" w:firstLine="0"/>
              <w:jc w:val="center"/>
            </w:pPr>
            <w:r>
              <w:rPr>
                <w:b/>
                <w:sz w:val="18"/>
              </w:rPr>
              <w:t xml:space="preserve">Liquidación 2021 </w:t>
            </w:r>
          </w:p>
        </w:tc>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Variación 2020/2021</w:t>
            </w:r>
            <w:r>
              <w:rPr>
                <w:rFonts w:ascii="Times New Roman" w:eastAsia="Times New Roman" w:hAnsi="Times New Roman" w:cs="Times New Roman"/>
                <w:sz w:val="24"/>
              </w:rPr>
              <w:t xml:space="preserve"> </w:t>
            </w:r>
          </w:p>
        </w:tc>
      </w:tr>
      <w:tr w:rsidR="00DA121A">
        <w:trPr>
          <w:trHeight w:val="216"/>
        </w:trPr>
        <w:tc>
          <w:tcPr>
            <w:tcW w:w="41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1.-Gastos de Personal</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sz w:val="18"/>
              </w:rPr>
              <w:t xml:space="preserve">11.223.640,13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sz w:val="18"/>
              </w:rPr>
              <w:t xml:space="preserve">10.273.933,94  </w:t>
            </w:r>
          </w:p>
        </w:tc>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2" w:firstLine="0"/>
              <w:jc w:val="center"/>
            </w:pPr>
            <w:r>
              <w:rPr>
                <w:sz w:val="18"/>
              </w:rPr>
              <w:t xml:space="preserve">9,24 % </w:t>
            </w:r>
          </w:p>
        </w:tc>
      </w:tr>
      <w:tr w:rsidR="00DA121A">
        <w:trPr>
          <w:trHeight w:val="218"/>
        </w:trPr>
        <w:tc>
          <w:tcPr>
            <w:tcW w:w="41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2.-</w:t>
            </w:r>
            <w:r>
              <w:rPr>
                <w:b/>
                <w:sz w:val="18"/>
              </w:rPr>
              <w:t>Gastos en Bienes Corrientes y Servicios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sz w:val="18"/>
              </w:rPr>
              <w:t xml:space="preserve">9.590.094,72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4" w:firstLine="0"/>
              <w:jc w:val="center"/>
            </w:pPr>
            <w:r>
              <w:rPr>
                <w:sz w:val="18"/>
              </w:rPr>
              <w:t xml:space="preserve">9.616.465,36 </w:t>
            </w:r>
          </w:p>
        </w:tc>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5" w:firstLine="0"/>
              <w:jc w:val="center"/>
            </w:pPr>
            <w:r>
              <w:rPr>
                <w:sz w:val="18"/>
              </w:rPr>
              <w:t xml:space="preserve">-- % </w:t>
            </w:r>
          </w:p>
        </w:tc>
      </w:tr>
      <w:tr w:rsidR="00DA121A">
        <w:trPr>
          <w:trHeight w:val="216"/>
        </w:trPr>
        <w:tc>
          <w:tcPr>
            <w:tcW w:w="41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3.- Gastos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sz w:val="18"/>
              </w:rPr>
              <w:t xml:space="preserve">69.103,54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sz w:val="18"/>
              </w:rPr>
              <w:t xml:space="preserve">39.375,45  </w:t>
            </w:r>
          </w:p>
        </w:tc>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2" w:firstLine="0"/>
              <w:jc w:val="center"/>
            </w:pPr>
            <w:r>
              <w:rPr>
                <w:sz w:val="18"/>
              </w:rPr>
              <w:t xml:space="preserve">75,5 % </w:t>
            </w:r>
          </w:p>
        </w:tc>
      </w:tr>
      <w:tr w:rsidR="00DA121A">
        <w:trPr>
          <w:trHeight w:val="425"/>
        </w:trPr>
        <w:tc>
          <w:tcPr>
            <w:tcW w:w="41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4.-Transferencias Corrientes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sz w:val="18"/>
              </w:rPr>
              <w:t xml:space="preserve">2.723.129,78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4" w:firstLine="0"/>
              <w:jc w:val="center"/>
            </w:pPr>
            <w:r>
              <w:rPr>
                <w:sz w:val="18"/>
              </w:rPr>
              <w:t xml:space="preserve">2.751.889,12 </w:t>
            </w:r>
          </w:p>
          <w:p w:rsidR="00DA121A" w:rsidRDefault="00904DD6">
            <w:pPr>
              <w:spacing w:after="0" w:line="259" w:lineRule="auto"/>
              <w:ind w:left="93" w:firstLine="0"/>
              <w:jc w:val="center"/>
            </w:pPr>
            <w:r>
              <w:rPr>
                <w:sz w:val="1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2" w:firstLine="0"/>
              <w:jc w:val="center"/>
            </w:pPr>
            <w:r>
              <w:rPr>
                <w:sz w:val="18"/>
              </w:rPr>
              <w:t xml:space="preserve">-1 % </w:t>
            </w:r>
          </w:p>
        </w:tc>
      </w:tr>
      <w:tr w:rsidR="00DA121A">
        <w:trPr>
          <w:trHeight w:val="216"/>
        </w:trPr>
        <w:tc>
          <w:tcPr>
            <w:tcW w:w="41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6.-Inversiones Reales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1" w:firstLine="0"/>
              <w:jc w:val="center"/>
            </w:pPr>
            <w:r>
              <w:rPr>
                <w:sz w:val="18"/>
              </w:rPr>
              <w:t xml:space="preserve">2.971.454,72 </w:t>
            </w: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sz w:val="18"/>
              </w:rPr>
              <w:t xml:space="preserve">1.769.492,06 </w:t>
            </w: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5" w:firstLine="0"/>
              <w:jc w:val="center"/>
            </w:pPr>
            <w:r>
              <w:rPr>
                <w:sz w:val="18"/>
              </w:rPr>
              <w:t>68 %</w:t>
            </w:r>
            <w:r>
              <w:rPr>
                <w:sz w:val="18"/>
              </w:rPr>
              <w:t xml:space="preserve"> </w:t>
            </w:r>
          </w:p>
        </w:tc>
      </w:tr>
      <w:tr w:rsidR="00DA121A">
        <w:trPr>
          <w:trHeight w:val="216"/>
        </w:trPr>
        <w:tc>
          <w:tcPr>
            <w:tcW w:w="41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7.-Transferencias de Capital</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1" w:firstLine="0"/>
              <w:jc w:val="center"/>
            </w:pPr>
            <w:r>
              <w:rPr>
                <w:sz w:val="18"/>
              </w:rPr>
              <w:t xml:space="preserve">61.748,95 </w:t>
            </w: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sz w:val="18"/>
              </w:rPr>
              <w:t xml:space="preserve">31.655,59 </w:t>
            </w: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5" w:firstLine="0"/>
              <w:jc w:val="center"/>
            </w:pPr>
            <w:r>
              <w:rPr>
                <w:sz w:val="18"/>
              </w:rPr>
              <w:t xml:space="preserve">95 % </w:t>
            </w:r>
          </w:p>
        </w:tc>
      </w:tr>
      <w:tr w:rsidR="00DA121A">
        <w:trPr>
          <w:trHeight w:val="218"/>
        </w:trPr>
        <w:tc>
          <w:tcPr>
            <w:tcW w:w="41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8.-Activos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2" w:firstLine="0"/>
              <w:jc w:val="center"/>
            </w:pPr>
            <w:r>
              <w:rPr>
                <w:sz w:val="18"/>
              </w:rPr>
              <w:t xml:space="preserve">0,00 </w:t>
            </w: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0" w:firstLine="0"/>
              <w:jc w:val="center"/>
            </w:pPr>
            <w:r>
              <w:rPr>
                <w:sz w:val="18"/>
              </w:rPr>
              <w:t xml:space="preserve">0,00 </w:t>
            </w: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5" w:firstLine="0"/>
              <w:jc w:val="center"/>
            </w:pPr>
            <w:r>
              <w:rPr>
                <w:sz w:val="18"/>
              </w:rPr>
              <w:t xml:space="preserve">0,00% </w:t>
            </w:r>
          </w:p>
        </w:tc>
      </w:tr>
      <w:tr w:rsidR="00DA121A">
        <w:trPr>
          <w:trHeight w:val="216"/>
        </w:trPr>
        <w:tc>
          <w:tcPr>
            <w:tcW w:w="41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9.-Pasivos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2" w:firstLine="0"/>
              <w:jc w:val="center"/>
            </w:pPr>
            <w:r>
              <w:rPr>
                <w:sz w:val="18"/>
              </w:rPr>
              <w:t xml:space="preserve">0,00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0" w:firstLine="0"/>
              <w:jc w:val="center"/>
            </w:pPr>
            <w:r>
              <w:rPr>
                <w:sz w:val="18"/>
              </w:rPr>
              <w:t xml:space="preserve">0,00  </w:t>
            </w:r>
          </w:p>
        </w:tc>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2" w:firstLine="0"/>
              <w:jc w:val="center"/>
            </w:pPr>
            <w:r>
              <w:rPr>
                <w:sz w:val="18"/>
              </w:rPr>
              <w:t xml:space="preserve">0,00 % </w:t>
            </w:r>
          </w:p>
        </w:tc>
      </w:tr>
      <w:tr w:rsidR="00DA121A">
        <w:trPr>
          <w:trHeight w:val="218"/>
        </w:trPr>
        <w:tc>
          <w:tcPr>
            <w:tcW w:w="41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 xml:space="preserve">TOTAL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1" w:firstLine="0"/>
              <w:jc w:val="center"/>
            </w:pPr>
            <w:r>
              <w:rPr>
                <w:b/>
                <w:sz w:val="18"/>
              </w:rPr>
              <w:t xml:space="preserve">26.639.171,84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4" w:firstLine="0"/>
              <w:jc w:val="center"/>
            </w:pPr>
            <w:r>
              <w:rPr>
                <w:b/>
                <w:sz w:val="18"/>
              </w:rPr>
              <w:t xml:space="preserve">24.482.811,52  </w:t>
            </w:r>
          </w:p>
        </w:tc>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0" w:firstLine="0"/>
              <w:jc w:val="center"/>
            </w:pPr>
            <w:r>
              <w:rPr>
                <w:b/>
                <w:sz w:val="18"/>
              </w:rPr>
              <w:t xml:space="preserve">8,8 % </w:t>
            </w:r>
            <w:r>
              <w:rPr>
                <w:rFonts w:ascii="Times New Roman" w:eastAsia="Times New Roman" w:hAnsi="Times New Roman" w:cs="Times New Roman"/>
                <w:sz w:val="24"/>
              </w:rPr>
              <w:t xml:space="preserve"> </w:t>
            </w:r>
          </w:p>
        </w:tc>
      </w:tr>
    </w:tbl>
    <w:p w:rsidR="00DA121A" w:rsidRDefault="00904DD6">
      <w:pPr>
        <w:spacing w:after="19" w:line="259" w:lineRule="auto"/>
        <w:ind w:left="644" w:firstLine="0"/>
        <w:jc w:val="left"/>
      </w:pPr>
      <w:r>
        <w:rPr>
          <w:sz w:val="18"/>
        </w:rPr>
        <w:t xml:space="preserve"> </w:t>
      </w:r>
    </w:p>
    <w:p w:rsidR="00DA121A" w:rsidRDefault="00904DD6">
      <w:pPr>
        <w:ind w:left="654" w:right="146"/>
      </w:pPr>
      <w:r>
        <w:t xml:space="preserve">Desarrollando dicho cuadro de gastos, por capítulos, tenemos: </w:t>
      </w:r>
    </w:p>
    <w:p w:rsidR="00DA121A" w:rsidRDefault="00904DD6">
      <w:pPr>
        <w:spacing w:after="0" w:line="259" w:lineRule="auto"/>
        <w:ind w:left="644" w:firstLine="0"/>
        <w:jc w:val="left"/>
      </w:pPr>
      <w:r>
        <w:t xml:space="preserve"> </w:t>
      </w:r>
    </w:p>
    <w:p w:rsidR="00DA121A" w:rsidRDefault="00904DD6">
      <w:pPr>
        <w:spacing w:after="6" w:line="248" w:lineRule="auto"/>
        <w:ind w:left="1002" w:right="424"/>
      </w:pPr>
      <w:r>
        <w:rPr>
          <w:b/>
          <w:i/>
        </w:rPr>
        <w:t xml:space="preserve">A) GASTOS DE PERSONAL </w:t>
      </w:r>
    </w:p>
    <w:p w:rsidR="00DA121A" w:rsidRDefault="00904DD6">
      <w:pPr>
        <w:spacing w:after="0" w:line="259" w:lineRule="auto"/>
        <w:ind w:left="992" w:firstLine="0"/>
        <w:jc w:val="left"/>
      </w:pPr>
      <w:r>
        <w:rPr>
          <w:b/>
          <w:i/>
        </w:rPr>
        <w:t xml:space="preserve"> </w:t>
      </w:r>
    </w:p>
    <w:p w:rsidR="00DA121A" w:rsidRDefault="00904DD6">
      <w:pPr>
        <w:ind w:left="278" w:right="146" w:firstLine="708"/>
      </w:pPr>
      <w:r>
        <w:t xml:space="preserve">A continuación, se detalla la evolución de los gastos de personal ejecutados en los últimos ejercicios: </w:t>
      </w:r>
    </w:p>
    <w:p w:rsidR="00DA121A" w:rsidRDefault="00904DD6">
      <w:pPr>
        <w:spacing w:after="0" w:line="259" w:lineRule="auto"/>
        <w:ind w:left="895" w:firstLine="0"/>
        <w:jc w:val="center"/>
      </w:pPr>
      <w:r>
        <w:rPr>
          <w:rFonts w:ascii="Times New Roman" w:eastAsia="Times New Roman" w:hAnsi="Times New Roman" w:cs="Times New Roman"/>
          <w:sz w:val="24"/>
        </w:rPr>
        <w:t xml:space="preserve"> </w:t>
      </w:r>
    </w:p>
    <w:tbl>
      <w:tblPr>
        <w:tblStyle w:val="TableGrid"/>
        <w:tblW w:w="9148" w:type="dxa"/>
        <w:tblInd w:w="284" w:type="dxa"/>
        <w:tblCellMar>
          <w:top w:w="8" w:type="dxa"/>
          <w:left w:w="84" w:type="dxa"/>
          <w:bottom w:w="0" w:type="dxa"/>
          <w:right w:w="36" w:type="dxa"/>
        </w:tblCellMar>
        <w:tblLook w:val="04A0" w:firstRow="1" w:lastRow="0" w:firstColumn="1" w:lastColumn="0" w:noHBand="0" w:noVBand="1"/>
      </w:tblPr>
      <w:tblGrid>
        <w:gridCol w:w="571"/>
        <w:gridCol w:w="1771"/>
        <w:gridCol w:w="428"/>
        <w:gridCol w:w="1982"/>
        <w:gridCol w:w="994"/>
        <w:gridCol w:w="2552"/>
        <w:gridCol w:w="850"/>
      </w:tblGrid>
      <w:tr w:rsidR="00DA121A">
        <w:trPr>
          <w:trHeight w:val="425"/>
        </w:trPr>
        <w:tc>
          <w:tcPr>
            <w:tcW w:w="5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b/>
                <w:sz w:val="18"/>
              </w:rPr>
              <w:t xml:space="preserve">AÑO </w:t>
            </w:r>
          </w:p>
        </w:tc>
        <w:tc>
          <w:tcPr>
            <w:tcW w:w="17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center"/>
            </w:pPr>
            <w:r>
              <w:rPr>
                <w:b/>
                <w:sz w:val="18"/>
              </w:rPr>
              <w:t xml:space="preserve">CAPÍTULO PERSONAL </w:t>
            </w:r>
          </w:p>
        </w:tc>
        <w:tc>
          <w:tcPr>
            <w:tcW w:w="42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left"/>
            </w:pPr>
            <w:r>
              <w:rPr>
                <w:b/>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center"/>
            </w:pPr>
            <w:r>
              <w:rPr>
                <w:b/>
                <w:sz w:val="18"/>
              </w:rPr>
              <w:t xml:space="preserve">PERSONAL FUNCIONARIO </w:t>
            </w:r>
          </w:p>
        </w:tc>
        <w:tc>
          <w:tcPr>
            <w:tcW w:w="9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1" w:firstLine="0"/>
              <w:jc w:val="center"/>
            </w:pPr>
            <w:r>
              <w:rPr>
                <w:b/>
                <w:sz w:val="18"/>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center"/>
            </w:pPr>
            <w:r>
              <w:rPr>
                <w:b/>
                <w:sz w:val="18"/>
              </w:rPr>
              <w:t xml:space="preserve">PERSONAL LABORAL TEMPORAL </w:t>
            </w:r>
          </w:p>
        </w:tc>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1" w:firstLine="0"/>
              <w:jc w:val="center"/>
            </w:pPr>
            <w:r>
              <w:rPr>
                <w:b/>
                <w:sz w:val="18"/>
              </w:rPr>
              <w:t xml:space="preserve">% </w:t>
            </w:r>
          </w:p>
        </w:tc>
      </w:tr>
      <w:tr w:rsidR="00DA121A">
        <w:trPr>
          <w:trHeight w:val="425"/>
        </w:trPr>
        <w:tc>
          <w:tcPr>
            <w:tcW w:w="5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2022 </w:t>
            </w:r>
          </w:p>
        </w:tc>
        <w:tc>
          <w:tcPr>
            <w:tcW w:w="17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2" w:firstLine="0"/>
              <w:jc w:val="center"/>
            </w:pPr>
            <w:r>
              <w:rPr>
                <w:sz w:val="18"/>
              </w:rPr>
              <w:t xml:space="preserve">11.223.640,13 </w:t>
            </w:r>
          </w:p>
        </w:tc>
        <w:tc>
          <w:tcPr>
            <w:tcW w:w="42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6" w:hanging="74"/>
              <w:jc w:val="left"/>
            </w:pPr>
            <w:r>
              <w:rPr>
                <w:sz w:val="18"/>
              </w:rPr>
              <w:t xml:space="preserve">9,2 4 </w:t>
            </w:r>
          </w:p>
        </w:tc>
        <w:tc>
          <w:tcPr>
            <w:tcW w:w="198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7" w:firstLine="0"/>
              <w:jc w:val="center"/>
            </w:pPr>
            <w:r>
              <w:rPr>
                <w:sz w:val="18"/>
              </w:rPr>
              <w:t xml:space="preserve">1.742.208,03 </w:t>
            </w:r>
          </w:p>
        </w:tc>
        <w:tc>
          <w:tcPr>
            <w:tcW w:w="9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2" w:firstLine="0"/>
              <w:jc w:val="center"/>
            </w:pPr>
            <w:r>
              <w:rPr>
                <w:sz w:val="18"/>
              </w:rPr>
              <w:t xml:space="preserve">7,3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 w:firstLine="0"/>
              <w:jc w:val="center"/>
            </w:pPr>
            <w:r>
              <w:rPr>
                <w:sz w:val="18"/>
              </w:rPr>
              <w:t xml:space="preserve">3.677.673,47 </w:t>
            </w:r>
          </w:p>
        </w:tc>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6" w:firstLine="0"/>
              <w:jc w:val="center"/>
            </w:pPr>
            <w:r>
              <w:rPr>
                <w:sz w:val="18"/>
              </w:rPr>
              <w:t xml:space="preserve">2,4 </w:t>
            </w:r>
          </w:p>
        </w:tc>
      </w:tr>
      <w:tr w:rsidR="00DA121A">
        <w:trPr>
          <w:trHeight w:val="216"/>
        </w:trPr>
        <w:tc>
          <w:tcPr>
            <w:tcW w:w="5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2021 </w:t>
            </w:r>
          </w:p>
        </w:tc>
        <w:tc>
          <w:tcPr>
            <w:tcW w:w="17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2" w:firstLine="0"/>
              <w:jc w:val="center"/>
            </w:pPr>
            <w:r>
              <w:rPr>
                <w:sz w:val="18"/>
              </w:rPr>
              <w:t xml:space="preserve">10.273.933,94 </w:t>
            </w:r>
          </w:p>
        </w:tc>
        <w:tc>
          <w:tcPr>
            <w:tcW w:w="42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2,3 </w:t>
            </w:r>
          </w:p>
        </w:tc>
        <w:tc>
          <w:tcPr>
            <w:tcW w:w="198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7" w:firstLine="0"/>
              <w:jc w:val="center"/>
            </w:pPr>
            <w:r>
              <w:rPr>
                <w:sz w:val="18"/>
              </w:rPr>
              <w:t xml:space="preserve">1.624.209,30 </w:t>
            </w:r>
          </w:p>
        </w:tc>
        <w:tc>
          <w:tcPr>
            <w:tcW w:w="9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1" w:firstLine="0"/>
              <w:jc w:val="center"/>
            </w:pPr>
            <w:r>
              <w:rPr>
                <w:sz w:val="18"/>
              </w:rPr>
              <w:t xml:space="preserve">-4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 w:firstLine="0"/>
              <w:jc w:val="center"/>
            </w:pPr>
            <w:r>
              <w:rPr>
                <w:sz w:val="18"/>
              </w:rPr>
              <w:t xml:space="preserve">3.590.821,01 </w:t>
            </w:r>
          </w:p>
        </w:tc>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center"/>
            </w:pPr>
            <w:r>
              <w:rPr>
                <w:sz w:val="18"/>
              </w:rPr>
              <w:t xml:space="preserve">-2,5 </w:t>
            </w:r>
          </w:p>
        </w:tc>
      </w:tr>
      <w:tr w:rsidR="00DA121A">
        <w:trPr>
          <w:trHeight w:val="218"/>
        </w:trPr>
        <w:tc>
          <w:tcPr>
            <w:tcW w:w="5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2020 </w:t>
            </w:r>
          </w:p>
        </w:tc>
        <w:tc>
          <w:tcPr>
            <w:tcW w:w="17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2" w:firstLine="0"/>
              <w:jc w:val="center"/>
            </w:pPr>
            <w:r>
              <w:rPr>
                <w:sz w:val="18"/>
              </w:rPr>
              <w:t xml:space="preserve">10.045.506,14 </w:t>
            </w:r>
          </w:p>
        </w:tc>
        <w:tc>
          <w:tcPr>
            <w:tcW w:w="42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5,8 </w:t>
            </w:r>
          </w:p>
        </w:tc>
        <w:tc>
          <w:tcPr>
            <w:tcW w:w="198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7" w:firstLine="0"/>
              <w:jc w:val="center"/>
            </w:pPr>
            <w:r>
              <w:rPr>
                <w:sz w:val="18"/>
              </w:rPr>
              <w:t xml:space="preserve">1.687.896,52 </w:t>
            </w:r>
          </w:p>
        </w:tc>
        <w:tc>
          <w:tcPr>
            <w:tcW w:w="9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2" w:firstLine="0"/>
              <w:jc w:val="center"/>
            </w:pPr>
            <w:r>
              <w:rPr>
                <w:sz w:val="18"/>
              </w:rPr>
              <w:t xml:space="preserve">10,5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 w:firstLine="0"/>
              <w:jc w:val="center"/>
            </w:pPr>
            <w:r>
              <w:rPr>
                <w:sz w:val="18"/>
              </w:rPr>
              <w:t xml:space="preserve">3.681.208,94 </w:t>
            </w:r>
          </w:p>
        </w:tc>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6" w:firstLine="0"/>
              <w:jc w:val="center"/>
            </w:pPr>
            <w:r>
              <w:rPr>
                <w:sz w:val="18"/>
              </w:rPr>
              <w:t xml:space="preserve">8,1 </w:t>
            </w:r>
          </w:p>
        </w:tc>
      </w:tr>
      <w:tr w:rsidR="00DA121A">
        <w:trPr>
          <w:trHeight w:val="216"/>
        </w:trPr>
        <w:tc>
          <w:tcPr>
            <w:tcW w:w="5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2019 </w:t>
            </w:r>
          </w:p>
        </w:tc>
        <w:tc>
          <w:tcPr>
            <w:tcW w:w="17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2" w:firstLine="0"/>
              <w:jc w:val="center"/>
            </w:pPr>
            <w:r>
              <w:rPr>
                <w:sz w:val="18"/>
              </w:rPr>
              <w:t xml:space="preserve">9.494.404,18 </w:t>
            </w:r>
          </w:p>
        </w:tc>
        <w:tc>
          <w:tcPr>
            <w:tcW w:w="42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7" w:firstLine="0"/>
              <w:jc w:val="center"/>
            </w:pPr>
            <w:r>
              <w:rPr>
                <w:sz w:val="18"/>
              </w:rPr>
              <w:t xml:space="preserve">1.526.804,38 </w:t>
            </w:r>
          </w:p>
        </w:tc>
        <w:tc>
          <w:tcPr>
            <w:tcW w:w="9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center"/>
            </w:pPr>
            <w:r>
              <w:rPr>
                <w:sz w:val="18"/>
              </w:rPr>
              <w:t xml:space="preserve">-6,4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 w:firstLine="0"/>
              <w:jc w:val="center"/>
            </w:pPr>
            <w:r>
              <w:rPr>
                <w:sz w:val="18"/>
              </w:rPr>
              <w:t xml:space="preserve">3.402.797,08 </w:t>
            </w:r>
          </w:p>
        </w:tc>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6" w:firstLine="0"/>
              <w:jc w:val="center"/>
            </w:pPr>
            <w:r>
              <w:rPr>
                <w:sz w:val="18"/>
              </w:rPr>
              <w:t xml:space="preserve">1,7 </w:t>
            </w:r>
          </w:p>
        </w:tc>
      </w:tr>
      <w:tr w:rsidR="00DA121A">
        <w:trPr>
          <w:trHeight w:val="218"/>
        </w:trPr>
        <w:tc>
          <w:tcPr>
            <w:tcW w:w="5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2018 </w:t>
            </w:r>
          </w:p>
        </w:tc>
        <w:tc>
          <w:tcPr>
            <w:tcW w:w="177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2" w:firstLine="0"/>
              <w:jc w:val="center"/>
            </w:pPr>
            <w:r>
              <w:rPr>
                <w:sz w:val="18"/>
              </w:rPr>
              <w:t xml:space="preserve">9.069.195,97 </w:t>
            </w:r>
          </w:p>
        </w:tc>
        <w:tc>
          <w:tcPr>
            <w:tcW w:w="42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1,9 </w:t>
            </w:r>
          </w:p>
        </w:tc>
        <w:tc>
          <w:tcPr>
            <w:tcW w:w="198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7" w:firstLine="0"/>
              <w:jc w:val="center"/>
            </w:pPr>
            <w:r>
              <w:rPr>
                <w:sz w:val="18"/>
              </w:rPr>
              <w:t xml:space="preserve">1.630.748,64 </w:t>
            </w:r>
          </w:p>
        </w:tc>
        <w:tc>
          <w:tcPr>
            <w:tcW w:w="99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4" w:firstLine="0"/>
              <w:jc w:val="center"/>
            </w:pPr>
            <w:r>
              <w:rPr>
                <w:sz w:val="18"/>
              </w:rPr>
              <w:t xml:space="preserve">2 </w:t>
            </w:r>
          </w:p>
        </w:tc>
        <w:tc>
          <w:tcPr>
            <w:tcW w:w="25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0" w:firstLine="0"/>
              <w:jc w:val="center"/>
            </w:pPr>
            <w:r>
              <w:rPr>
                <w:sz w:val="18"/>
              </w:rPr>
              <w:t xml:space="preserve">3.346.125,54 </w:t>
            </w:r>
          </w:p>
        </w:tc>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center"/>
            </w:pPr>
            <w:r>
              <w:rPr>
                <w:sz w:val="18"/>
              </w:rPr>
              <w:t xml:space="preserve">-5,3 </w:t>
            </w:r>
          </w:p>
        </w:tc>
      </w:tr>
    </w:tbl>
    <w:p w:rsidR="00DA121A" w:rsidRDefault="00904DD6">
      <w:pPr>
        <w:spacing w:after="19" w:line="259" w:lineRule="auto"/>
        <w:ind w:left="567" w:firstLine="0"/>
        <w:jc w:val="left"/>
      </w:pPr>
      <w:r>
        <w:rPr>
          <w:sz w:val="18"/>
        </w:rPr>
        <w:t xml:space="preserve"> </w:t>
      </w:r>
    </w:p>
    <w:p w:rsidR="00DA121A" w:rsidRDefault="00904DD6">
      <w:pPr>
        <w:ind w:left="278" w:right="146" w:firstLine="283"/>
      </w:pPr>
      <w:r>
        <w:t xml:space="preserve">Este capítulo, que ha subido en 949.706,19 Euros, representa un 42,1 % (en ejercicio anterior fue del 41,96 %) del gasto total liquidado siendo cuantitativamente el más importante. </w:t>
      </w:r>
    </w:p>
    <w:p w:rsidR="00DA121A" w:rsidRDefault="00904DD6">
      <w:pPr>
        <w:spacing w:after="0" w:line="259" w:lineRule="auto"/>
        <w:ind w:left="567" w:firstLine="0"/>
        <w:jc w:val="left"/>
      </w:pPr>
      <w:r>
        <w:rPr>
          <w:rFonts w:ascii="Times New Roman" w:eastAsia="Times New Roman" w:hAnsi="Times New Roman" w:cs="Times New Roman"/>
          <w:sz w:val="24"/>
        </w:rPr>
        <w:t xml:space="preserve"> </w:t>
      </w:r>
    </w:p>
    <w:p w:rsidR="00DA121A" w:rsidRDefault="00904DD6">
      <w:pPr>
        <w:tabs>
          <w:tab w:val="center" w:pos="284"/>
          <w:tab w:val="center" w:pos="4386"/>
        </w:tabs>
        <w:ind w:left="0" w:firstLine="0"/>
        <w:jc w:val="left"/>
      </w:pPr>
      <w:r>
        <w:rPr>
          <w:rFonts w:ascii="Calibri" w:eastAsia="Calibri" w:hAnsi="Calibri" w:cs="Calibri"/>
        </w:rPr>
        <w:tab/>
      </w:r>
      <w:r>
        <w:rPr>
          <w:b/>
        </w:rPr>
        <w:t xml:space="preserve"> </w:t>
      </w:r>
      <w:r>
        <w:rPr>
          <w:b/>
        </w:rPr>
        <w:tab/>
      </w:r>
      <w:r>
        <w:t>Dentro de esta subida del 9,24 %, se destacan los siguientes hechos: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1.- Incremento retributivo del 2 % por la Ley 22/2021 de 28 de diciembre, de Presupuestos Generales del Estado para el 2022, cantidad que se incrementó posteriormente, en un 1,5 %, a través del Real Decreto-ley 18/2022, de 18 de octubre.</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2.- </w:t>
      </w:r>
      <w:r>
        <w:t xml:space="preserve">Subida del gasto de personal aportado en los Convenios financiados por el Servicio Canario de Empleo, en un 41,6 %, poco más de medio millón de euros.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3.- Subida en un 11,1 % el gasto en seguridad social, alrededor de doscientos setenta mil euros. </w:t>
      </w:r>
    </w:p>
    <w:p w:rsidR="00DA121A" w:rsidRDefault="00904DD6">
      <w:pPr>
        <w:spacing w:after="0" w:line="259" w:lineRule="auto"/>
        <w:ind w:left="644" w:firstLine="0"/>
        <w:jc w:val="left"/>
      </w:pPr>
      <w:r>
        <w:t xml:space="preserve"> </w:t>
      </w:r>
    </w:p>
    <w:p w:rsidR="00DA121A" w:rsidRDefault="00904DD6">
      <w:pPr>
        <w:spacing w:after="0" w:line="259" w:lineRule="auto"/>
        <w:ind w:left="632" w:firstLine="0"/>
        <w:jc w:val="left"/>
      </w:pPr>
      <w:r>
        <w:rPr>
          <w:b/>
          <w:i/>
        </w:rPr>
        <w:t xml:space="preserve"> </w:t>
      </w:r>
    </w:p>
    <w:p w:rsidR="00DA121A" w:rsidRDefault="00904DD6">
      <w:pPr>
        <w:spacing w:after="6" w:line="248" w:lineRule="auto"/>
        <w:ind w:left="642" w:right="424"/>
      </w:pPr>
      <w:r>
        <w:rPr>
          <w:b/>
          <w:i/>
        </w:rPr>
        <w:t>B) GASTOS DE BIENES CORRIENTES Y DE SERVICIOS</w:t>
      </w:r>
      <w:r>
        <w:rPr>
          <w:rFonts w:ascii="Times New Roman" w:eastAsia="Times New Roman" w:hAnsi="Times New Roman" w:cs="Times New Roman"/>
          <w:sz w:val="24"/>
        </w:rPr>
        <w:t xml:space="preserve"> </w:t>
      </w:r>
    </w:p>
    <w:p w:rsidR="00DA121A" w:rsidRDefault="00904DD6">
      <w:pPr>
        <w:spacing w:after="0" w:line="259" w:lineRule="auto"/>
        <w:ind w:left="992" w:firstLine="0"/>
        <w:jc w:val="left"/>
      </w:pPr>
      <w:r>
        <w:t xml:space="preserve"> </w:t>
      </w:r>
    </w:p>
    <w:p w:rsidR="00DA121A" w:rsidRDefault="00904DD6">
      <w:pPr>
        <w:ind w:left="278" w:right="146" w:firstLine="360"/>
      </w:pPr>
      <w:r>
        <w:t xml:space="preserve">Los gastos de bienes y de servicios corrientes, que representan un 36 n% del gasto total frente al 39,3 % del año anterior, se mantiene prácticamente igual, ya que cae solamente en 26.370,64 Euros.  </w:t>
      </w:r>
    </w:p>
    <w:p w:rsidR="00DA121A" w:rsidRDefault="00904DD6">
      <w:pPr>
        <w:spacing w:after="0" w:line="259" w:lineRule="auto"/>
        <w:ind w:left="644" w:firstLine="0"/>
        <w:jc w:val="left"/>
      </w:pPr>
      <w:r>
        <w:t xml:space="preserve"> </w:t>
      </w:r>
    </w:p>
    <w:p w:rsidR="00DA121A" w:rsidRDefault="00904DD6">
      <w:pPr>
        <w:ind w:left="654" w:right="146"/>
      </w:pPr>
      <w:r>
        <w:t>Las</w:t>
      </w:r>
      <w:r>
        <w:t xml:space="preserve"> incidencias más importantes operadas en este capítulo II, se detallan a continuación: </w:t>
      </w:r>
    </w:p>
    <w:p w:rsidR="00DA121A" w:rsidRDefault="00904DD6">
      <w:pPr>
        <w:spacing w:after="0" w:line="259" w:lineRule="auto"/>
        <w:ind w:left="284" w:firstLine="0"/>
        <w:jc w:val="left"/>
      </w:pPr>
      <w:r>
        <w:t xml:space="preserve"> </w:t>
      </w:r>
    </w:p>
    <w:p w:rsidR="00DA121A" w:rsidRDefault="00904DD6">
      <w:pPr>
        <w:ind w:left="288" w:right="146"/>
      </w:pPr>
      <w:r>
        <w:t xml:space="preserve">1.-  Sube un 7,3 % los gastos de arrendamiento, destacando el gasto de arrendamiento de maquinaria y vehículos. </w:t>
      </w:r>
    </w:p>
    <w:p w:rsidR="00DA121A" w:rsidRDefault="00904DD6">
      <w:pPr>
        <w:spacing w:after="0" w:line="259" w:lineRule="auto"/>
        <w:ind w:left="284" w:firstLine="0"/>
        <w:jc w:val="left"/>
      </w:pPr>
      <w:r>
        <w:t xml:space="preserve"> </w:t>
      </w:r>
    </w:p>
    <w:p w:rsidR="00DA121A" w:rsidRDefault="00904DD6">
      <w:pPr>
        <w:ind w:left="288" w:right="146"/>
      </w:pPr>
      <w:r>
        <w:t xml:space="preserve">2.- </w:t>
      </w:r>
      <w:r>
        <w:t xml:space="preserve">Cae un 14,5 % los gastos de conservación, mantenimiento y reparación, de infraestructuras municipales, pero principalmente en los gastos de mantenimiento de edificios municipales. </w:t>
      </w:r>
    </w:p>
    <w:p w:rsidR="00DA121A" w:rsidRDefault="00904DD6">
      <w:pPr>
        <w:spacing w:after="0" w:line="259" w:lineRule="auto"/>
        <w:ind w:left="284" w:firstLine="0"/>
        <w:jc w:val="left"/>
      </w:pPr>
      <w:r>
        <w:t xml:space="preserve"> </w:t>
      </w:r>
    </w:p>
    <w:p w:rsidR="00DA121A" w:rsidRDefault="00904DD6">
      <w:pPr>
        <w:ind w:left="288" w:right="146"/>
      </w:pPr>
      <w:r>
        <w:t>3.- Sube el gasto en suministro eléctrico, en un 34 %, alrededor de cient</w:t>
      </w:r>
      <w:r>
        <w:t xml:space="preserve">o vente mil euros más. </w:t>
      </w:r>
    </w:p>
    <w:p w:rsidR="00DA121A" w:rsidRDefault="00904DD6">
      <w:pPr>
        <w:spacing w:after="0" w:line="259" w:lineRule="auto"/>
        <w:ind w:left="284" w:firstLine="0"/>
        <w:jc w:val="left"/>
      </w:pPr>
      <w:r>
        <w:t xml:space="preserve"> </w:t>
      </w:r>
    </w:p>
    <w:p w:rsidR="00DA121A" w:rsidRDefault="00904DD6">
      <w:pPr>
        <w:ind w:left="288" w:right="146"/>
      </w:pPr>
      <w:r>
        <w:t xml:space="preserve">4.- Desciende un 64,5 % los gastos jurídicos, alrededor de setenta y cuatro mil euros. </w:t>
      </w:r>
    </w:p>
    <w:p w:rsidR="00DA121A" w:rsidRDefault="00904DD6">
      <w:pPr>
        <w:spacing w:after="0" w:line="259" w:lineRule="auto"/>
        <w:ind w:left="284" w:firstLine="0"/>
        <w:jc w:val="left"/>
      </w:pPr>
      <w:r>
        <w:t xml:space="preserve"> </w:t>
      </w:r>
    </w:p>
    <w:p w:rsidR="00DA121A" w:rsidRDefault="00904DD6">
      <w:pPr>
        <w:ind w:left="288" w:right="146"/>
      </w:pPr>
      <w:r>
        <w:t xml:space="preserve">5.- Aumenta el gasto en casi cien mil euros, en el campamento de verano y navidad. </w:t>
      </w:r>
    </w:p>
    <w:p w:rsidR="00DA121A" w:rsidRDefault="00904DD6">
      <w:pPr>
        <w:spacing w:after="0" w:line="259" w:lineRule="auto"/>
        <w:ind w:left="284" w:firstLine="0"/>
        <w:jc w:val="left"/>
      </w:pPr>
      <w:r>
        <w:t xml:space="preserve"> </w:t>
      </w:r>
    </w:p>
    <w:p w:rsidR="00DA121A" w:rsidRDefault="00904DD6">
      <w:pPr>
        <w:ind w:left="288" w:right="146"/>
      </w:pPr>
      <w:r>
        <w:t xml:space="preserve">6.- </w:t>
      </w:r>
      <w:r>
        <w:t xml:space="preserve">Aumenta en noventa y cinco mil euros el gasto en las fiestas de la virgen de candelaria, noventa y seis mil euros, el gasto en las fiestas de santa ana y, unos noventa mil euros, en otras fiestas del municipio. </w:t>
      </w:r>
    </w:p>
    <w:p w:rsidR="00DA121A" w:rsidRDefault="00904DD6">
      <w:pPr>
        <w:spacing w:after="0" w:line="259" w:lineRule="auto"/>
        <w:ind w:left="284" w:firstLine="0"/>
        <w:jc w:val="left"/>
      </w:pPr>
      <w:r>
        <w:t xml:space="preserve"> </w:t>
      </w:r>
    </w:p>
    <w:p w:rsidR="00DA121A" w:rsidRDefault="00904DD6">
      <w:pPr>
        <w:ind w:left="288" w:right="146"/>
      </w:pPr>
      <w:r>
        <w:t>7.- Aumenta en setenta y seis mil euros, e</w:t>
      </w:r>
      <w:r>
        <w:t xml:space="preserve">l gasto en transporte a la demanda. </w:t>
      </w:r>
    </w:p>
    <w:p w:rsidR="00DA121A" w:rsidRDefault="00904DD6">
      <w:pPr>
        <w:spacing w:after="0" w:line="259" w:lineRule="auto"/>
        <w:ind w:left="284" w:firstLine="0"/>
        <w:jc w:val="left"/>
      </w:pPr>
      <w:r>
        <w:t xml:space="preserve"> </w:t>
      </w:r>
    </w:p>
    <w:p w:rsidR="00DA121A" w:rsidRDefault="00904DD6">
      <w:pPr>
        <w:ind w:left="288" w:right="146"/>
      </w:pPr>
      <w:r>
        <w:t xml:space="preserve">8.- Sube en cien mil euros, los gastos en trabajos realizados en infraestructuras.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numPr>
          <w:ilvl w:val="0"/>
          <w:numId w:val="9"/>
        </w:numPr>
        <w:spacing w:after="6" w:line="248" w:lineRule="auto"/>
        <w:ind w:right="424" w:hanging="343"/>
      </w:pPr>
      <w:r>
        <w:rPr>
          <w:b/>
          <w:i/>
        </w:rPr>
        <w:t xml:space="preserve">GASTOS FINANCIEROS </w:t>
      </w:r>
    </w:p>
    <w:p w:rsidR="00DA121A" w:rsidRDefault="00904DD6">
      <w:pPr>
        <w:spacing w:after="0" w:line="259" w:lineRule="auto"/>
        <w:ind w:left="644" w:firstLine="0"/>
        <w:jc w:val="left"/>
      </w:pPr>
      <w:r>
        <w:rPr>
          <w:b/>
          <w:i/>
        </w:rPr>
        <w:t xml:space="preserve"> </w:t>
      </w:r>
    </w:p>
    <w:p w:rsidR="00DA121A" w:rsidRDefault="00904DD6">
      <w:pPr>
        <w:ind w:left="288" w:right="146"/>
      </w:pPr>
      <w:r>
        <w:t xml:space="preserve"> Los gastos financieros importan un total de 69.103,54 Euros, frente al gasto de 39.375,45 en el año 2021,</w:t>
      </w:r>
      <w:r>
        <w:t xml:space="preserve"> esto es, una subida del 75,5 %, motivado por el abono, de intereses por los saldos bancarios.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r>
        <w:tab/>
        <w:t xml:space="preserve"> </w:t>
      </w:r>
    </w:p>
    <w:p w:rsidR="00DA121A" w:rsidRDefault="00904DD6">
      <w:pPr>
        <w:numPr>
          <w:ilvl w:val="0"/>
          <w:numId w:val="9"/>
        </w:numPr>
        <w:spacing w:after="6" w:line="248" w:lineRule="auto"/>
        <w:ind w:right="424" w:hanging="343"/>
      </w:pPr>
      <w:r>
        <w:rPr>
          <w:b/>
          <w:i/>
        </w:rPr>
        <w:t xml:space="preserve">TRANSFERENCIAS CORRIENTES </w:t>
      </w:r>
    </w:p>
    <w:p w:rsidR="00DA121A" w:rsidRDefault="00904DD6">
      <w:pPr>
        <w:spacing w:after="0" w:line="259" w:lineRule="auto"/>
        <w:ind w:left="1004" w:firstLine="0"/>
        <w:jc w:val="left"/>
      </w:pPr>
      <w:r>
        <w:rPr>
          <w:b/>
          <w:i/>
        </w:rPr>
        <w:t xml:space="preserve"> </w:t>
      </w:r>
    </w:p>
    <w:p w:rsidR="00DA121A" w:rsidRDefault="00904DD6">
      <w:pPr>
        <w:ind w:left="278" w:right="146" w:firstLine="360"/>
      </w:pPr>
      <w:r>
        <w:t xml:space="preserve"> </w:t>
      </w:r>
      <w:r>
        <w:t>En materia de transferencias corrientes, ha decrecido un 1 %, esto es, un total de 28.759,34 Euros, siendo el cuarto componente de gasto más importante cuantitativamente, motivado por la menor aportación a la empresa de inserción al recibir la citada empre</w:t>
      </w:r>
      <w:r>
        <w:t xml:space="preserve">sa una importante subvención del Gobierno de Canarias, a través del Servicio Canario de Empleo. </w:t>
      </w:r>
    </w:p>
    <w:p w:rsidR="00DA121A" w:rsidRDefault="00904DD6">
      <w:pPr>
        <w:spacing w:after="0" w:line="259" w:lineRule="auto"/>
        <w:ind w:left="644" w:firstLine="0"/>
        <w:jc w:val="left"/>
      </w:pPr>
      <w:r>
        <w:t xml:space="preserve"> </w:t>
      </w:r>
    </w:p>
    <w:p w:rsidR="00DA121A" w:rsidRDefault="00904DD6">
      <w:pPr>
        <w:ind w:left="288" w:right="146"/>
      </w:pPr>
      <w:r>
        <w:t xml:space="preserve"> Destaca la subvención a la Asociación del mercadillo del agricultor por 12.000 Euros, el aumento de las subvenciones a entidades culturales en 9.000 Euros y</w:t>
      </w:r>
      <w:r>
        <w:t xml:space="preserve"> la caída a entidades deportivas, en 25.000 Euros, mientras que se mantienen constantes prácticamente las subvenciones de servicios sociales </w:t>
      </w:r>
    </w:p>
    <w:p w:rsidR="00DA121A" w:rsidRDefault="00904DD6">
      <w:pPr>
        <w:spacing w:after="0" w:line="259" w:lineRule="auto"/>
        <w:ind w:left="1364" w:firstLine="0"/>
        <w:jc w:val="left"/>
      </w:pPr>
      <w:r>
        <w:t xml:space="preserve"> </w:t>
      </w:r>
    </w:p>
    <w:p w:rsidR="00DA121A" w:rsidRDefault="00904DD6">
      <w:pPr>
        <w:numPr>
          <w:ilvl w:val="0"/>
          <w:numId w:val="9"/>
        </w:numPr>
        <w:spacing w:after="6" w:line="248" w:lineRule="auto"/>
        <w:ind w:right="424" w:hanging="343"/>
      </w:pPr>
      <w:r>
        <w:rPr>
          <w:b/>
          <w:i/>
        </w:rPr>
        <w:t xml:space="preserve">INVERSIONES REALES </w:t>
      </w:r>
    </w:p>
    <w:p w:rsidR="00DA121A" w:rsidRDefault="00904DD6">
      <w:pPr>
        <w:spacing w:after="0" w:line="259" w:lineRule="auto"/>
        <w:ind w:left="644" w:firstLine="0"/>
        <w:jc w:val="left"/>
      </w:pPr>
      <w:r>
        <w:rPr>
          <w:b/>
          <w:i/>
        </w:rPr>
        <w:t xml:space="preserve"> </w:t>
      </w:r>
    </w:p>
    <w:p w:rsidR="00DA121A" w:rsidRDefault="00904DD6">
      <w:pPr>
        <w:ind w:left="288" w:right="146"/>
      </w:pPr>
      <w:r>
        <w:t xml:space="preserve">    En cuanto a las inversiones reales, experimenta un incremento importante, del 67,9 %, </w:t>
      </w:r>
      <w:r>
        <w:t>esto es, un total de 1.201.962,66 Euros, destacando como inversiones más importantes: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1.- Depósito de agua de Igueste, por importe de 859.908,61 Euros. </w:t>
      </w:r>
    </w:p>
    <w:p w:rsidR="00DA121A" w:rsidRDefault="00904DD6">
      <w:pPr>
        <w:spacing w:after="0" w:line="259" w:lineRule="auto"/>
        <w:ind w:left="284" w:firstLine="0"/>
        <w:jc w:val="left"/>
      </w:pPr>
      <w:r>
        <w:t xml:space="preserve"> </w:t>
      </w:r>
    </w:p>
    <w:p w:rsidR="00DA121A" w:rsidRDefault="00904DD6">
      <w:pPr>
        <w:ind w:left="288" w:right="146"/>
      </w:pPr>
      <w:r>
        <w:t xml:space="preserve">2.- Comedor del CEIP Punta Larga, por importe de 229.545,65 Euros. </w:t>
      </w:r>
    </w:p>
    <w:p w:rsidR="00DA121A" w:rsidRDefault="00904DD6">
      <w:pPr>
        <w:spacing w:after="0" w:line="259" w:lineRule="auto"/>
        <w:ind w:left="284" w:firstLine="0"/>
        <w:jc w:val="left"/>
      </w:pPr>
      <w:r>
        <w:t xml:space="preserve"> </w:t>
      </w:r>
    </w:p>
    <w:p w:rsidR="00DA121A" w:rsidRDefault="00904DD6">
      <w:pPr>
        <w:ind w:left="288" w:right="146"/>
      </w:pPr>
      <w:r>
        <w:t>3.- Obras de adecuación de l</w:t>
      </w:r>
      <w:r>
        <w:t xml:space="preserve">os bares cafetería en las instalaciones deportivas, por importe de 103.583,31 Euros. </w:t>
      </w:r>
    </w:p>
    <w:p w:rsidR="00DA121A" w:rsidRDefault="00904DD6">
      <w:pPr>
        <w:spacing w:after="0" w:line="259" w:lineRule="auto"/>
        <w:ind w:left="284" w:firstLine="0"/>
        <w:jc w:val="left"/>
      </w:pPr>
      <w:r>
        <w:t xml:space="preserve"> </w:t>
      </w:r>
    </w:p>
    <w:p w:rsidR="00DA121A" w:rsidRDefault="00904DD6">
      <w:pPr>
        <w:ind w:left="288" w:right="146"/>
      </w:pPr>
      <w:r>
        <w:t xml:space="preserve">4.- Obras de adecuación y mejora en campo de fútbol de Barranco Hondo, por importe de 241.240,60 Euros. </w:t>
      </w:r>
    </w:p>
    <w:p w:rsidR="00DA121A" w:rsidRDefault="00904DD6">
      <w:pPr>
        <w:spacing w:after="0" w:line="259" w:lineRule="auto"/>
        <w:ind w:left="284" w:firstLine="0"/>
        <w:jc w:val="left"/>
      </w:pPr>
      <w:r>
        <w:t xml:space="preserve"> </w:t>
      </w:r>
    </w:p>
    <w:p w:rsidR="00DA121A" w:rsidRDefault="00904DD6">
      <w:pPr>
        <w:ind w:left="288" w:right="146"/>
      </w:pPr>
      <w:r>
        <w:t xml:space="preserve">5.- </w:t>
      </w:r>
      <w:r>
        <w:t xml:space="preserve">Adquisición de vehículos para policía y Obras y servicios, por importe respectivamente, de 115.515,50 Euros y 172.643,10 Euros.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numPr>
          <w:ilvl w:val="0"/>
          <w:numId w:val="9"/>
        </w:numPr>
        <w:spacing w:after="6" w:line="248" w:lineRule="auto"/>
        <w:ind w:right="424" w:hanging="343"/>
      </w:pPr>
      <w:r>
        <w:rPr>
          <w:b/>
          <w:i/>
        </w:rPr>
        <w:t>TRANSFERENCIAS DE CAPITAL</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En las transferencias de capital, hay un gasto de 61.748,95 Euros con destino al </w:t>
      </w:r>
      <w:r>
        <w:t xml:space="preserve">Plan de Etapas del emisario submarino en P.I. Güimar, creciendo el gasto en un 95 %, respecto del ejercicio anterior.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i/>
        </w:rPr>
        <w:t xml:space="preserve"> </w:t>
      </w:r>
    </w:p>
    <w:p w:rsidR="00DA121A" w:rsidRDefault="00904DD6">
      <w:pPr>
        <w:numPr>
          <w:ilvl w:val="0"/>
          <w:numId w:val="9"/>
        </w:numPr>
        <w:spacing w:after="6" w:line="248" w:lineRule="auto"/>
        <w:ind w:right="424" w:hanging="343"/>
      </w:pPr>
      <w:r>
        <w:rPr>
          <w:b/>
          <w:i/>
        </w:rPr>
        <w:t>ACTIVOS FINANCIEROS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tabs>
          <w:tab w:val="center" w:pos="284"/>
          <w:tab w:val="center" w:pos="3840"/>
        </w:tabs>
        <w:ind w:left="0" w:firstLine="0"/>
        <w:jc w:val="left"/>
      </w:pPr>
      <w:r>
        <w:rPr>
          <w:rFonts w:ascii="Calibri" w:eastAsia="Calibri" w:hAnsi="Calibri" w:cs="Calibri"/>
        </w:rPr>
        <w:tab/>
      </w:r>
      <w:r>
        <w:t xml:space="preserve"> </w:t>
      </w:r>
      <w:r>
        <w:tab/>
        <w:t xml:space="preserve">Los Activos financieros no se ha ejecutado nada.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numPr>
          <w:ilvl w:val="0"/>
          <w:numId w:val="9"/>
        </w:numPr>
        <w:spacing w:after="6" w:line="248" w:lineRule="auto"/>
        <w:ind w:right="424" w:hanging="343"/>
      </w:pPr>
      <w:r>
        <w:rPr>
          <w:b/>
          <w:i/>
        </w:rPr>
        <w:t>PASIVOS FINANCIEROS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tabs>
          <w:tab w:val="center" w:pos="284"/>
          <w:tab w:val="center" w:pos="3827"/>
        </w:tabs>
        <w:ind w:left="0" w:firstLine="0"/>
        <w:jc w:val="left"/>
      </w:pPr>
      <w:r>
        <w:rPr>
          <w:rFonts w:ascii="Calibri" w:eastAsia="Calibri" w:hAnsi="Calibri" w:cs="Calibri"/>
        </w:rPr>
        <w:tab/>
      </w:r>
      <w:r>
        <w:t xml:space="preserve"> </w:t>
      </w:r>
      <w:r>
        <w:tab/>
      </w:r>
      <w:r>
        <w:t xml:space="preserve">No hay deuda financiera pendiente de amortizar. </w:t>
      </w:r>
    </w:p>
    <w:p w:rsidR="00DA121A" w:rsidRDefault="00904DD6">
      <w:pPr>
        <w:spacing w:after="0" w:line="259" w:lineRule="auto"/>
        <w:ind w:left="992" w:firstLine="0"/>
        <w:jc w:val="left"/>
      </w:pPr>
      <w:r>
        <w:t xml:space="preserve"> </w:t>
      </w:r>
    </w:p>
    <w:p w:rsidR="00DA121A" w:rsidRDefault="00904DD6">
      <w:pPr>
        <w:spacing w:after="0" w:line="259" w:lineRule="auto"/>
        <w:ind w:left="644" w:firstLine="0"/>
        <w:jc w:val="left"/>
      </w:pPr>
      <w:r>
        <w:t xml:space="preserve"> </w:t>
      </w:r>
    </w:p>
    <w:p w:rsidR="00DA121A" w:rsidRDefault="00904DD6">
      <w:pPr>
        <w:ind w:left="278" w:right="76" w:firstLine="360"/>
      </w:pPr>
      <w:r>
        <w:t xml:space="preserve">En ejercicios Cerrados, se realizaron pagos por importe de 1.877.381,56 Euros, frente a los 839.814,84 Euros, realizados en el año anterior, quedando un pendiente de pago de 525.476,08 Euros (497.516,52 Euros en año anterior). </w:t>
      </w:r>
    </w:p>
    <w:p w:rsidR="00DA121A" w:rsidRDefault="00904DD6">
      <w:pPr>
        <w:spacing w:after="0" w:line="259" w:lineRule="auto"/>
        <w:ind w:left="644" w:firstLine="0"/>
        <w:jc w:val="left"/>
      </w:pPr>
      <w:r>
        <w:t xml:space="preserve"> </w:t>
      </w:r>
    </w:p>
    <w:p w:rsidR="00DA121A" w:rsidRDefault="00904DD6">
      <w:pPr>
        <w:ind w:left="284" w:right="75" w:hanging="284"/>
      </w:pPr>
      <w:r>
        <w:t xml:space="preserve">  El 100 % de los pagos re</w:t>
      </w:r>
      <w:r>
        <w:t>alizados se corresponden con gastos pendientes del ejercicio 2021, de los que un 46 %, se corresponden con gastos de inversiones y un 37 % se corresponden con el capítulo II de compras y gastos corrientes, un 11 % con el capítulo de personal y un 6 %, a in</w:t>
      </w:r>
      <w:r>
        <w:t xml:space="preserve">versiones reales. </w:t>
      </w:r>
    </w:p>
    <w:p w:rsidR="00DA121A" w:rsidRDefault="00904DD6">
      <w:pPr>
        <w:spacing w:after="0" w:line="259" w:lineRule="auto"/>
        <w:ind w:left="0" w:firstLine="0"/>
        <w:jc w:val="left"/>
      </w:pPr>
      <w:r>
        <w:t xml:space="preserve"> </w:t>
      </w:r>
    </w:p>
    <w:p w:rsidR="00DA121A" w:rsidRDefault="00904DD6">
      <w:pPr>
        <w:ind w:left="278" w:right="146" w:firstLine="360"/>
      </w:pPr>
      <w:r>
        <w:t>Una vez estudiado los gastos liquidados, de acuerdo a la clasificación económica por capítulos, a continuación, hacemos un examen de los gastos según su naturaleza por programas, en la que se</w:t>
      </w:r>
      <w:r>
        <w:rPr>
          <w:rFonts w:ascii="Times New Roman" w:eastAsia="Times New Roman" w:hAnsi="Times New Roman" w:cs="Times New Roman"/>
          <w:sz w:val="24"/>
        </w:rPr>
        <w:t xml:space="preserve"> extraen las siguientes conclusiones: </w:t>
      </w:r>
    </w:p>
    <w:p w:rsidR="00DA121A" w:rsidRDefault="00904DD6">
      <w:pPr>
        <w:spacing w:after="0" w:line="259" w:lineRule="auto"/>
        <w:ind w:left="860" w:firstLine="0"/>
        <w:jc w:val="left"/>
      </w:pPr>
      <w:r>
        <w:rPr>
          <w:b/>
        </w:rPr>
        <w:t xml:space="preserve"> </w:t>
      </w:r>
    </w:p>
    <w:p w:rsidR="00DA121A" w:rsidRDefault="00904DD6">
      <w:pPr>
        <w:spacing w:after="0" w:line="259" w:lineRule="auto"/>
        <w:ind w:left="860" w:firstLine="0"/>
        <w:jc w:val="left"/>
      </w:pPr>
      <w:r>
        <w:rPr>
          <w:b/>
        </w:rPr>
        <w:t xml:space="preserve"> </w:t>
      </w:r>
    </w:p>
    <w:p w:rsidR="00DA121A" w:rsidRDefault="00904DD6">
      <w:pPr>
        <w:spacing w:after="4"/>
        <w:ind w:left="870" w:right="144"/>
      </w:pPr>
      <w:r>
        <w:rPr>
          <w:b/>
        </w:rPr>
        <w:t>B</w:t>
      </w:r>
      <w:r>
        <w:rPr>
          <w:b/>
        </w:rPr>
        <w:t xml:space="preserve">) CLASIFICACIÓN POR PROGRAMAS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ind w:left="288" w:right="146"/>
      </w:pPr>
      <w:r>
        <w:rPr>
          <w:rFonts w:ascii="Times New Roman" w:eastAsia="Times New Roman" w:hAnsi="Times New Roman" w:cs="Times New Roman"/>
          <w:sz w:val="24"/>
        </w:rPr>
        <w:t xml:space="preserve"> </w:t>
      </w:r>
      <w:r>
        <w:t>Hay que señalar que a través de la Orden EHA/3565/2008 de 3 de diciembre, por la que se aprueba la estructura de los presupuestos de las entidades locales, que se aplicará a partir de 1 de enero  de 2010, modificada poster</w:t>
      </w:r>
      <w:r>
        <w:t xml:space="preserve">iormente por la Orden HAP/419/2014, de 14 de marzo, por la que se aprueba la estructura de los presupuestos de las entidades locales, se va a pasar de una denominación de clasificación funcional para pasar a denominarse clasificación por programas, que se </w:t>
      </w:r>
      <w:r>
        <w:t>desarrolla en Áreas de Gasto, Políticas de Gasto, Grupos por Programas, Programas y Subprogramas. Así tenemos seis Áreas de Gastos que se detallan a continuación: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numPr>
          <w:ilvl w:val="0"/>
          <w:numId w:val="10"/>
        </w:numPr>
        <w:ind w:right="146" w:hanging="360"/>
      </w:pPr>
      <w:r>
        <w:rPr>
          <w:b/>
          <w:i/>
        </w:rPr>
        <w:t>Área de Gasto 0</w:t>
      </w:r>
      <w:r>
        <w:rPr>
          <w:i/>
        </w:rPr>
        <w:t xml:space="preserve">: </w:t>
      </w:r>
      <w:r>
        <w:t>Comprende todos los gastos de intereses y amortización de la deuda pública y demás operaciones financieras de naturaleza análoga.</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i/>
        </w:rPr>
        <w:t xml:space="preserve"> </w:t>
      </w:r>
    </w:p>
    <w:p w:rsidR="00DA121A" w:rsidRDefault="00904DD6">
      <w:pPr>
        <w:ind w:left="278" w:right="146" w:firstLine="360"/>
      </w:pPr>
      <w:r>
        <w:t>Sube un 75,5 %, respecto el año anterior, motivado por el mayor gasto en intereses por saldos bancarios. Representa el 0,25</w:t>
      </w:r>
      <w:r>
        <w:t xml:space="preserve"> % del gasto total, frente al 0,2 % del año 2021. </w:t>
      </w:r>
    </w:p>
    <w:p w:rsidR="00DA121A" w:rsidRDefault="00904DD6">
      <w:pPr>
        <w:spacing w:after="0" w:line="259" w:lineRule="auto"/>
        <w:ind w:left="284" w:firstLine="0"/>
        <w:jc w:val="left"/>
      </w:pPr>
      <w:r>
        <w:t xml:space="preserve"> </w:t>
      </w:r>
    </w:p>
    <w:p w:rsidR="00DA121A" w:rsidRDefault="00904DD6">
      <w:pPr>
        <w:ind w:left="288" w:right="146"/>
      </w:pPr>
      <w:r>
        <w:t xml:space="preserve">     Recoge un solo subprograma, la 011.00 y el gasto asciende a un total de 69.103,54 Euros frente a los 39.375,45 Euros ejecutados en año anterior. </w:t>
      </w:r>
    </w:p>
    <w:p w:rsidR="00DA121A" w:rsidRDefault="00904DD6">
      <w:pPr>
        <w:spacing w:after="0" w:line="259" w:lineRule="auto"/>
        <w:ind w:left="284" w:firstLine="0"/>
        <w:jc w:val="left"/>
      </w:pPr>
      <w:r>
        <w:t xml:space="preserve"> </w:t>
      </w:r>
    </w:p>
    <w:p w:rsidR="00DA121A" w:rsidRDefault="00904DD6">
      <w:pPr>
        <w:spacing w:after="0" w:line="259" w:lineRule="auto"/>
        <w:ind w:left="186" w:firstLine="0"/>
        <w:jc w:val="center"/>
      </w:pPr>
      <w:r>
        <w:t xml:space="preserve"> </w:t>
      </w:r>
    </w:p>
    <w:tbl>
      <w:tblPr>
        <w:tblStyle w:val="TableGrid"/>
        <w:tblW w:w="8572" w:type="dxa"/>
        <w:tblInd w:w="576" w:type="dxa"/>
        <w:tblCellMar>
          <w:top w:w="9" w:type="dxa"/>
          <w:left w:w="110" w:type="dxa"/>
          <w:bottom w:w="0" w:type="dxa"/>
          <w:right w:w="57" w:type="dxa"/>
        </w:tblCellMar>
        <w:tblLook w:val="04A0" w:firstRow="1" w:lastRow="0" w:firstColumn="1" w:lastColumn="0" w:noHBand="0" w:noVBand="1"/>
      </w:tblPr>
      <w:tblGrid>
        <w:gridCol w:w="835"/>
        <w:gridCol w:w="3625"/>
        <w:gridCol w:w="2268"/>
        <w:gridCol w:w="1844"/>
      </w:tblGrid>
      <w:tr w:rsidR="00DA121A">
        <w:trPr>
          <w:trHeight w:val="468"/>
        </w:trPr>
        <w:tc>
          <w:tcPr>
            <w:tcW w:w="8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9" w:firstLine="0"/>
              <w:jc w:val="left"/>
            </w:pPr>
            <w:r>
              <w:rPr>
                <w:sz w:val="20"/>
              </w:rPr>
              <w:t xml:space="preserve">AÑO </w:t>
            </w:r>
          </w:p>
          <w:p w:rsidR="00DA121A" w:rsidRDefault="00904DD6">
            <w:pPr>
              <w:spacing w:after="0" w:line="259" w:lineRule="auto"/>
              <w:ind w:left="2" w:firstLine="0"/>
              <w:jc w:val="center"/>
            </w:pPr>
            <w:r>
              <w:rPr>
                <w:sz w:val="20"/>
              </w:rPr>
              <w:t xml:space="preserve"> </w:t>
            </w:r>
          </w:p>
        </w:tc>
        <w:tc>
          <w:tcPr>
            <w:tcW w:w="36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center"/>
            </w:pPr>
            <w:r>
              <w:rPr>
                <w:sz w:val="20"/>
              </w:rPr>
              <w:t>PREVISIONES INICIALES DEL ÁREA DE GASTO 0</w:t>
            </w: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8" w:firstLine="0"/>
              <w:jc w:val="center"/>
            </w:pPr>
            <w:r>
              <w:rPr>
                <w:sz w:val="20"/>
              </w:rPr>
              <w:t xml:space="preserve">EJECUCIÓN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4" w:firstLine="0"/>
              <w:jc w:val="center"/>
            </w:pPr>
            <w:r>
              <w:rPr>
                <w:sz w:val="20"/>
              </w:rPr>
              <w:t xml:space="preserve">%   </w:t>
            </w:r>
          </w:p>
          <w:p w:rsidR="00DA121A" w:rsidRDefault="00904DD6">
            <w:pPr>
              <w:spacing w:after="0" w:line="259" w:lineRule="auto"/>
              <w:ind w:left="113" w:firstLine="0"/>
              <w:jc w:val="left"/>
            </w:pPr>
            <w:r>
              <w:rPr>
                <w:sz w:val="20"/>
              </w:rPr>
              <w:t xml:space="preserve">CRECIMIENTO </w:t>
            </w:r>
          </w:p>
        </w:tc>
      </w:tr>
      <w:tr w:rsidR="00DA121A">
        <w:trPr>
          <w:trHeight w:val="240"/>
        </w:trPr>
        <w:tc>
          <w:tcPr>
            <w:tcW w:w="8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4" w:firstLine="0"/>
              <w:jc w:val="left"/>
            </w:pPr>
            <w:r>
              <w:rPr>
                <w:sz w:val="20"/>
              </w:rPr>
              <w:t xml:space="preserve">2022 </w:t>
            </w:r>
          </w:p>
        </w:tc>
        <w:tc>
          <w:tcPr>
            <w:tcW w:w="36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4" w:firstLine="0"/>
              <w:jc w:val="center"/>
            </w:pPr>
            <w:r>
              <w:rPr>
                <w:sz w:val="20"/>
              </w:rPr>
              <w:t xml:space="preserve">50.000,00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5" w:firstLine="0"/>
              <w:jc w:val="center"/>
            </w:pPr>
            <w:r>
              <w:rPr>
                <w:sz w:val="20"/>
              </w:rPr>
              <w:t xml:space="preserve">69.103,54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6" w:firstLine="0"/>
              <w:jc w:val="center"/>
            </w:pPr>
            <w:r>
              <w:rPr>
                <w:sz w:val="20"/>
              </w:rPr>
              <w:t xml:space="preserve">75,5 </w:t>
            </w:r>
          </w:p>
        </w:tc>
      </w:tr>
      <w:tr w:rsidR="00DA121A">
        <w:trPr>
          <w:trHeight w:val="240"/>
        </w:trPr>
        <w:tc>
          <w:tcPr>
            <w:tcW w:w="8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4" w:firstLine="0"/>
              <w:jc w:val="left"/>
            </w:pPr>
            <w:r>
              <w:rPr>
                <w:sz w:val="20"/>
              </w:rPr>
              <w:t xml:space="preserve">2021 </w:t>
            </w:r>
          </w:p>
        </w:tc>
        <w:tc>
          <w:tcPr>
            <w:tcW w:w="36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4" w:firstLine="0"/>
              <w:jc w:val="center"/>
            </w:pPr>
            <w:r>
              <w:rPr>
                <w:sz w:val="20"/>
              </w:rPr>
              <w:t xml:space="preserve">150.000,00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5" w:firstLine="0"/>
              <w:jc w:val="center"/>
            </w:pPr>
            <w:r>
              <w:rPr>
                <w:sz w:val="20"/>
              </w:rPr>
              <w:t xml:space="preserve">29.160,78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3" w:firstLine="0"/>
              <w:jc w:val="center"/>
            </w:pPr>
            <w:r>
              <w:rPr>
                <w:sz w:val="20"/>
              </w:rPr>
              <w:t xml:space="preserve">-99 </w:t>
            </w:r>
          </w:p>
        </w:tc>
      </w:tr>
      <w:tr w:rsidR="00DA121A">
        <w:trPr>
          <w:trHeight w:val="240"/>
        </w:trPr>
        <w:tc>
          <w:tcPr>
            <w:tcW w:w="8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4" w:firstLine="0"/>
              <w:jc w:val="left"/>
            </w:pPr>
            <w:r>
              <w:rPr>
                <w:sz w:val="20"/>
              </w:rPr>
              <w:t xml:space="preserve">2020 </w:t>
            </w:r>
          </w:p>
        </w:tc>
        <w:tc>
          <w:tcPr>
            <w:tcW w:w="36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4" w:firstLine="0"/>
              <w:jc w:val="center"/>
            </w:pPr>
            <w:r>
              <w:rPr>
                <w:sz w:val="20"/>
              </w:rPr>
              <w:t xml:space="preserve">784.471,12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5" w:firstLine="0"/>
              <w:jc w:val="center"/>
            </w:pPr>
            <w:r>
              <w:rPr>
                <w:sz w:val="20"/>
              </w:rPr>
              <w:t xml:space="preserve">2.736.005,30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8" w:firstLine="0"/>
              <w:jc w:val="center"/>
            </w:pPr>
            <w:r>
              <w:rPr>
                <w:sz w:val="20"/>
              </w:rPr>
              <w:t xml:space="preserve">155 </w:t>
            </w:r>
          </w:p>
        </w:tc>
      </w:tr>
      <w:tr w:rsidR="00DA121A">
        <w:trPr>
          <w:trHeight w:val="240"/>
        </w:trPr>
        <w:tc>
          <w:tcPr>
            <w:tcW w:w="8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4" w:firstLine="0"/>
              <w:jc w:val="left"/>
            </w:pPr>
            <w:r>
              <w:rPr>
                <w:sz w:val="20"/>
              </w:rPr>
              <w:t xml:space="preserve">2019 </w:t>
            </w:r>
          </w:p>
        </w:tc>
        <w:tc>
          <w:tcPr>
            <w:tcW w:w="36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4" w:firstLine="0"/>
              <w:jc w:val="center"/>
            </w:pPr>
            <w:r>
              <w:rPr>
                <w:sz w:val="20"/>
              </w:rPr>
              <w:t xml:space="preserve">1.296.975,15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5" w:firstLine="0"/>
              <w:jc w:val="center"/>
            </w:pPr>
            <w:r>
              <w:rPr>
                <w:sz w:val="20"/>
              </w:rPr>
              <w:t xml:space="preserve">1.072.276,95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3" w:firstLine="0"/>
              <w:jc w:val="center"/>
            </w:pPr>
            <w:r>
              <w:rPr>
                <w:sz w:val="20"/>
              </w:rPr>
              <w:t xml:space="preserve">-62 </w:t>
            </w:r>
          </w:p>
        </w:tc>
      </w:tr>
      <w:tr w:rsidR="00DA121A">
        <w:trPr>
          <w:trHeight w:val="242"/>
        </w:trPr>
        <w:tc>
          <w:tcPr>
            <w:tcW w:w="83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4" w:firstLine="0"/>
              <w:jc w:val="left"/>
            </w:pPr>
            <w:r>
              <w:rPr>
                <w:sz w:val="20"/>
              </w:rPr>
              <w:t xml:space="preserve">2018 </w:t>
            </w:r>
          </w:p>
        </w:tc>
        <w:tc>
          <w:tcPr>
            <w:tcW w:w="36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4" w:firstLine="0"/>
              <w:jc w:val="center"/>
            </w:pPr>
            <w:r>
              <w:rPr>
                <w:sz w:val="20"/>
              </w:rPr>
              <w:t xml:space="preserve">1.296.975,15 </w:t>
            </w:r>
          </w:p>
        </w:tc>
        <w:tc>
          <w:tcPr>
            <w:tcW w:w="226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5" w:firstLine="0"/>
              <w:jc w:val="center"/>
            </w:pPr>
            <w:r>
              <w:rPr>
                <w:sz w:val="20"/>
              </w:rPr>
              <w:t xml:space="preserve">2.806.445,66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3" w:firstLine="0"/>
              <w:jc w:val="center"/>
            </w:pPr>
            <w:r>
              <w:rPr>
                <w:sz w:val="20"/>
              </w:rPr>
              <w:t xml:space="preserve">-12 </w:t>
            </w:r>
          </w:p>
        </w:tc>
      </w:tr>
    </w:tbl>
    <w:p w:rsidR="00DA121A" w:rsidRDefault="00904DD6">
      <w:pPr>
        <w:spacing w:after="0" w:line="259" w:lineRule="auto"/>
        <w:ind w:left="644" w:firstLine="0"/>
        <w:jc w:val="left"/>
      </w:pPr>
      <w:r>
        <w:rPr>
          <w:rFonts w:ascii="Times New Roman" w:eastAsia="Times New Roman" w:hAnsi="Times New Roman" w:cs="Times New Roman"/>
          <w:sz w:val="24"/>
        </w:rPr>
        <w:t xml:space="preserve"> </w:t>
      </w:r>
    </w:p>
    <w:p w:rsidR="00DA121A" w:rsidRDefault="00904DD6">
      <w:pPr>
        <w:numPr>
          <w:ilvl w:val="0"/>
          <w:numId w:val="10"/>
        </w:numPr>
        <w:ind w:right="146" w:hanging="360"/>
      </w:pPr>
      <w:r>
        <w:rPr>
          <w:b/>
          <w:i/>
        </w:rPr>
        <w:t xml:space="preserve">Área de Gasto 1: </w:t>
      </w:r>
      <w:r>
        <w:t xml:space="preserve">Incluye los Servicios Públicos Básicos que con carácter obligatorio deben prestar los municipios, con arreglo al artículo 26.1 de la Ley 7/1985, de 2 de abril, Reguladora de las Bases de Régimen Local. </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i/>
        </w:rPr>
        <w:t xml:space="preserve"> </w:t>
      </w:r>
    </w:p>
    <w:p w:rsidR="00DA121A" w:rsidRDefault="00904DD6">
      <w:pPr>
        <w:ind w:left="1004" w:right="146" w:hanging="360"/>
      </w:pPr>
      <w:r>
        <w:t xml:space="preserve"> Importa un gasto total liquidado de 8.458.922,15 </w:t>
      </w:r>
      <w:r>
        <w:t>Euros, frente a los 8.324.654,76 Euros en el año 2021, generando una subida del 1,6 %. Representa el 32 % del total liquidado en el ejercicio 2022, frente al 34 % en el 2021. Así destacamos los siguientes subprogramas previstos en el presupuesto:</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i/>
        </w:rPr>
        <w:t xml:space="preserve"> </w:t>
      </w:r>
    </w:p>
    <w:p w:rsidR="00DA121A" w:rsidRDefault="00904DD6">
      <w:pPr>
        <w:numPr>
          <w:ilvl w:val="0"/>
          <w:numId w:val="10"/>
        </w:numPr>
        <w:ind w:right="146" w:hanging="360"/>
      </w:pPr>
      <w:r>
        <w:rPr>
          <w:i/>
        </w:rPr>
        <w:t>Subpro</w:t>
      </w:r>
      <w:r>
        <w:rPr>
          <w:i/>
        </w:rPr>
        <w:t xml:space="preserve">grama 132.00 de Seguridad y Orden Público. </w:t>
      </w:r>
      <w:r>
        <w:t xml:space="preserve">Los gastos en este subprograma, en el año 2022, subió un 6 % e importaron un total de 2.268.700,39 Euros, correspondiendo al capítulo en bienes corrientes y de servicios, un total de 177.655,76 Euros, a gastos de </w:t>
      </w:r>
      <w:r>
        <w:t>personal, 1.950.168,48 Euros (86 % del total de este subprograma) y sube el gasto de inversiones, un 74 %, por la adquisición de vehículos. Representa el 8,5 % del gasto total, frente al 8,7 % del ejercicio anterior.</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i/>
        </w:rPr>
        <w:t xml:space="preserve"> </w:t>
      </w:r>
    </w:p>
    <w:p w:rsidR="00DA121A" w:rsidRDefault="00904DD6">
      <w:pPr>
        <w:ind w:left="1002" w:right="146"/>
      </w:pPr>
      <w:r>
        <w:t>Subprograma 135.00 de Protección Civ</w:t>
      </w:r>
      <w:r>
        <w:t>il.</w:t>
      </w:r>
      <w:r>
        <w:rPr>
          <w:b/>
        </w:rPr>
        <w:t xml:space="preserve"> </w:t>
      </w:r>
      <w:r>
        <w:t>Los gastos en el ejercicio 2022, fueron de 285.796,23 Euros, destacando los gastos en el capítulo segundo de bienes corrientes y de servicios, que representó el 95 % del gasto total. Sube</w:t>
      </w:r>
      <w:r>
        <w:rPr>
          <w:b/>
          <w:i/>
        </w:rPr>
        <w:t xml:space="preserve"> </w:t>
      </w:r>
      <w:r>
        <w:t>un 8,5 %. Representan un 1 %, respecto del gasto total, igual qu</w:t>
      </w:r>
      <w:r>
        <w:t>e en el ejercicio anterior.</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i/>
        </w:rPr>
        <w:t xml:space="preserve"> </w:t>
      </w:r>
    </w:p>
    <w:p w:rsidR="00DA121A" w:rsidRDefault="00904DD6">
      <w:pPr>
        <w:numPr>
          <w:ilvl w:val="0"/>
          <w:numId w:val="10"/>
        </w:numPr>
        <w:ind w:right="146" w:hanging="360"/>
      </w:pPr>
      <w:r>
        <w:rPr>
          <w:i/>
        </w:rPr>
        <w:t>Subprograma 136.00 de Servicios de Extinción de Incendios.</w:t>
      </w:r>
      <w:r>
        <w:t xml:space="preserve"> El gasto en este concepto, en el año 2022, importó la cantidad de 183.225,47 Euros. Sube un 2,2 % por la mayor aportación al Consorcio de incendios, única aplicación </w:t>
      </w:r>
      <w:r>
        <w:t>presupuestaria en este subprograma. Representan un 0,7 % respecto del gasto total, igual que en el ejercicio 2021.</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i/>
        </w:rPr>
        <w:t xml:space="preserve"> </w:t>
      </w:r>
    </w:p>
    <w:p w:rsidR="00DA121A" w:rsidRDefault="00904DD6">
      <w:pPr>
        <w:numPr>
          <w:ilvl w:val="0"/>
          <w:numId w:val="10"/>
        </w:numPr>
        <w:ind w:right="146" w:hanging="360"/>
      </w:pPr>
      <w:r>
        <w:rPr>
          <w:i/>
        </w:rPr>
        <w:t xml:space="preserve">Subprograma 151.00 de Urbanismo. </w:t>
      </w:r>
      <w:r>
        <w:t>La ejecución, en el año 2022, de este subprograma ha importado la cantidad de 612.077,70 Euros, destacando los gastos de personal que representaron el 69 % del gasto total.</w:t>
      </w:r>
      <w:r>
        <w:rPr>
          <w:i/>
        </w:rPr>
        <w:t xml:space="preserve"> </w:t>
      </w:r>
      <w:r>
        <w:t>Cae un 59,6 %, motivado por la caída del capítulo de inversiones, al pasar de una i</w:t>
      </w:r>
      <w:r>
        <w:t>nversión, en el año 2021 de 902.982,26 Euros a 16.502,85 Euros, en el año 2022. Representa el 2,3 % este subprograma, en el gasto total, frente al 6 % del gasto total, en el año anterior.</w:t>
      </w:r>
      <w:r>
        <w:rPr>
          <w:rFonts w:ascii="Times New Roman" w:eastAsia="Times New Roman" w:hAnsi="Times New Roman" w:cs="Times New Roman"/>
          <w:b/>
          <w:i/>
          <w:sz w:val="24"/>
        </w:rPr>
        <w:t xml:space="preserve"> </w:t>
      </w:r>
    </w:p>
    <w:p w:rsidR="00DA121A" w:rsidRDefault="00904DD6">
      <w:pPr>
        <w:spacing w:after="0" w:line="259" w:lineRule="auto"/>
        <w:ind w:left="1004" w:firstLine="0"/>
        <w:jc w:val="left"/>
      </w:pPr>
      <w:r>
        <w:rPr>
          <w:b/>
        </w:rPr>
        <w:t xml:space="preserve"> </w:t>
      </w:r>
    </w:p>
    <w:p w:rsidR="00DA121A" w:rsidRDefault="00904DD6">
      <w:pPr>
        <w:numPr>
          <w:ilvl w:val="0"/>
          <w:numId w:val="10"/>
        </w:numPr>
        <w:ind w:right="146" w:hanging="360"/>
      </w:pPr>
      <w:r>
        <w:rPr>
          <w:i/>
        </w:rPr>
        <w:t xml:space="preserve">Subprograma 153.20 de Pavimentación de Vías Públicas. </w:t>
      </w:r>
      <w:r>
        <w:t>El gasto se</w:t>
      </w:r>
      <w:r>
        <w:t xml:space="preserve"> ha elevado en el año 2022, a 182.413,87 Euros, de los que el 71 %, son inversiones, que aumenta</w:t>
      </w:r>
      <w:r>
        <w:rPr>
          <w:i/>
        </w:rPr>
        <w:t xml:space="preserve"> </w:t>
      </w:r>
      <w:r>
        <w:t>un 300 %, y de un 6 %, los gastos en el capítulo de gastos corrientes y de servicios. Aumenta un 131 % respecto del año 2021. Representa el 0,7 % este subprogr</w:t>
      </w:r>
      <w:r>
        <w:t>ama, en el gasto total, frente al 0,4 % del gasto total, en el año anterior.</w:t>
      </w:r>
      <w:r>
        <w:rPr>
          <w:rFonts w:ascii="Times New Roman" w:eastAsia="Times New Roman" w:hAnsi="Times New Roman" w:cs="Times New Roman"/>
          <w:b/>
          <w:i/>
          <w:sz w:val="24"/>
        </w:rPr>
        <w:t xml:space="preserve"> </w:t>
      </w:r>
    </w:p>
    <w:p w:rsidR="00DA121A" w:rsidRDefault="00904DD6">
      <w:pPr>
        <w:spacing w:after="0" w:line="259" w:lineRule="auto"/>
        <w:ind w:left="644" w:firstLine="0"/>
        <w:jc w:val="left"/>
      </w:pPr>
      <w:r>
        <w:rPr>
          <w:i/>
        </w:rPr>
        <w:t xml:space="preserve"> </w:t>
      </w:r>
    </w:p>
    <w:p w:rsidR="00DA121A" w:rsidRDefault="00904DD6">
      <w:pPr>
        <w:numPr>
          <w:ilvl w:val="0"/>
          <w:numId w:val="10"/>
        </w:numPr>
        <w:ind w:right="146" w:hanging="360"/>
      </w:pPr>
      <w:r>
        <w:rPr>
          <w:i/>
        </w:rPr>
        <w:t xml:space="preserve">Subprograma 160.00 de Alcantarillado. </w:t>
      </w:r>
      <w:r>
        <w:t>El gasto se ha elevado, a 61.748,95 Euros, que son de transferencia de capital en su totalidad,</w:t>
      </w:r>
      <w:r>
        <w:rPr>
          <w:b/>
          <w:i/>
        </w:rPr>
        <w:t xml:space="preserve"> </w:t>
      </w:r>
      <w:r>
        <w:t>que recoge las obras de saneamiento y se h</w:t>
      </w:r>
      <w:r>
        <w:t>a incrementado un 95 %. Se ha hecho un gasto por transferencia de crédito para la ejecución del Plan de Etapas del polígono Industrial del Valle de Güimar. Representa el 0,2 % del gasto total</w:t>
      </w:r>
      <w:r>
        <w:rPr>
          <w:rFonts w:ascii="Times New Roman" w:eastAsia="Times New Roman" w:hAnsi="Times New Roman" w:cs="Times New Roman"/>
          <w:b/>
          <w:i/>
          <w:sz w:val="24"/>
        </w:rPr>
        <w:t xml:space="preserve"> </w:t>
      </w:r>
    </w:p>
    <w:p w:rsidR="00DA121A" w:rsidRDefault="00904DD6">
      <w:pPr>
        <w:spacing w:after="0" w:line="259" w:lineRule="auto"/>
        <w:ind w:left="1004" w:firstLine="0"/>
        <w:jc w:val="left"/>
      </w:pPr>
      <w:r>
        <w:rPr>
          <w:b/>
        </w:rPr>
        <w:t xml:space="preserve"> </w:t>
      </w:r>
    </w:p>
    <w:p w:rsidR="00DA121A" w:rsidRDefault="00904DD6">
      <w:pPr>
        <w:numPr>
          <w:ilvl w:val="0"/>
          <w:numId w:val="10"/>
        </w:numPr>
        <w:ind w:right="146" w:hanging="360"/>
      </w:pPr>
      <w:r>
        <w:rPr>
          <w:i/>
        </w:rPr>
        <w:t xml:space="preserve">Subprograma 161.00 de Abastecimiento de Agua. </w:t>
      </w:r>
      <w:r>
        <w:t>Se ha ejecutado</w:t>
      </w:r>
      <w:r>
        <w:t xml:space="preserve"> un total de 859.908,61 Euros, relativos al depósito de agua de Igueste. En el ejercicio anterior, no se ejecutó cantidad alguna. Representa el 3,2 % del gasto total.</w:t>
      </w:r>
      <w:r>
        <w:rPr>
          <w:rFonts w:ascii="Times New Roman" w:eastAsia="Times New Roman" w:hAnsi="Times New Roman" w:cs="Times New Roman"/>
          <w:b/>
          <w:i/>
          <w:sz w:val="24"/>
        </w:rPr>
        <w:t xml:space="preserve"> </w:t>
      </w:r>
    </w:p>
    <w:p w:rsidR="00DA121A" w:rsidRDefault="00904DD6">
      <w:pPr>
        <w:spacing w:after="0" w:line="259" w:lineRule="auto"/>
        <w:ind w:left="644" w:firstLine="0"/>
        <w:jc w:val="left"/>
      </w:pPr>
      <w:r>
        <w:rPr>
          <w:i/>
        </w:rPr>
        <w:t xml:space="preserve"> </w:t>
      </w:r>
    </w:p>
    <w:p w:rsidR="00DA121A" w:rsidRDefault="00904DD6">
      <w:pPr>
        <w:numPr>
          <w:ilvl w:val="0"/>
          <w:numId w:val="10"/>
        </w:numPr>
        <w:ind w:right="146" w:hanging="360"/>
      </w:pPr>
      <w:r>
        <w:rPr>
          <w:i/>
        </w:rPr>
        <w:t xml:space="preserve">Subprograma 162.10 de Recogida de Residuos. </w:t>
      </w:r>
      <w:r>
        <w:t>El gasto se ha elevado, en el ejercicio 20</w:t>
      </w:r>
      <w:r>
        <w:t xml:space="preserve">22, a 846.973,80 Euros. Refleja los gastos de la concesión que gestiona Urbaser SA, relativo a la Limpieza Viaria.  Cae un 11,4 % por el pago de once facturas, reflejándose en el Presupuesto de 2023, la correspondiente al del mes de diciembre. Representan </w:t>
      </w:r>
      <w:r>
        <w:t>un 3,2 % respecto del gasto total, siete décimas menos que en el 2021.</w:t>
      </w:r>
      <w:r>
        <w:rPr>
          <w:rFonts w:ascii="Times New Roman" w:eastAsia="Times New Roman" w:hAnsi="Times New Roman" w:cs="Times New Roman"/>
          <w:b/>
          <w:i/>
          <w:sz w:val="24"/>
        </w:rPr>
        <w:t xml:space="preserve"> </w:t>
      </w:r>
    </w:p>
    <w:p w:rsidR="00DA121A" w:rsidRDefault="00904DD6">
      <w:pPr>
        <w:spacing w:after="0" w:line="259" w:lineRule="auto"/>
        <w:ind w:left="1004" w:firstLine="0"/>
        <w:jc w:val="left"/>
      </w:pPr>
      <w:r>
        <w:rPr>
          <w:b/>
        </w:rPr>
        <w:t xml:space="preserve"> </w:t>
      </w:r>
    </w:p>
    <w:p w:rsidR="00DA121A" w:rsidRDefault="00904DD6">
      <w:pPr>
        <w:numPr>
          <w:ilvl w:val="0"/>
          <w:numId w:val="10"/>
        </w:numPr>
        <w:ind w:right="146" w:hanging="360"/>
      </w:pPr>
      <w:r>
        <w:t>Subprograma 162.20 de Gestión de Residuos Sólidos Urbanos. En el año 2022, el gasto se elevó a 590.373,98 Euros. Refleja los gastos de las tasas del Pirss, que se abonan al Cabildo I</w:t>
      </w:r>
      <w:r>
        <w:t>nsular. Cae un 1,6 %. Representan un 2,2 % respecto del gasto total, tres décimas menos que en el 2021.</w:t>
      </w:r>
      <w:r>
        <w:rPr>
          <w:rFonts w:ascii="Times New Roman" w:eastAsia="Times New Roman" w:hAnsi="Times New Roman" w:cs="Times New Roman"/>
          <w:sz w:val="24"/>
        </w:rPr>
        <w:t xml:space="preserve"> </w:t>
      </w:r>
    </w:p>
    <w:p w:rsidR="00DA121A" w:rsidRDefault="00904DD6">
      <w:pPr>
        <w:spacing w:after="0" w:line="259" w:lineRule="auto"/>
        <w:ind w:left="1004" w:firstLine="0"/>
        <w:jc w:val="left"/>
      </w:pPr>
      <w:r>
        <w:rPr>
          <w:b/>
        </w:rPr>
        <w:t xml:space="preserve"> </w:t>
      </w:r>
    </w:p>
    <w:p w:rsidR="00DA121A" w:rsidRDefault="00904DD6">
      <w:pPr>
        <w:numPr>
          <w:ilvl w:val="0"/>
          <w:numId w:val="10"/>
        </w:numPr>
        <w:ind w:right="146" w:hanging="360"/>
      </w:pPr>
      <w:r>
        <w:rPr>
          <w:i/>
        </w:rPr>
        <w:t xml:space="preserve">Subprograma 163.00 de Gestión de Recogida de Residuos. </w:t>
      </w:r>
      <w:r>
        <w:t>Los gastos en este subprograma, se elevó a 1.572.951,32 Euros y se corresponde, como en la rec</w:t>
      </w:r>
      <w:r>
        <w:t xml:space="preserve">ogida de residuos, con once mensualidades. Refleja los gastos de la concesión que gestiona Urbaser SA, relativo a la recogida de residuos sólidos urbanos y recogida selectiva. Cae un 10,4 %. Representan un 5,9 % respecto del gasto total, lo que supone 1,2 </w:t>
      </w:r>
      <w:r>
        <w:t>puntos porcentuales menos que en 2021.</w:t>
      </w:r>
      <w:r>
        <w:rPr>
          <w:rFonts w:ascii="Times New Roman" w:eastAsia="Times New Roman" w:hAnsi="Times New Roman" w:cs="Times New Roman"/>
          <w:b/>
          <w:i/>
          <w:sz w:val="24"/>
        </w:rPr>
        <w:t xml:space="preserve"> </w:t>
      </w:r>
    </w:p>
    <w:p w:rsidR="00DA121A" w:rsidRDefault="00904DD6">
      <w:pPr>
        <w:spacing w:after="0" w:line="259" w:lineRule="auto"/>
        <w:ind w:left="1004" w:firstLine="0"/>
        <w:jc w:val="left"/>
      </w:pPr>
      <w:r>
        <w:rPr>
          <w:b/>
        </w:rPr>
        <w:t xml:space="preserve"> </w:t>
      </w:r>
    </w:p>
    <w:p w:rsidR="00DA121A" w:rsidRDefault="00904DD6">
      <w:pPr>
        <w:numPr>
          <w:ilvl w:val="0"/>
          <w:numId w:val="10"/>
        </w:numPr>
        <w:ind w:right="146" w:hanging="360"/>
      </w:pPr>
      <w:r>
        <w:rPr>
          <w:i/>
        </w:rPr>
        <w:t>Subprograma 164.00 de Cementerios.</w:t>
      </w:r>
      <w:r>
        <w:t xml:space="preserve"> Los gastos en el año 2022, se elevaron a 42.152,14 Euros, de los que el 76 % se corresponden con gastos de personal. Sube en un 16 %. Representan un 0,16 % respecto del gasto tota</w:t>
      </w:r>
      <w:r>
        <w:t>l, frente al 0,1 % en el año anterior.</w:t>
      </w:r>
      <w:r>
        <w:rPr>
          <w:rFonts w:ascii="Times New Roman" w:eastAsia="Times New Roman" w:hAnsi="Times New Roman" w:cs="Times New Roman"/>
          <w:b/>
          <w:i/>
          <w:sz w:val="24"/>
        </w:rPr>
        <w:t xml:space="preserve"> </w:t>
      </w:r>
    </w:p>
    <w:p w:rsidR="00DA121A" w:rsidRDefault="00904DD6">
      <w:pPr>
        <w:spacing w:after="0" w:line="259" w:lineRule="auto"/>
        <w:ind w:left="1004" w:firstLine="0"/>
        <w:jc w:val="left"/>
      </w:pPr>
      <w:r>
        <w:rPr>
          <w:b/>
        </w:rPr>
        <w:t xml:space="preserve"> </w:t>
      </w:r>
    </w:p>
    <w:p w:rsidR="00DA121A" w:rsidRDefault="00904DD6">
      <w:pPr>
        <w:numPr>
          <w:ilvl w:val="0"/>
          <w:numId w:val="10"/>
        </w:numPr>
        <w:ind w:right="146" w:hanging="360"/>
      </w:pPr>
      <w:r>
        <w:rPr>
          <w:i/>
        </w:rPr>
        <w:t>Subprograma 165.00 de Alumbrado Público</w:t>
      </w:r>
      <w:r>
        <w:t>. El gasto fue de 403.097,48 Euros, de los que el 95,5 % son gastos corrientes y de servicios y recoge el suministro de energía eléctrica en las vías públicas y el alumbrado d</w:t>
      </w:r>
      <w:r>
        <w:t>e navidad.</w:t>
      </w:r>
      <w:r>
        <w:rPr>
          <w:rFonts w:ascii="Times New Roman" w:eastAsia="Times New Roman" w:hAnsi="Times New Roman" w:cs="Times New Roman"/>
          <w:b/>
          <w:i/>
          <w:sz w:val="24"/>
        </w:rPr>
        <w:t xml:space="preserve"> </w:t>
      </w:r>
    </w:p>
    <w:p w:rsidR="00DA121A" w:rsidRDefault="00904DD6">
      <w:pPr>
        <w:ind w:left="654" w:right="146"/>
      </w:pPr>
      <w:r>
        <w:t>Crece un 8,1 %. Representan un 1,5 % respecto del gasto total, igual que en el año anterior.</w:t>
      </w:r>
      <w:r>
        <w:rPr>
          <w:rFonts w:ascii="Times New Roman" w:eastAsia="Times New Roman" w:hAnsi="Times New Roman" w:cs="Times New Roman"/>
          <w:b/>
          <w:i/>
          <w:sz w:val="24"/>
        </w:rPr>
        <w:t xml:space="preserve"> </w:t>
      </w:r>
    </w:p>
    <w:p w:rsidR="00DA121A" w:rsidRDefault="00904DD6">
      <w:pPr>
        <w:spacing w:after="0" w:line="259" w:lineRule="auto"/>
        <w:ind w:left="1004" w:firstLine="0"/>
        <w:jc w:val="left"/>
      </w:pPr>
      <w:r>
        <w:rPr>
          <w:b/>
        </w:rPr>
        <w:t xml:space="preserve"> </w:t>
      </w:r>
    </w:p>
    <w:p w:rsidR="00DA121A" w:rsidRDefault="00904DD6">
      <w:pPr>
        <w:numPr>
          <w:ilvl w:val="0"/>
          <w:numId w:val="10"/>
        </w:numPr>
        <w:ind w:right="146" w:hanging="360"/>
      </w:pPr>
      <w:r>
        <w:rPr>
          <w:i/>
        </w:rPr>
        <w:t>Subprograma 170.00 de Gestión Medioambiental</w:t>
      </w:r>
      <w:r>
        <w:t>. El gasto en este subprograma, ascendió a un total de 92.151,87 Euros, de los que un 83 %, se destinaron a inversiones en placas solares para edificios municipales.</w:t>
      </w:r>
      <w:r>
        <w:rPr>
          <w:b/>
          <w:i/>
        </w:rPr>
        <w:t xml:space="preserve">  </w:t>
      </w:r>
      <w:r>
        <w:t>Sube un 137 %. Representa un 0,35 % del gasto total, un punto porcentual menos, que en 20</w:t>
      </w:r>
      <w:r>
        <w:t>21.</w:t>
      </w:r>
      <w:r>
        <w:rPr>
          <w:rFonts w:ascii="Times New Roman" w:eastAsia="Times New Roman" w:hAnsi="Times New Roman" w:cs="Times New Roman"/>
          <w:b/>
          <w:i/>
          <w:sz w:val="24"/>
        </w:rPr>
        <w:t xml:space="preserve"> </w:t>
      </w:r>
    </w:p>
    <w:p w:rsidR="00DA121A" w:rsidRDefault="00904DD6">
      <w:pPr>
        <w:spacing w:after="0" w:line="259" w:lineRule="auto"/>
        <w:ind w:left="1004" w:firstLine="0"/>
        <w:jc w:val="left"/>
      </w:pPr>
      <w:r>
        <w:rPr>
          <w:b/>
          <w:i/>
        </w:rPr>
        <w:t xml:space="preserve"> </w:t>
      </w:r>
    </w:p>
    <w:p w:rsidR="00DA121A" w:rsidRDefault="00904DD6">
      <w:pPr>
        <w:numPr>
          <w:ilvl w:val="0"/>
          <w:numId w:val="10"/>
        </w:numPr>
        <w:ind w:right="146" w:hanging="360"/>
      </w:pPr>
      <w:r>
        <w:rPr>
          <w:i/>
        </w:rPr>
        <w:t>Subprograma 170.01 de Medio Ambiente Natural</w:t>
      </w:r>
      <w:r>
        <w:t>. El gasto fue de 15.531,70 Euros, relativo al capítulo segundo. Sube un 40,6 %. Representa un 0,0 % respecto del gasto total, frente al 0,06 % del año anterior.</w:t>
      </w:r>
      <w:r>
        <w:rPr>
          <w:rFonts w:ascii="Times New Roman" w:eastAsia="Times New Roman" w:hAnsi="Times New Roman" w:cs="Times New Roman"/>
          <w:b/>
          <w:i/>
          <w:sz w:val="24"/>
        </w:rPr>
        <w:t xml:space="preserve"> </w:t>
      </w:r>
    </w:p>
    <w:p w:rsidR="00DA121A" w:rsidRDefault="00904DD6">
      <w:pPr>
        <w:spacing w:after="0" w:line="259" w:lineRule="auto"/>
        <w:ind w:left="644" w:firstLine="0"/>
        <w:jc w:val="left"/>
      </w:pPr>
      <w:r>
        <w:rPr>
          <w:i/>
        </w:rPr>
        <w:t xml:space="preserve"> </w:t>
      </w:r>
    </w:p>
    <w:p w:rsidR="00DA121A" w:rsidRDefault="00904DD6">
      <w:pPr>
        <w:ind w:left="1004" w:right="146" w:hanging="360"/>
      </w:pPr>
      <w:r>
        <w:rPr>
          <w:i/>
        </w:rPr>
        <w:t>Subprograma 171.00 de Parques y Jardines</w:t>
      </w:r>
      <w:r>
        <w:t xml:space="preserve">. Los gastos ascendieron a 435.580,33 Euros, de los que un 59 % fueron gastos de personal y un 30 %, capítulo segundo de bienes corrientes y de servicios. Cae un 19,6 % respecto del 2021. Representan un 1,64 % respecto del gasto total, frente al 1,5 % del </w:t>
      </w:r>
      <w:r>
        <w:t>año anterior.</w:t>
      </w:r>
      <w:r>
        <w:rPr>
          <w:rFonts w:ascii="Times New Roman" w:eastAsia="Times New Roman" w:hAnsi="Times New Roman" w:cs="Times New Roman"/>
          <w:b/>
          <w:i/>
          <w:sz w:val="24"/>
        </w:rPr>
        <w:t xml:space="preserve"> </w:t>
      </w:r>
    </w:p>
    <w:p w:rsidR="00DA121A" w:rsidRDefault="00904DD6">
      <w:pPr>
        <w:spacing w:after="0" w:line="259" w:lineRule="auto"/>
        <w:ind w:left="644" w:firstLine="0"/>
        <w:jc w:val="left"/>
      </w:pPr>
      <w:r>
        <w:rPr>
          <w:i/>
        </w:rPr>
        <w:t xml:space="preserve"> </w:t>
      </w:r>
    </w:p>
    <w:p w:rsidR="00DA121A" w:rsidRDefault="00904DD6">
      <w:pPr>
        <w:spacing w:after="0" w:line="259" w:lineRule="auto"/>
        <w:ind w:left="284" w:firstLine="0"/>
        <w:jc w:val="left"/>
      </w:pPr>
      <w:r>
        <w:rPr>
          <w:i/>
        </w:rPr>
        <w:t xml:space="preserve"> </w:t>
      </w:r>
    </w:p>
    <w:p w:rsidR="00DA121A" w:rsidRDefault="00904DD6">
      <w:pPr>
        <w:ind w:left="288" w:right="146"/>
      </w:pPr>
      <w:r>
        <w:rPr>
          <w:rFonts w:ascii="Times New Roman" w:eastAsia="Times New Roman" w:hAnsi="Times New Roman" w:cs="Times New Roman"/>
          <w:sz w:val="24"/>
        </w:rPr>
        <w:t xml:space="preserve"> </w:t>
      </w:r>
      <w:r>
        <w:t xml:space="preserve">En el presente cuadro, se pone de manifiesto la evolución de esta Área de Servicios Públicos Básicos, que son competencias obligatorias de los municipios: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bl>
      <w:tblPr>
        <w:tblStyle w:val="TableGrid"/>
        <w:tblW w:w="8505" w:type="dxa"/>
        <w:tblInd w:w="1068" w:type="dxa"/>
        <w:tblCellMar>
          <w:top w:w="9" w:type="dxa"/>
          <w:left w:w="0" w:type="dxa"/>
          <w:bottom w:w="0" w:type="dxa"/>
          <w:right w:w="15" w:type="dxa"/>
        </w:tblCellMar>
        <w:tblLook w:val="04A0" w:firstRow="1" w:lastRow="0" w:firstColumn="1" w:lastColumn="0" w:noHBand="0" w:noVBand="1"/>
      </w:tblPr>
      <w:tblGrid>
        <w:gridCol w:w="1134"/>
        <w:gridCol w:w="1955"/>
        <w:gridCol w:w="455"/>
        <w:gridCol w:w="1560"/>
        <w:gridCol w:w="1843"/>
        <w:gridCol w:w="1558"/>
      </w:tblGrid>
      <w:tr w:rsidR="00DA121A">
        <w:trPr>
          <w:trHeight w:val="468"/>
        </w:trPr>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AÑO  </w:t>
            </w:r>
          </w:p>
          <w:p w:rsidR="00DA121A" w:rsidRDefault="00904DD6">
            <w:pPr>
              <w:spacing w:after="0" w:line="259" w:lineRule="auto"/>
              <w:ind w:left="70" w:firstLine="0"/>
              <w:jc w:val="left"/>
            </w:pPr>
            <w:r>
              <w:rPr>
                <w:sz w:val="20"/>
              </w:rPr>
              <w:t xml:space="preserve"> </w:t>
            </w:r>
          </w:p>
        </w:tc>
        <w:tc>
          <w:tcPr>
            <w:tcW w:w="1955" w:type="dxa"/>
            <w:tcBorders>
              <w:top w:val="single" w:sz="4" w:space="0" w:color="000000"/>
              <w:left w:val="single" w:sz="4" w:space="0" w:color="000000"/>
              <w:bottom w:val="single" w:sz="4" w:space="0" w:color="000000"/>
              <w:right w:val="nil"/>
            </w:tcBorders>
          </w:tcPr>
          <w:p w:rsidR="00DA121A" w:rsidRDefault="00904DD6">
            <w:pPr>
              <w:spacing w:after="0" w:line="259" w:lineRule="auto"/>
              <w:ind w:left="70" w:firstLine="0"/>
              <w:jc w:val="left"/>
            </w:pPr>
            <w:r>
              <w:rPr>
                <w:sz w:val="20"/>
              </w:rPr>
              <w:t xml:space="preserve">PREVISIONES </w:t>
            </w:r>
            <w:r>
              <w:rPr>
                <w:sz w:val="20"/>
              </w:rPr>
              <w:tab/>
              <w:t xml:space="preserve"> ÁREA DE GASTO 1 </w:t>
            </w:r>
          </w:p>
        </w:tc>
        <w:tc>
          <w:tcPr>
            <w:tcW w:w="455"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pPr>
            <w:r>
              <w:rPr>
                <w:sz w:val="20"/>
              </w:rPr>
              <w:t xml:space="preserve">DEL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  </w:t>
            </w:r>
          </w:p>
          <w:p w:rsidR="00DA121A" w:rsidRDefault="00904DD6">
            <w:pPr>
              <w:spacing w:after="0" w:line="259" w:lineRule="auto"/>
              <w:ind w:left="70" w:firstLine="0"/>
            </w:pPr>
            <w:r>
              <w:rPr>
                <w:sz w:val="20"/>
              </w:rPr>
              <w:t xml:space="preserve">CRECIMIENTO </w:t>
            </w:r>
          </w:p>
        </w:tc>
        <w:tc>
          <w:tcPr>
            <w:tcW w:w="184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EJECUCIÓN 2022 PROVISIONAL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  </w:t>
            </w:r>
          </w:p>
          <w:p w:rsidR="00DA121A" w:rsidRDefault="00904DD6">
            <w:pPr>
              <w:spacing w:after="0" w:line="259" w:lineRule="auto"/>
              <w:ind w:left="70" w:firstLine="0"/>
            </w:pPr>
            <w:r>
              <w:rPr>
                <w:sz w:val="20"/>
              </w:rPr>
              <w:t xml:space="preserve">CRECIMIENTO </w:t>
            </w:r>
          </w:p>
        </w:tc>
      </w:tr>
      <w:tr w:rsidR="00DA121A">
        <w:trPr>
          <w:trHeight w:val="240"/>
        </w:trPr>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2022 </w:t>
            </w:r>
          </w:p>
        </w:tc>
        <w:tc>
          <w:tcPr>
            <w:tcW w:w="1955" w:type="dxa"/>
            <w:tcBorders>
              <w:top w:val="single" w:sz="4" w:space="0" w:color="000000"/>
              <w:left w:val="single" w:sz="4" w:space="0" w:color="000000"/>
              <w:bottom w:val="single" w:sz="4" w:space="0" w:color="000000"/>
              <w:right w:val="nil"/>
            </w:tcBorders>
          </w:tcPr>
          <w:p w:rsidR="00DA121A" w:rsidRDefault="00904DD6">
            <w:pPr>
              <w:spacing w:after="0" w:line="259" w:lineRule="auto"/>
              <w:ind w:left="70" w:firstLine="0"/>
              <w:jc w:val="left"/>
            </w:pPr>
            <w:r>
              <w:rPr>
                <w:sz w:val="20"/>
              </w:rPr>
              <w:t xml:space="preserve">8.298.153,48 </w:t>
            </w:r>
          </w:p>
        </w:tc>
        <w:tc>
          <w:tcPr>
            <w:tcW w:w="455"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0,5 </w:t>
            </w:r>
          </w:p>
        </w:tc>
        <w:tc>
          <w:tcPr>
            <w:tcW w:w="184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8.458.922,15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1,6 </w:t>
            </w:r>
          </w:p>
        </w:tc>
      </w:tr>
      <w:tr w:rsidR="00DA121A">
        <w:trPr>
          <w:trHeight w:val="240"/>
        </w:trPr>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2021 </w:t>
            </w:r>
          </w:p>
        </w:tc>
        <w:tc>
          <w:tcPr>
            <w:tcW w:w="1955" w:type="dxa"/>
            <w:tcBorders>
              <w:top w:val="single" w:sz="4" w:space="0" w:color="000000"/>
              <w:left w:val="single" w:sz="4" w:space="0" w:color="000000"/>
              <w:bottom w:val="single" w:sz="4" w:space="0" w:color="000000"/>
              <w:right w:val="nil"/>
            </w:tcBorders>
          </w:tcPr>
          <w:p w:rsidR="00DA121A" w:rsidRDefault="00904DD6">
            <w:pPr>
              <w:spacing w:after="0" w:line="259" w:lineRule="auto"/>
              <w:ind w:left="70" w:firstLine="0"/>
              <w:jc w:val="left"/>
            </w:pPr>
            <w:r>
              <w:rPr>
                <w:sz w:val="20"/>
              </w:rPr>
              <w:t xml:space="preserve">8.255.831,94 </w:t>
            </w:r>
          </w:p>
        </w:tc>
        <w:tc>
          <w:tcPr>
            <w:tcW w:w="455"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12 </w:t>
            </w:r>
          </w:p>
        </w:tc>
        <w:tc>
          <w:tcPr>
            <w:tcW w:w="184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8.324.654,76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-19,5 </w:t>
            </w:r>
          </w:p>
        </w:tc>
      </w:tr>
      <w:tr w:rsidR="00DA121A">
        <w:trPr>
          <w:trHeight w:val="240"/>
        </w:trPr>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2020 </w:t>
            </w:r>
          </w:p>
        </w:tc>
        <w:tc>
          <w:tcPr>
            <w:tcW w:w="1955" w:type="dxa"/>
            <w:tcBorders>
              <w:top w:val="single" w:sz="4" w:space="0" w:color="000000"/>
              <w:left w:val="single" w:sz="4" w:space="0" w:color="000000"/>
              <w:bottom w:val="single" w:sz="4" w:space="0" w:color="000000"/>
              <w:right w:val="nil"/>
            </w:tcBorders>
          </w:tcPr>
          <w:p w:rsidR="00DA121A" w:rsidRDefault="00904DD6">
            <w:pPr>
              <w:spacing w:after="0" w:line="259" w:lineRule="auto"/>
              <w:ind w:left="70" w:firstLine="0"/>
              <w:jc w:val="left"/>
            </w:pPr>
            <w:r>
              <w:rPr>
                <w:sz w:val="20"/>
              </w:rPr>
              <w:t xml:space="preserve">7.377.231,52 </w:t>
            </w:r>
          </w:p>
        </w:tc>
        <w:tc>
          <w:tcPr>
            <w:tcW w:w="455"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10.345.059,54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27,5 </w:t>
            </w:r>
          </w:p>
        </w:tc>
      </w:tr>
      <w:tr w:rsidR="00DA121A">
        <w:trPr>
          <w:trHeight w:val="240"/>
        </w:trPr>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2019 </w:t>
            </w:r>
          </w:p>
        </w:tc>
        <w:tc>
          <w:tcPr>
            <w:tcW w:w="1955" w:type="dxa"/>
            <w:tcBorders>
              <w:top w:val="single" w:sz="4" w:space="0" w:color="000000"/>
              <w:left w:val="single" w:sz="4" w:space="0" w:color="000000"/>
              <w:bottom w:val="single" w:sz="4" w:space="0" w:color="000000"/>
              <w:right w:val="nil"/>
            </w:tcBorders>
          </w:tcPr>
          <w:p w:rsidR="00DA121A" w:rsidRDefault="00904DD6">
            <w:pPr>
              <w:spacing w:after="0" w:line="259" w:lineRule="auto"/>
              <w:ind w:left="70" w:firstLine="0"/>
              <w:jc w:val="left"/>
            </w:pPr>
            <w:r>
              <w:rPr>
                <w:sz w:val="20"/>
              </w:rPr>
              <w:t xml:space="preserve">7.376.880,74 </w:t>
            </w:r>
          </w:p>
        </w:tc>
        <w:tc>
          <w:tcPr>
            <w:tcW w:w="455"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-29,7 </w:t>
            </w:r>
          </w:p>
        </w:tc>
        <w:tc>
          <w:tcPr>
            <w:tcW w:w="184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8.111.659,24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4,6 </w:t>
            </w:r>
          </w:p>
        </w:tc>
      </w:tr>
      <w:tr w:rsidR="00DA121A">
        <w:trPr>
          <w:trHeight w:val="242"/>
        </w:trPr>
        <w:tc>
          <w:tcPr>
            <w:tcW w:w="113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2018 </w:t>
            </w:r>
          </w:p>
        </w:tc>
        <w:tc>
          <w:tcPr>
            <w:tcW w:w="1955" w:type="dxa"/>
            <w:tcBorders>
              <w:top w:val="single" w:sz="4" w:space="0" w:color="000000"/>
              <w:left w:val="single" w:sz="4" w:space="0" w:color="000000"/>
              <w:bottom w:val="single" w:sz="4" w:space="0" w:color="000000"/>
              <w:right w:val="nil"/>
            </w:tcBorders>
          </w:tcPr>
          <w:p w:rsidR="00DA121A" w:rsidRDefault="00904DD6">
            <w:pPr>
              <w:spacing w:after="0" w:line="259" w:lineRule="auto"/>
              <w:ind w:left="70" w:firstLine="0"/>
              <w:jc w:val="left"/>
            </w:pPr>
            <w:r>
              <w:rPr>
                <w:sz w:val="20"/>
              </w:rPr>
              <w:t xml:space="preserve">10.488.005,83 </w:t>
            </w:r>
          </w:p>
        </w:tc>
        <w:tc>
          <w:tcPr>
            <w:tcW w:w="455"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36,1 </w:t>
            </w:r>
          </w:p>
        </w:tc>
        <w:tc>
          <w:tcPr>
            <w:tcW w:w="184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7.752.849,94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0" w:firstLine="0"/>
              <w:jc w:val="left"/>
            </w:pPr>
            <w:r>
              <w:rPr>
                <w:sz w:val="20"/>
              </w:rPr>
              <w:t xml:space="preserve">8,6 </w:t>
            </w:r>
          </w:p>
        </w:tc>
      </w:tr>
    </w:tbl>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numPr>
          <w:ilvl w:val="0"/>
          <w:numId w:val="10"/>
        </w:numPr>
        <w:ind w:right="146" w:hanging="360"/>
      </w:pPr>
      <w:r>
        <w:rPr>
          <w:b/>
          <w:i/>
        </w:rPr>
        <w:t>Área de Gasto 2</w:t>
      </w:r>
      <w:r>
        <w:rPr>
          <w:i/>
        </w:rPr>
        <w:t xml:space="preserve">: </w:t>
      </w:r>
      <w:r>
        <w:t>Incluye las Actuaciones de Protección y Promoción Social. El total gasto liquidado en esta área de gasto asciende a 5.587.899,44 Euros frente a los 5.263.442,35 Euros de 2021, es decir, que ha habido un incremento del 6 %, representando el 21 % del gasto t</w:t>
      </w:r>
      <w:r>
        <w:t>otal, frente al 21,5 % del ejercicio 2021. A continuación, destacamos los siguientes subprogramas:</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i/>
        </w:rPr>
        <w:t xml:space="preserve"> </w:t>
      </w:r>
    </w:p>
    <w:p w:rsidR="00DA121A" w:rsidRDefault="00904DD6">
      <w:pPr>
        <w:numPr>
          <w:ilvl w:val="0"/>
          <w:numId w:val="10"/>
        </w:numPr>
        <w:ind w:right="146" w:hanging="360"/>
      </w:pPr>
      <w:r>
        <w:rPr>
          <w:i/>
        </w:rPr>
        <w:t>Subprograma 211.00 de Pensiones.</w:t>
      </w:r>
      <w:r>
        <w:rPr>
          <w:b/>
          <w:i/>
        </w:rPr>
        <w:t xml:space="preserve"> </w:t>
      </w:r>
      <w:r>
        <w:t>El gasto se elevó a 25.410,00 Euros, en el año 2022, relativo a gastos de personal. Recoge pensiones de trabajadores muni</w:t>
      </w:r>
      <w:r>
        <w:t>cipales que ya se han jubilado de forma anticipada. Sube un 4,27 % el gasto liquidado. Representan un 0,096 % respecto del gasto total</w:t>
      </w:r>
      <w:r>
        <w:rPr>
          <w:i/>
        </w:rPr>
        <w:t>.</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i/>
        </w:rPr>
        <w:t xml:space="preserve"> </w:t>
      </w:r>
    </w:p>
    <w:p w:rsidR="00DA121A" w:rsidRDefault="00904DD6">
      <w:pPr>
        <w:ind w:left="1004" w:right="146" w:hanging="360"/>
      </w:pPr>
      <w:r>
        <w:rPr>
          <w:i/>
        </w:rPr>
        <w:t xml:space="preserve">Subprograma 221.00 de Otras Prestaciones a favor de los Empleados. </w:t>
      </w:r>
      <w:r>
        <w:t>Ascendieron los gastos a 105.172,14 Euros en el 20</w:t>
      </w:r>
      <w:r>
        <w:t xml:space="preserve">22.y recoge los gastos de acción social y la aportación municipal al seguro privado. Sube un 289 %, por el menor gasto en acción social. </w:t>
      </w:r>
    </w:p>
    <w:p w:rsidR="00DA121A" w:rsidRDefault="00904DD6">
      <w:pPr>
        <w:spacing w:after="3" w:line="259" w:lineRule="auto"/>
        <w:ind w:left="568" w:right="608"/>
        <w:jc w:val="center"/>
      </w:pPr>
      <w:r>
        <w:t>Representan un 0,4 % respecto del gasto total, tres décimas más que en el 2021.</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i/>
        </w:rPr>
        <w:t xml:space="preserve"> </w:t>
      </w:r>
    </w:p>
    <w:p w:rsidR="00DA121A" w:rsidRDefault="00904DD6">
      <w:pPr>
        <w:ind w:left="1004" w:right="146" w:hanging="360"/>
      </w:pPr>
      <w:r>
        <w:rPr>
          <w:i/>
        </w:rPr>
        <w:t>Subprograma 231.00 de Servicios Soc</w:t>
      </w:r>
      <w:r>
        <w:rPr>
          <w:i/>
        </w:rPr>
        <w:t xml:space="preserve">iales. </w:t>
      </w:r>
      <w:r>
        <w:t>El gasto se elevó, en el año 2022, a 1.927.231,11 Euros, de los que el 44 % fueron al capítulo de personal, un 16,5 % gastos en el capítulo de bienes corrientes y de servicios y un 39 %, en transferencias corrientes. Cae un 2,5 %, respecto del ejerc</w:t>
      </w:r>
      <w:r>
        <w:t>icio 2021.  Representan un 7,26 % frente al 8 % respecto del gasto total del año anterior.</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i/>
        </w:rPr>
        <w:t xml:space="preserve"> </w:t>
      </w:r>
    </w:p>
    <w:p w:rsidR="00DA121A" w:rsidRDefault="00904DD6">
      <w:pPr>
        <w:numPr>
          <w:ilvl w:val="0"/>
          <w:numId w:val="10"/>
        </w:numPr>
        <w:ind w:right="146" w:hanging="360"/>
      </w:pPr>
      <w:r>
        <w:rPr>
          <w:i/>
        </w:rPr>
        <w:t xml:space="preserve">Subprograma 231.01 de Mujer, Menor y Familia. </w:t>
      </w:r>
      <w:r>
        <w:t>El gasto ascendió, en el año 2022, a 81.728,13 Euros, de los que un 77,6 % son gastos en bienes corrientes y de serv</w:t>
      </w:r>
      <w:r>
        <w:t>icios y un 19,5 %, inversiones. Sube en un 93,5 %. Representa un 0,3 % del gasto total, frente al 0,017 % del año 2021.</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i/>
        </w:rPr>
        <w:t xml:space="preserve"> </w:t>
      </w:r>
    </w:p>
    <w:p w:rsidR="00DA121A" w:rsidRDefault="00904DD6">
      <w:pPr>
        <w:numPr>
          <w:ilvl w:val="0"/>
          <w:numId w:val="10"/>
        </w:numPr>
        <w:ind w:right="146" w:hanging="360"/>
      </w:pPr>
      <w:r>
        <w:rPr>
          <w:i/>
        </w:rPr>
        <w:t xml:space="preserve">Subprograma 231.02 de Mayores. </w:t>
      </w:r>
      <w:r>
        <w:t>El gasto ascendió en el año 2022, en 71.210,66 Euros. de los que un 65,6 % es gasto en bienes corrient</w:t>
      </w:r>
      <w:r>
        <w:t>es y de servicios y el resto, en transferencias corrientes. Sube un 31,9 %. Representan el 0,26 % del gasto total, frente al 0,2 % del año 2021.</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rPr>
          <w:i/>
        </w:rPr>
        <w:t xml:space="preserve"> </w:t>
      </w:r>
    </w:p>
    <w:p w:rsidR="00DA121A" w:rsidRDefault="00904DD6">
      <w:pPr>
        <w:numPr>
          <w:ilvl w:val="0"/>
          <w:numId w:val="10"/>
        </w:numPr>
        <w:ind w:right="146" w:hanging="360"/>
      </w:pPr>
      <w:r>
        <w:rPr>
          <w:i/>
        </w:rPr>
        <w:t xml:space="preserve">Subprograma 241.00 de Fomento del Empleo. </w:t>
      </w:r>
      <w:r>
        <w:t>El gasto se elevó a 3.377.147,32 Euros, de los que un 72 % son gas</w:t>
      </w:r>
      <w:r>
        <w:t>tos del capítulo de personal</w:t>
      </w:r>
      <w:r>
        <w:rPr>
          <w:i/>
        </w:rPr>
        <w:t>. S</w:t>
      </w:r>
      <w:r>
        <w:t>ube un 7,6 %. Representan un 12,7 % respecto del gasto total, frente al 12,8 % del ejercicio 2021.</w:t>
      </w:r>
      <w:r>
        <w:rPr>
          <w:rFonts w:ascii="Times New Roman" w:eastAsia="Times New Roman" w:hAnsi="Times New Roman" w:cs="Times New Roman"/>
          <w:b/>
          <w:i/>
          <w:sz w:val="24"/>
        </w:rPr>
        <w:t xml:space="preserve"> </w:t>
      </w:r>
    </w:p>
    <w:p w:rsidR="00DA121A" w:rsidRDefault="00904DD6">
      <w:pPr>
        <w:spacing w:after="0" w:line="259" w:lineRule="auto"/>
        <w:ind w:left="644" w:firstLine="0"/>
        <w:jc w:val="left"/>
      </w:pPr>
      <w:r>
        <w:rPr>
          <w:b/>
          <w:i/>
        </w:rPr>
        <w:t xml:space="preserve"> </w:t>
      </w:r>
    </w:p>
    <w:p w:rsidR="00DA121A" w:rsidRDefault="00904DD6">
      <w:pPr>
        <w:ind w:left="288" w:right="146"/>
      </w:pPr>
      <w:r>
        <w:t xml:space="preserve">  En el presente cuadro, se pone de manifiesto la evolución de esta Área de Protección y Promoción Social: </w:t>
      </w:r>
    </w:p>
    <w:p w:rsidR="00DA121A" w:rsidRDefault="00904DD6">
      <w:pPr>
        <w:spacing w:after="0" w:line="259" w:lineRule="auto"/>
        <w:ind w:left="245" w:firstLine="0"/>
        <w:jc w:val="left"/>
      </w:pPr>
      <w:r>
        <w:t xml:space="preserve"> </w:t>
      </w:r>
    </w:p>
    <w:p w:rsidR="00DA121A" w:rsidRDefault="00904DD6">
      <w:pPr>
        <w:spacing w:after="0" w:line="259" w:lineRule="auto"/>
        <w:ind w:left="245"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bl>
      <w:tblPr>
        <w:tblStyle w:val="TableGrid"/>
        <w:tblW w:w="8224" w:type="dxa"/>
        <w:tblInd w:w="1068" w:type="dxa"/>
        <w:tblCellMar>
          <w:top w:w="9" w:type="dxa"/>
          <w:left w:w="67" w:type="dxa"/>
          <w:bottom w:w="0" w:type="dxa"/>
          <w:right w:w="16" w:type="dxa"/>
        </w:tblCellMar>
        <w:tblLook w:val="04A0" w:firstRow="1" w:lastRow="0" w:firstColumn="1" w:lastColumn="0" w:noHBand="0" w:noVBand="1"/>
      </w:tblPr>
      <w:tblGrid>
        <w:gridCol w:w="850"/>
        <w:gridCol w:w="2693"/>
        <w:gridCol w:w="1560"/>
        <w:gridCol w:w="1560"/>
        <w:gridCol w:w="1561"/>
      </w:tblGrid>
      <w:tr w:rsidR="00DA121A">
        <w:trPr>
          <w:trHeight w:val="470"/>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AÑO  </w:t>
            </w:r>
          </w:p>
          <w:p w:rsidR="00DA121A" w:rsidRDefault="00904DD6">
            <w:pPr>
              <w:spacing w:after="0" w:line="259" w:lineRule="auto"/>
              <w:ind w:left="2"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20"/>
              </w:rPr>
              <w:t xml:space="preserve">PREVISIONES DEL ÁREA DE GASTO 2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p w:rsidR="00DA121A" w:rsidRDefault="00904DD6">
            <w:pPr>
              <w:spacing w:after="0" w:line="259" w:lineRule="auto"/>
              <w:ind w:left="2" w:firstLine="0"/>
            </w:pPr>
            <w:r>
              <w:rPr>
                <w:sz w:val="20"/>
              </w:rPr>
              <w:t xml:space="preserve">CRECIMIENTO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EJECUCIÓN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p w:rsidR="00DA121A" w:rsidRDefault="00904DD6">
            <w:pPr>
              <w:spacing w:after="0" w:line="259" w:lineRule="auto"/>
              <w:ind w:left="0" w:firstLine="0"/>
            </w:pPr>
            <w:r>
              <w:rPr>
                <w:sz w:val="20"/>
              </w:rPr>
              <w:t xml:space="preserve">CRECIMIENTO </w:t>
            </w:r>
          </w:p>
        </w:tc>
      </w:tr>
      <w:tr w:rsidR="00DA121A">
        <w:trPr>
          <w:trHeight w:val="240"/>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2022 </w:t>
            </w:r>
          </w:p>
        </w:tc>
        <w:tc>
          <w:tcPr>
            <w:tcW w:w="269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3.904.320,64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12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5.587.899,44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6 </w:t>
            </w:r>
          </w:p>
        </w:tc>
      </w:tr>
      <w:tr w:rsidR="00DA121A">
        <w:trPr>
          <w:trHeight w:val="240"/>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2021 </w:t>
            </w:r>
          </w:p>
        </w:tc>
        <w:tc>
          <w:tcPr>
            <w:tcW w:w="269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3.486.835,57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6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5.263.442,35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13 </w:t>
            </w:r>
          </w:p>
        </w:tc>
      </w:tr>
      <w:tr w:rsidR="00DA121A">
        <w:trPr>
          <w:trHeight w:val="240"/>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2020 </w:t>
            </w:r>
          </w:p>
        </w:tc>
        <w:tc>
          <w:tcPr>
            <w:tcW w:w="269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3.289.310,24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5,9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4.650.601,86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10,6 </w:t>
            </w:r>
          </w:p>
        </w:tc>
      </w:tr>
      <w:tr w:rsidR="00DA121A">
        <w:trPr>
          <w:trHeight w:val="240"/>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2019 </w:t>
            </w:r>
          </w:p>
        </w:tc>
        <w:tc>
          <w:tcPr>
            <w:tcW w:w="269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3.103.433,15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4.204.414,37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2,4 </w:t>
            </w:r>
          </w:p>
        </w:tc>
      </w:tr>
      <w:tr w:rsidR="00DA121A">
        <w:trPr>
          <w:trHeight w:val="240"/>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2018 </w:t>
            </w:r>
          </w:p>
        </w:tc>
        <w:tc>
          <w:tcPr>
            <w:tcW w:w="269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3.103.433,15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43,64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20"/>
              </w:rPr>
              <w:t xml:space="preserve">4.102.717,80 </w:t>
            </w:r>
          </w:p>
        </w:tc>
        <w:tc>
          <w:tcPr>
            <w:tcW w:w="156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17,7 </w:t>
            </w:r>
          </w:p>
        </w:tc>
      </w:tr>
    </w:tbl>
    <w:p w:rsidR="00DA121A" w:rsidRDefault="00904DD6">
      <w:pPr>
        <w:spacing w:after="0" w:line="259" w:lineRule="auto"/>
        <w:ind w:left="245"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DA121A" w:rsidRDefault="00904DD6">
      <w:pPr>
        <w:spacing w:after="0" w:line="259" w:lineRule="auto"/>
        <w:ind w:left="644" w:firstLine="0"/>
        <w:jc w:val="left"/>
      </w:pPr>
      <w:r>
        <w:t xml:space="preserve"> </w:t>
      </w:r>
    </w:p>
    <w:p w:rsidR="00DA121A" w:rsidRDefault="00904DD6">
      <w:pPr>
        <w:numPr>
          <w:ilvl w:val="0"/>
          <w:numId w:val="10"/>
        </w:numPr>
        <w:ind w:right="146" w:hanging="360"/>
      </w:pPr>
      <w:r>
        <w:rPr>
          <w:b/>
          <w:i/>
        </w:rPr>
        <w:t>Área de Gasto 3</w:t>
      </w:r>
      <w:r>
        <w:rPr>
          <w:i/>
        </w:rPr>
        <w:t xml:space="preserve">: </w:t>
      </w:r>
      <w:r>
        <w:t>Producción de Bienes Públicos de carácter Preferente, que comprende los gastos relacionados con la sanidad, educación, cultura, ocio y tiempo libre, deporte y todos aquellos que mejoren la calidad de vida, El gasto en esta área importa 4.560.039,43 Euros f</w:t>
      </w:r>
      <w:r>
        <w:t>rente al gasto de 3.486.922,38 Euros en el 2021 esto es, hay una subida del 2,5 % y representa el 13 % del gasto total, frente al 14 % del gasto total en el ejercicio anterior. Destacamos:</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t xml:space="preserve"> </w:t>
      </w:r>
    </w:p>
    <w:p w:rsidR="00DA121A" w:rsidRDefault="00904DD6">
      <w:pPr>
        <w:spacing w:after="31" w:line="259" w:lineRule="auto"/>
        <w:ind w:left="284" w:firstLine="0"/>
        <w:jc w:val="left"/>
      </w:pPr>
      <w:r>
        <w:t xml:space="preserve"> </w:t>
      </w:r>
    </w:p>
    <w:p w:rsidR="00DA121A" w:rsidRDefault="00904DD6">
      <w:pPr>
        <w:numPr>
          <w:ilvl w:val="0"/>
          <w:numId w:val="10"/>
        </w:numPr>
        <w:ind w:right="146" w:hanging="360"/>
      </w:pPr>
      <w:r>
        <w:rPr>
          <w:i/>
        </w:rPr>
        <w:t>Subprograma 311.00 de</w:t>
      </w:r>
      <w:r>
        <w:t xml:space="preserve"> </w:t>
      </w:r>
      <w:r>
        <w:rPr>
          <w:i/>
        </w:rPr>
        <w:t>Acciones Públicas relativas a la Salud</w:t>
      </w:r>
      <w:r>
        <w:t xml:space="preserve">. </w:t>
      </w:r>
      <w:r>
        <w:t>El gasto ascendió a 11.009,19 Euros en el ejercicio. Cae un 93 % por el menor gasto en bienes corrientes y de servicios. Representan un 0,04 % respecto del gasto total, frente al 0,65 % del gasto ejecutado en 2021.</w:t>
      </w:r>
      <w:r>
        <w:rPr>
          <w:rFonts w:ascii="Times New Roman" w:eastAsia="Times New Roman" w:hAnsi="Times New Roman" w:cs="Times New Roman"/>
          <w:sz w:val="24"/>
        </w:rPr>
        <w:t xml:space="preserve"> </w:t>
      </w:r>
    </w:p>
    <w:p w:rsidR="00DA121A" w:rsidRDefault="00904DD6">
      <w:pPr>
        <w:spacing w:after="0" w:line="259" w:lineRule="auto"/>
        <w:ind w:left="1004" w:firstLine="0"/>
        <w:jc w:val="left"/>
      </w:pPr>
      <w:r>
        <w:t xml:space="preserve"> </w:t>
      </w:r>
    </w:p>
    <w:p w:rsidR="00DA121A" w:rsidRDefault="00904DD6">
      <w:pPr>
        <w:numPr>
          <w:ilvl w:val="0"/>
          <w:numId w:val="10"/>
        </w:numPr>
        <w:ind w:right="146" w:hanging="360"/>
      </w:pPr>
      <w:r>
        <w:rPr>
          <w:i/>
        </w:rPr>
        <w:t>Subprograma 323.00 de</w:t>
      </w:r>
      <w:r>
        <w:t xml:space="preserve"> </w:t>
      </w:r>
      <w:r>
        <w:rPr>
          <w:i/>
        </w:rPr>
        <w:t>Educación Presco</w:t>
      </w:r>
      <w:r>
        <w:rPr>
          <w:i/>
        </w:rPr>
        <w:t>lar y Primaria</w:t>
      </w:r>
      <w:r>
        <w:t xml:space="preserve">. El gasto se elevó a un importe de 872.975,94 Euros, en el año 2022, relativa a varias actuaciones de mantenimiento en colegios de municipio (un 44 % e inversiones (40 %). Sube un 109 %. Representan un 3,3 % respecto del gasto total, frente </w:t>
      </w:r>
      <w:r>
        <w:t>al 1,7 % del gasto ejecutado en 2021.</w:t>
      </w:r>
      <w:r>
        <w:rPr>
          <w:rFonts w:ascii="Times New Roman" w:eastAsia="Times New Roman" w:hAnsi="Times New Roman" w:cs="Times New Roman"/>
          <w:sz w:val="24"/>
        </w:rPr>
        <w:t xml:space="preserve"> </w:t>
      </w:r>
    </w:p>
    <w:p w:rsidR="00DA121A" w:rsidRDefault="00904DD6">
      <w:pPr>
        <w:spacing w:after="31" w:line="259" w:lineRule="auto"/>
        <w:ind w:left="284" w:firstLine="0"/>
        <w:jc w:val="left"/>
      </w:pPr>
      <w:r>
        <w:t xml:space="preserve"> </w:t>
      </w:r>
    </w:p>
    <w:p w:rsidR="00DA121A" w:rsidRDefault="00904DD6">
      <w:pPr>
        <w:numPr>
          <w:ilvl w:val="0"/>
          <w:numId w:val="10"/>
        </w:numPr>
        <w:ind w:right="146" w:hanging="360"/>
      </w:pPr>
      <w:r>
        <w:rPr>
          <w:i/>
        </w:rPr>
        <w:t>Subprograma 326.00 de</w:t>
      </w:r>
      <w:r>
        <w:t xml:space="preserve"> </w:t>
      </w:r>
      <w:r>
        <w:rPr>
          <w:i/>
        </w:rPr>
        <w:t>Servicios Complementarios de Educación</w:t>
      </w:r>
      <w:r>
        <w:t xml:space="preserve">. El Gasto se elevó a 62.840,00 Euros en el año 2022. Recoge únicamente los gastos de subvenciones para centros educativos, proyectos universitarios, etc, </w:t>
      </w:r>
      <w:r>
        <w:t>que cae un 4,8 %, respecto el año anterior, por el mayor gasto en adquisición de material de estudio. Representan un 0,24 % respecto del gasto total, frente al 0,2 % liquidado en el 2021.</w:t>
      </w:r>
      <w:r>
        <w:rPr>
          <w:rFonts w:ascii="Times New Roman" w:eastAsia="Times New Roman" w:hAnsi="Times New Roman" w:cs="Times New Roman"/>
          <w:sz w:val="24"/>
        </w:rPr>
        <w:t xml:space="preserve"> </w:t>
      </w:r>
    </w:p>
    <w:p w:rsidR="00DA121A" w:rsidRDefault="00904DD6">
      <w:pPr>
        <w:spacing w:after="31" w:line="259" w:lineRule="auto"/>
        <w:ind w:left="284" w:firstLine="0"/>
        <w:jc w:val="left"/>
      </w:pPr>
      <w:r>
        <w:t xml:space="preserve"> </w:t>
      </w:r>
    </w:p>
    <w:p w:rsidR="00DA121A" w:rsidRDefault="00904DD6">
      <w:pPr>
        <w:numPr>
          <w:ilvl w:val="0"/>
          <w:numId w:val="10"/>
        </w:numPr>
        <w:ind w:right="146" w:hanging="360"/>
      </w:pPr>
      <w:r>
        <w:rPr>
          <w:i/>
        </w:rPr>
        <w:t>Subprograma 334.00 de</w:t>
      </w:r>
      <w:r>
        <w:t xml:space="preserve"> </w:t>
      </w:r>
      <w:r>
        <w:rPr>
          <w:i/>
        </w:rPr>
        <w:t>Promoción Cultural</w:t>
      </w:r>
      <w:r>
        <w:t>. Los gastos importaron 1.933.523,94 Euros, en la que el gasto de personal y en bienes corrientes y de servicios, representaron cada uno, el 40 % del gasto total. Sube un 10,2 %. Representan un 7 % respecto del gasto total, frente al 6 %, del gasto liquida</w:t>
      </w:r>
      <w:r>
        <w:t>do en el 2021.</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1002" w:right="146"/>
      </w:pPr>
      <w:r>
        <w:rPr>
          <w:i/>
        </w:rPr>
        <w:t>Subprograma 338.00 de</w:t>
      </w:r>
      <w:r>
        <w:t xml:space="preserve"> </w:t>
      </w:r>
      <w:r>
        <w:rPr>
          <w:i/>
        </w:rPr>
        <w:t xml:space="preserve">Fiestas Populares y Festejos. </w:t>
      </w:r>
      <w:r>
        <w:t>El gasto se elevó en el año 2022, a 417.422,15 Euros.  Sube un 172 %, respecto del año anterior. Representan un 1,6 % respecto del gasto total, frente al 0,6 % del ejercicio 2021.</w:t>
      </w:r>
      <w:r>
        <w:rPr>
          <w:rFonts w:ascii="Times New Roman" w:eastAsia="Times New Roman" w:hAnsi="Times New Roman" w:cs="Times New Roman"/>
          <w:sz w:val="24"/>
        </w:rPr>
        <w:t xml:space="preserve"> </w:t>
      </w:r>
    </w:p>
    <w:p w:rsidR="00DA121A" w:rsidRDefault="00904DD6">
      <w:pPr>
        <w:spacing w:after="29" w:line="259" w:lineRule="auto"/>
        <w:ind w:left="284" w:firstLine="0"/>
        <w:jc w:val="left"/>
      </w:pPr>
      <w:r>
        <w:t xml:space="preserve"> </w:t>
      </w:r>
    </w:p>
    <w:p w:rsidR="00DA121A" w:rsidRDefault="00904DD6">
      <w:pPr>
        <w:numPr>
          <w:ilvl w:val="0"/>
          <w:numId w:val="10"/>
        </w:numPr>
        <w:ind w:right="146" w:hanging="360"/>
      </w:pPr>
      <w:r>
        <w:rPr>
          <w:i/>
        </w:rPr>
        <w:t>Subprograma 341.00 de</w:t>
      </w:r>
      <w:r>
        <w:t xml:space="preserve"> </w:t>
      </w:r>
      <w:r>
        <w:rPr>
          <w:i/>
        </w:rPr>
        <w:t>Promoción y Fomento del Deporte</w:t>
      </w:r>
      <w:r>
        <w:t>. El gasto ascendió, en el año 2022, a 1.262.268,21 Euros, de los que un 42 % fueron gastos de inversión, realizadas por expedientes de créditos extraordinarios aprobados por el pleno municipal, para ins</w:t>
      </w:r>
      <w:r>
        <w:t>talaciones deportivas. El 37 % del gasto, fueron transferencias corrientes. Sube un 29 %. Representan un 4,75 % respecto del gasto total, frente al 3,3 % liquidado en el ejercicio 2021.</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En el presente cuadro, se pone de manifiesto la evolución de esta </w:t>
      </w:r>
      <w:r>
        <w:t xml:space="preserve">Área de producción de bienes públicos de carácter preferente: </w:t>
      </w:r>
    </w:p>
    <w:p w:rsidR="00DA121A" w:rsidRDefault="00904DD6">
      <w:pPr>
        <w:spacing w:after="0" w:line="259" w:lineRule="auto"/>
        <w:ind w:left="284" w:firstLine="0"/>
        <w:jc w:val="left"/>
      </w:pPr>
      <w:r>
        <w:t xml:space="preserve"> </w:t>
      </w:r>
    </w:p>
    <w:p w:rsidR="00DA121A" w:rsidRDefault="00904DD6">
      <w:pPr>
        <w:spacing w:after="0" w:line="259" w:lineRule="auto"/>
        <w:ind w:left="64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bl>
      <w:tblPr>
        <w:tblStyle w:val="TableGrid"/>
        <w:tblW w:w="8222" w:type="dxa"/>
        <w:tblInd w:w="1210" w:type="dxa"/>
        <w:tblCellMar>
          <w:top w:w="10" w:type="dxa"/>
          <w:left w:w="70" w:type="dxa"/>
          <w:bottom w:w="0" w:type="dxa"/>
          <w:right w:w="15" w:type="dxa"/>
        </w:tblCellMar>
        <w:tblLook w:val="04A0" w:firstRow="1" w:lastRow="0" w:firstColumn="1" w:lastColumn="0" w:noHBand="0" w:noVBand="1"/>
      </w:tblPr>
      <w:tblGrid>
        <w:gridCol w:w="1277"/>
        <w:gridCol w:w="1983"/>
        <w:gridCol w:w="1844"/>
        <w:gridCol w:w="1560"/>
        <w:gridCol w:w="1558"/>
      </w:tblGrid>
      <w:tr w:rsidR="00DA121A">
        <w:trPr>
          <w:trHeight w:val="469"/>
        </w:trPr>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AÑO  </w:t>
            </w:r>
          </w:p>
          <w:p w:rsidR="00DA121A" w:rsidRDefault="00904DD6">
            <w:pPr>
              <w:spacing w:after="0" w:line="259" w:lineRule="auto"/>
              <w:ind w:left="0" w:firstLine="0"/>
              <w:jc w:val="left"/>
            </w:pPr>
            <w:r>
              <w:rPr>
                <w:sz w:val="20"/>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PREVISIONES DEL ÁREA DE GASTO 3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  CRECIMIENTO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EJECUCIÓN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p w:rsidR="00DA121A" w:rsidRDefault="00904DD6">
            <w:pPr>
              <w:spacing w:after="0" w:line="259" w:lineRule="auto"/>
              <w:ind w:left="0" w:firstLine="0"/>
            </w:pPr>
            <w:r>
              <w:rPr>
                <w:sz w:val="20"/>
              </w:rPr>
              <w:t xml:space="preserve">CRECIMIENTO </w:t>
            </w:r>
          </w:p>
        </w:tc>
      </w:tr>
      <w:tr w:rsidR="00DA121A">
        <w:trPr>
          <w:trHeight w:val="240"/>
        </w:trPr>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2022 </w:t>
            </w:r>
          </w:p>
        </w:tc>
        <w:tc>
          <w:tcPr>
            <w:tcW w:w="19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3.574.843,31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13,5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4.560.039,43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30,7 </w:t>
            </w:r>
          </w:p>
        </w:tc>
      </w:tr>
      <w:tr w:rsidR="00DA121A">
        <w:trPr>
          <w:trHeight w:val="240"/>
        </w:trPr>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2021 </w:t>
            </w:r>
          </w:p>
        </w:tc>
        <w:tc>
          <w:tcPr>
            <w:tcW w:w="19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3.147.462,79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3.487.406,92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13 </w:t>
            </w:r>
          </w:p>
        </w:tc>
      </w:tr>
      <w:tr w:rsidR="00DA121A">
        <w:trPr>
          <w:trHeight w:val="240"/>
        </w:trPr>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2020 </w:t>
            </w:r>
          </w:p>
        </w:tc>
        <w:tc>
          <w:tcPr>
            <w:tcW w:w="19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3.203.482,37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18,4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3.080.994,23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27 </w:t>
            </w:r>
          </w:p>
        </w:tc>
      </w:tr>
      <w:tr w:rsidR="00DA121A">
        <w:trPr>
          <w:trHeight w:val="240"/>
        </w:trPr>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2019 </w:t>
            </w:r>
          </w:p>
        </w:tc>
        <w:tc>
          <w:tcPr>
            <w:tcW w:w="19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2.703.796,57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2.427.262,52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-14,2 </w:t>
            </w:r>
          </w:p>
        </w:tc>
      </w:tr>
      <w:tr w:rsidR="00DA121A">
        <w:trPr>
          <w:trHeight w:val="242"/>
        </w:trPr>
        <w:tc>
          <w:tcPr>
            <w:tcW w:w="127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2018 </w:t>
            </w:r>
          </w:p>
        </w:tc>
        <w:tc>
          <w:tcPr>
            <w:tcW w:w="19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2.703.796,57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15,70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2.827.981,30 </w:t>
            </w:r>
          </w:p>
        </w:tc>
        <w:tc>
          <w:tcPr>
            <w:tcW w:w="15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13,4 </w:t>
            </w:r>
          </w:p>
        </w:tc>
      </w:tr>
    </w:tbl>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numPr>
          <w:ilvl w:val="0"/>
          <w:numId w:val="10"/>
        </w:numPr>
        <w:ind w:right="146" w:hanging="360"/>
      </w:pPr>
      <w:r>
        <w:rPr>
          <w:b/>
          <w:i/>
        </w:rPr>
        <w:t>Área de Gasto 4</w:t>
      </w:r>
      <w:r>
        <w:t>: Actuaciones de Carácter Económico, que integra los gastos de actividades, servicios y transferencias que tienden a desarrollar el potencial de los distintos sectores de la actividad económica. Refleja gastos por importe de 3.842.303,26 Euros frente a los</w:t>
      </w:r>
      <w:r>
        <w:t xml:space="preserve"> 3.208.854,57 Euros del año anterior, aumentando un 19,7 %. Representa el 14,5 %, frente al 13,1 % del gasto total de 2021. Destacamos los siguientes subprogramas presupuestados:</w:t>
      </w:r>
      <w:r>
        <w:rPr>
          <w:rFonts w:ascii="Times New Roman" w:eastAsia="Times New Roman" w:hAnsi="Times New Roman" w:cs="Times New Roman"/>
          <w:sz w:val="24"/>
        </w:rPr>
        <w:t xml:space="preserve"> </w:t>
      </w:r>
    </w:p>
    <w:p w:rsidR="00DA121A" w:rsidRDefault="00904DD6">
      <w:pPr>
        <w:spacing w:after="31" w:line="259" w:lineRule="auto"/>
        <w:ind w:left="644" w:firstLine="0"/>
        <w:jc w:val="left"/>
      </w:pPr>
      <w:r>
        <w:t xml:space="preserve"> </w:t>
      </w:r>
    </w:p>
    <w:p w:rsidR="00DA121A" w:rsidRDefault="00904DD6">
      <w:pPr>
        <w:numPr>
          <w:ilvl w:val="0"/>
          <w:numId w:val="10"/>
        </w:numPr>
        <w:ind w:right="146" w:hanging="360"/>
      </w:pPr>
      <w:r>
        <w:rPr>
          <w:i/>
        </w:rPr>
        <w:t>Subprograma 414.00 de</w:t>
      </w:r>
      <w:r>
        <w:t xml:space="preserve"> </w:t>
      </w:r>
      <w:r>
        <w:rPr>
          <w:i/>
        </w:rPr>
        <w:t>Desarrollo Rural</w:t>
      </w:r>
      <w:r>
        <w:t xml:space="preserve">. El gasto ascendió en el año 2022, </w:t>
      </w:r>
      <w:r>
        <w:t>a 156.328,25 Euros, de los un 55 %, fueron gastos de personal y un 36,5 %, gastos en bienes corrientes y de servicios. Sube un 27 %. Representan un total del 0,6 por ciento respecto del gasto general, tres décimas más que en el año precedente.</w:t>
      </w:r>
      <w:r>
        <w:rPr>
          <w:rFonts w:ascii="Times New Roman" w:eastAsia="Times New Roman" w:hAnsi="Times New Roman" w:cs="Times New Roman"/>
          <w:sz w:val="24"/>
        </w:rPr>
        <w:t xml:space="preserve"> </w:t>
      </w:r>
    </w:p>
    <w:p w:rsidR="00DA121A" w:rsidRDefault="00904DD6">
      <w:pPr>
        <w:spacing w:after="29" w:line="259" w:lineRule="auto"/>
        <w:ind w:left="1004" w:firstLine="0"/>
        <w:jc w:val="left"/>
      </w:pPr>
      <w:r>
        <w:t xml:space="preserve"> </w:t>
      </w:r>
    </w:p>
    <w:p w:rsidR="00DA121A" w:rsidRDefault="00904DD6">
      <w:pPr>
        <w:numPr>
          <w:ilvl w:val="0"/>
          <w:numId w:val="10"/>
        </w:numPr>
        <w:ind w:right="146" w:hanging="360"/>
      </w:pPr>
      <w:r>
        <w:rPr>
          <w:i/>
        </w:rPr>
        <w:t>Subprogra</w:t>
      </w:r>
      <w:r>
        <w:rPr>
          <w:i/>
        </w:rPr>
        <w:t>ma 415.00 de</w:t>
      </w:r>
      <w:r>
        <w:t xml:space="preserve"> </w:t>
      </w:r>
      <w:r>
        <w:rPr>
          <w:i/>
        </w:rPr>
        <w:t>Protección y Desarrollo de los Recursos Pesqueros</w:t>
      </w:r>
      <w:r>
        <w:t xml:space="preserve">.           El gasto en este subprograma importó la cantidad de 83.477,22 Euros, de los que un 81,5 %, fueron gastos de inversión. Creció un 1.313 %. Representan un porcentaje del 0,3 %, frente </w:t>
      </w:r>
      <w:r>
        <w:t>al 0,019 % de 2021.</w:t>
      </w:r>
      <w:r>
        <w:rPr>
          <w:rFonts w:ascii="Times New Roman" w:eastAsia="Times New Roman" w:hAnsi="Times New Roman" w:cs="Times New Roman"/>
          <w:sz w:val="24"/>
        </w:rPr>
        <w:t xml:space="preserve"> </w:t>
      </w:r>
    </w:p>
    <w:p w:rsidR="00DA121A" w:rsidRDefault="00904DD6">
      <w:pPr>
        <w:spacing w:after="31" w:line="259" w:lineRule="auto"/>
        <w:ind w:left="284" w:firstLine="0"/>
        <w:jc w:val="left"/>
      </w:pPr>
      <w:r>
        <w:t xml:space="preserve"> </w:t>
      </w:r>
    </w:p>
    <w:p w:rsidR="00DA121A" w:rsidRDefault="00904DD6">
      <w:pPr>
        <w:numPr>
          <w:ilvl w:val="0"/>
          <w:numId w:val="10"/>
        </w:numPr>
        <w:ind w:right="146" w:hanging="360"/>
      </w:pPr>
      <w:r>
        <w:rPr>
          <w:i/>
        </w:rPr>
        <w:t>Subprograma 431.00 de</w:t>
      </w:r>
      <w:r>
        <w:t xml:space="preserve"> </w:t>
      </w:r>
      <w:r>
        <w:rPr>
          <w:i/>
        </w:rPr>
        <w:t>Comercio</w:t>
      </w:r>
      <w:r>
        <w:t>. El gasto en el año 2022, se ha elevado a 196.358,75 Euros, de los que un 82 %, fueron gastos en bienes corrientes y servicios. Sube un 48 %. Representan un 0,7 por ciento respecto del gasto total, dos décimas más que en el año anterior.</w:t>
      </w:r>
      <w:r>
        <w:rPr>
          <w:rFonts w:ascii="Times New Roman" w:eastAsia="Times New Roman" w:hAnsi="Times New Roman" w:cs="Times New Roman"/>
          <w:sz w:val="24"/>
        </w:rPr>
        <w:t xml:space="preserve"> </w:t>
      </w:r>
    </w:p>
    <w:p w:rsidR="00DA121A" w:rsidRDefault="00904DD6">
      <w:pPr>
        <w:spacing w:after="29" w:line="259" w:lineRule="auto"/>
        <w:ind w:left="284" w:firstLine="0"/>
        <w:jc w:val="left"/>
      </w:pPr>
      <w:r>
        <w:t xml:space="preserve"> </w:t>
      </w:r>
    </w:p>
    <w:p w:rsidR="00DA121A" w:rsidRDefault="00904DD6">
      <w:pPr>
        <w:numPr>
          <w:ilvl w:val="0"/>
          <w:numId w:val="10"/>
        </w:numPr>
        <w:ind w:right="146" w:hanging="360"/>
      </w:pPr>
      <w:r>
        <w:rPr>
          <w:i/>
        </w:rPr>
        <w:t>Subprograma 43</w:t>
      </w:r>
      <w:r>
        <w:rPr>
          <w:i/>
        </w:rPr>
        <w:t>2.00 de</w:t>
      </w:r>
      <w:r>
        <w:t xml:space="preserve"> </w:t>
      </w:r>
      <w:r>
        <w:rPr>
          <w:i/>
        </w:rPr>
        <w:t>Ordenación y Promoción Turística</w:t>
      </w:r>
      <w:r>
        <w:t>. El gasto se elevó en 2022, a 60.203,04 Euros, correspondientes a gastos corrientes y de servicios en su totalidad. Cae un 53,5 % %. Representa el 0, % del gasto total, tres décimas menos que en el ejercicio 2021.</w:t>
      </w:r>
      <w:r>
        <w:rPr>
          <w:rFonts w:ascii="Times New Roman" w:eastAsia="Times New Roman" w:hAnsi="Times New Roman" w:cs="Times New Roman"/>
          <w:sz w:val="24"/>
        </w:rPr>
        <w:t xml:space="preserve"> </w:t>
      </w:r>
    </w:p>
    <w:p w:rsidR="00DA121A" w:rsidRDefault="00904DD6">
      <w:pPr>
        <w:spacing w:after="29" w:line="259" w:lineRule="auto"/>
        <w:ind w:left="1004" w:firstLine="0"/>
        <w:jc w:val="left"/>
      </w:pPr>
      <w:r>
        <w:t xml:space="preserve"> </w:t>
      </w:r>
    </w:p>
    <w:p w:rsidR="00DA121A" w:rsidRDefault="00904DD6">
      <w:pPr>
        <w:numPr>
          <w:ilvl w:val="0"/>
          <w:numId w:val="10"/>
        </w:numPr>
        <w:ind w:right="146" w:hanging="360"/>
      </w:pPr>
      <w:r>
        <w:rPr>
          <w:i/>
        </w:rPr>
        <w:t>Subprograma 441.10 de</w:t>
      </w:r>
      <w:r>
        <w:t xml:space="preserve"> Transporte Público Colectivo Urbano de Viajeros. El gasto ascendió, en el año 2022, a 251.239,41 Euros, que se correspondió con el citado servicio del Transporte Urbano de personas por carretera. Crece un 43,5 %, por la ampliación d</w:t>
      </w:r>
      <w:r>
        <w:t>el servicio. Representan un 0,9 % respecto del gasto total, dos décimas más que en el año anterior.</w:t>
      </w:r>
      <w:r>
        <w:rPr>
          <w:rFonts w:ascii="Times New Roman" w:eastAsia="Times New Roman" w:hAnsi="Times New Roman" w:cs="Times New Roman"/>
          <w:sz w:val="24"/>
        </w:rPr>
        <w:t xml:space="preserve"> </w:t>
      </w:r>
    </w:p>
    <w:p w:rsidR="00DA121A" w:rsidRDefault="00904DD6">
      <w:pPr>
        <w:spacing w:after="29" w:line="259" w:lineRule="auto"/>
        <w:ind w:left="284" w:firstLine="0"/>
        <w:jc w:val="left"/>
      </w:pPr>
      <w:r>
        <w:t xml:space="preserve"> </w:t>
      </w:r>
    </w:p>
    <w:p w:rsidR="00DA121A" w:rsidRDefault="00904DD6">
      <w:pPr>
        <w:numPr>
          <w:ilvl w:val="0"/>
          <w:numId w:val="10"/>
        </w:numPr>
        <w:ind w:right="146" w:hanging="360"/>
      </w:pPr>
      <w:r>
        <w:t xml:space="preserve">Subprograma 459.00 de </w:t>
      </w:r>
      <w:r>
        <w:rPr>
          <w:i/>
        </w:rPr>
        <w:t>Otras Infraestructuras</w:t>
      </w:r>
      <w:r>
        <w:t xml:space="preserve">. El gasto total de este subprograma, en el año 2022, fue de 2.064.720,17 Euros, de los que el 40,5 % fueron </w:t>
      </w:r>
      <w:r>
        <w:t>gastos de personal, el 40 % gastos en bienes corrientes y de servicios y, el resto, inversiones. Crece un 20,5 %. Representan un 7,8 % respecto del gasto total, frente al 7 %, respecto del ejercicio precedente.</w:t>
      </w:r>
      <w:r>
        <w:rPr>
          <w:rFonts w:ascii="Times New Roman" w:eastAsia="Times New Roman" w:hAnsi="Times New Roman" w:cs="Times New Roman"/>
          <w:sz w:val="24"/>
        </w:rPr>
        <w:t xml:space="preserve"> </w:t>
      </w:r>
    </w:p>
    <w:p w:rsidR="00DA121A" w:rsidRDefault="00904DD6">
      <w:pPr>
        <w:spacing w:after="29" w:line="259" w:lineRule="auto"/>
        <w:ind w:left="284" w:firstLine="0"/>
        <w:jc w:val="left"/>
      </w:pPr>
      <w:r>
        <w:t xml:space="preserve"> </w:t>
      </w:r>
    </w:p>
    <w:p w:rsidR="00DA121A" w:rsidRDefault="00904DD6">
      <w:pPr>
        <w:numPr>
          <w:ilvl w:val="0"/>
          <w:numId w:val="10"/>
        </w:numPr>
        <w:ind w:right="146" w:hanging="360"/>
      </w:pPr>
      <w:r>
        <w:t xml:space="preserve">Subprograma 491.00 de </w:t>
      </w:r>
      <w:r>
        <w:rPr>
          <w:i/>
        </w:rPr>
        <w:t>Sociedad de la Infor</w:t>
      </w:r>
      <w:r>
        <w:rPr>
          <w:i/>
        </w:rPr>
        <w:t>mación: Radio y Revista municipal</w:t>
      </w:r>
      <w:r>
        <w:t>. Se gastó el 100 % de las previsiones del 2022, un total de 92.649,82 Euros. El gasto viene dado por las transferencias a Epelcan, en virtud de la asunción de la gestión de la radio municipal. Sube un 0,8 %. Representan un</w:t>
      </w:r>
      <w:r>
        <w:t xml:space="preserve"> 0,35 % del gasto total, frente al 0,37 % en el año anterior.</w:t>
      </w:r>
      <w:r>
        <w:rPr>
          <w:rFonts w:ascii="Times New Roman" w:eastAsia="Times New Roman" w:hAnsi="Times New Roman" w:cs="Times New Roman"/>
          <w:sz w:val="24"/>
        </w:rPr>
        <w:t xml:space="preserve"> </w:t>
      </w:r>
    </w:p>
    <w:p w:rsidR="00DA121A" w:rsidRDefault="00904DD6">
      <w:pPr>
        <w:spacing w:after="31" w:line="259" w:lineRule="auto"/>
        <w:ind w:left="284" w:firstLine="0"/>
        <w:jc w:val="left"/>
      </w:pPr>
      <w:r>
        <w:t xml:space="preserve"> </w:t>
      </w:r>
    </w:p>
    <w:p w:rsidR="00DA121A" w:rsidRDefault="00904DD6">
      <w:pPr>
        <w:numPr>
          <w:ilvl w:val="0"/>
          <w:numId w:val="10"/>
        </w:numPr>
        <w:ind w:right="146" w:hanging="360"/>
      </w:pPr>
      <w:r>
        <w:t xml:space="preserve">Subprograma 492.00 de </w:t>
      </w:r>
      <w:r>
        <w:rPr>
          <w:i/>
        </w:rPr>
        <w:t>Nuevas Tecnologías</w:t>
      </w:r>
      <w:r>
        <w:t xml:space="preserve">. Los gastos ascendieron, en 2022, a 937.326,60 Euros, de los que un 48 %, fueron en el capítulo de gastos en bienes corrientes y de servicios y en el </w:t>
      </w:r>
      <w:r>
        <w:t>capítulo de personal, un 42 % fueron en el capítulo de personal. Sube su ejecución en un 11,8 %, respecto del año anterior. Representan un 3,5 % respecto del gasto total, frente al 3,4 % en el año anterior.</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En el presente cuadro, se pone de manifiesto</w:t>
      </w:r>
      <w:r>
        <w:t xml:space="preserve"> la evolución de esta Área de Actuaciones de carácter económico: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bl>
      <w:tblPr>
        <w:tblStyle w:val="TableGrid"/>
        <w:tblW w:w="8366" w:type="dxa"/>
        <w:tblInd w:w="927" w:type="dxa"/>
        <w:tblCellMar>
          <w:top w:w="9" w:type="dxa"/>
          <w:left w:w="70" w:type="dxa"/>
          <w:bottom w:w="0" w:type="dxa"/>
          <w:right w:w="16" w:type="dxa"/>
        </w:tblCellMar>
        <w:tblLook w:val="04A0" w:firstRow="1" w:lastRow="0" w:firstColumn="1" w:lastColumn="0" w:noHBand="0" w:noVBand="1"/>
      </w:tblPr>
      <w:tblGrid>
        <w:gridCol w:w="850"/>
        <w:gridCol w:w="2269"/>
        <w:gridCol w:w="1985"/>
        <w:gridCol w:w="1418"/>
        <w:gridCol w:w="1844"/>
      </w:tblGrid>
      <w:tr w:rsidR="00DA121A">
        <w:trPr>
          <w:trHeight w:val="468"/>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AÑO  </w:t>
            </w:r>
          </w:p>
          <w:p w:rsidR="00DA121A" w:rsidRDefault="00904DD6">
            <w:pPr>
              <w:spacing w:after="0" w:line="259" w:lineRule="auto"/>
              <w:ind w:left="0" w:firstLine="0"/>
              <w:jc w:val="left"/>
            </w:pPr>
            <w:r>
              <w:rPr>
                <w:sz w:val="20"/>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2183"/>
              </w:tabs>
              <w:spacing w:after="0" w:line="259" w:lineRule="auto"/>
              <w:ind w:left="0" w:firstLine="0"/>
              <w:jc w:val="left"/>
            </w:pPr>
            <w:r>
              <w:rPr>
                <w:sz w:val="20"/>
              </w:rPr>
              <w:t xml:space="preserve">PREVISIONES </w:t>
            </w:r>
            <w:r>
              <w:rPr>
                <w:sz w:val="20"/>
              </w:rPr>
              <w:tab/>
              <w:t xml:space="preserve">DEL </w:t>
            </w:r>
          </w:p>
          <w:p w:rsidR="00DA121A" w:rsidRDefault="00904DD6">
            <w:pPr>
              <w:spacing w:after="0" w:line="259" w:lineRule="auto"/>
              <w:ind w:left="0" w:firstLine="0"/>
              <w:jc w:val="left"/>
            </w:pPr>
            <w:r>
              <w:rPr>
                <w:sz w:val="20"/>
              </w:rPr>
              <w:t xml:space="preserve">ÁREA DE GASTO 4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CRECIMIENTO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EJECUCIÓN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p w:rsidR="00DA121A" w:rsidRDefault="00904DD6">
            <w:pPr>
              <w:spacing w:after="0" w:line="259" w:lineRule="auto"/>
              <w:ind w:left="0" w:firstLine="0"/>
              <w:jc w:val="left"/>
            </w:pPr>
            <w:r>
              <w:rPr>
                <w:sz w:val="20"/>
              </w:rPr>
              <w:t xml:space="preserve">CRECIMIENTO </w:t>
            </w:r>
          </w:p>
        </w:tc>
      </w:tr>
      <w:tr w:rsidR="00DA121A">
        <w:trPr>
          <w:trHeight w:val="240"/>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2022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3.790.017,34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10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3.842.303,26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19,8 </w:t>
            </w:r>
          </w:p>
        </w:tc>
      </w:tr>
      <w:tr w:rsidR="00DA121A">
        <w:trPr>
          <w:trHeight w:val="240"/>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2021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3.435.998,63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-10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3.207.630,04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12 </w:t>
            </w:r>
          </w:p>
        </w:tc>
      </w:tr>
      <w:tr w:rsidR="00DA121A">
        <w:trPr>
          <w:trHeight w:val="241"/>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2020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3.813.738,14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25,4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2.857.762,80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20,8 </w:t>
            </w:r>
          </w:p>
        </w:tc>
      </w:tr>
      <w:tr w:rsidR="00DA121A">
        <w:trPr>
          <w:trHeight w:val="240"/>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2019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3.039.319,45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2.364.768,31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-23,2 </w:t>
            </w:r>
          </w:p>
        </w:tc>
      </w:tr>
      <w:tr w:rsidR="00DA121A">
        <w:trPr>
          <w:trHeight w:val="242"/>
        </w:trPr>
        <w:tc>
          <w:tcPr>
            <w:tcW w:w="8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2018 </w:t>
            </w:r>
          </w:p>
        </w:tc>
        <w:tc>
          <w:tcPr>
            <w:tcW w:w="22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3.039.319,45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13,60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3.075.720,08 </w:t>
            </w:r>
          </w:p>
        </w:tc>
        <w:tc>
          <w:tcPr>
            <w:tcW w:w="18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4,8 </w:t>
            </w:r>
          </w:p>
        </w:tc>
      </w:tr>
    </w:tbl>
    <w:p w:rsidR="00DA121A" w:rsidRDefault="00904DD6">
      <w:pPr>
        <w:spacing w:after="15" w:line="259" w:lineRule="auto"/>
        <w:ind w:left="284" w:firstLine="0"/>
        <w:jc w:val="left"/>
      </w:pPr>
      <w:r>
        <w:rPr>
          <w:rFonts w:ascii="Times New Roman" w:eastAsia="Times New Roman" w:hAnsi="Times New Roman" w:cs="Times New Roman"/>
          <w:sz w:val="20"/>
        </w:rPr>
        <w:t xml:space="preserve"> </w:t>
      </w:r>
    </w:p>
    <w:p w:rsidR="00DA121A" w:rsidRDefault="00904DD6">
      <w:pPr>
        <w:spacing w:after="0" w:line="259" w:lineRule="auto"/>
        <w:ind w:left="64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sz w:val="24"/>
        </w:rPr>
        <w:t xml:space="preserve"> </w:t>
      </w:r>
    </w:p>
    <w:p w:rsidR="00DA121A" w:rsidRDefault="00904DD6">
      <w:pPr>
        <w:numPr>
          <w:ilvl w:val="0"/>
          <w:numId w:val="10"/>
        </w:numPr>
        <w:ind w:right="146" w:hanging="360"/>
      </w:pPr>
      <w:r>
        <w:rPr>
          <w:b/>
          <w:i/>
        </w:rPr>
        <w:t>Área de Gasto 9</w:t>
      </w:r>
      <w:r>
        <w:t xml:space="preserve">: Actuaciones de Carácter General, que incluye todos los gastos que afecten con carácter general a la Entidad Local y que consistan en el ejercicio de las funciones de gobierno o de apoyo administrativo y técnico a toda la organización. </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ind w:left="644" w:right="146" w:firstLine="348"/>
      </w:pPr>
      <w:r>
        <w:t>Refleja un gast</w:t>
      </w:r>
      <w:r>
        <w:t>o liquidado de 4.120.904,02 Euros, frente a los 4.159.562,01 Euros, en el año 2021, un 1 % menos que en el año anterior. Representa el 15,4 % del gasto total, frente al 17 % del año 2021. Tenemos como subprogramas:</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rPr>
          <w:sz w:val="24"/>
        </w:rPr>
        <w:t xml:space="preserve"> </w:t>
      </w:r>
    </w:p>
    <w:p w:rsidR="00DA121A" w:rsidRDefault="00904DD6">
      <w:pPr>
        <w:numPr>
          <w:ilvl w:val="0"/>
          <w:numId w:val="10"/>
        </w:numPr>
        <w:spacing w:after="0" w:line="240" w:lineRule="auto"/>
        <w:ind w:right="146" w:hanging="360"/>
      </w:pPr>
      <w:r>
        <w:rPr>
          <w:sz w:val="24"/>
        </w:rPr>
        <w:t xml:space="preserve">Subprograma 912.00 de </w:t>
      </w:r>
      <w:r>
        <w:rPr>
          <w:i/>
          <w:sz w:val="24"/>
        </w:rPr>
        <w:t>Órganos de Gobierno</w:t>
      </w:r>
      <w:r>
        <w:rPr>
          <w:sz w:val="24"/>
        </w:rPr>
        <w:t>. El gasto ascendió a la cantidad de 864.170,10 Euros, en el año 2022, de los que un 93 % son gastos de personal. Sube un 5,3 % respecto del ejercicio anterior. Representan un 3,25 % respecto del gasto total, frente al 3,49 % del año ant</w:t>
      </w:r>
      <w:r>
        <w:rPr>
          <w:sz w:val="24"/>
        </w:rPr>
        <w:t>erior.</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sz w:val="24"/>
        </w:rPr>
        <w:t xml:space="preserve"> </w:t>
      </w:r>
    </w:p>
    <w:p w:rsidR="00DA121A" w:rsidRDefault="00904DD6">
      <w:pPr>
        <w:numPr>
          <w:ilvl w:val="0"/>
          <w:numId w:val="10"/>
        </w:numPr>
        <w:spacing w:after="0" w:line="240" w:lineRule="auto"/>
        <w:ind w:right="146" w:hanging="360"/>
      </w:pPr>
      <w:r>
        <w:rPr>
          <w:sz w:val="24"/>
        </w:rPr>
        <w:t xml:space="preserve">Subprograma 920.00 de </w:t>
      </w:r>
      <w:r>
        <w:rPr>
          <w:i/>
          <w:sz w:val="24"/>
        </w:rPr>
        <w:t>Administración General</w:t>
      </w:r>
      <w:r>
        <w:rPr>
          <w:sz w:val="24"/>
        </w:rPr>
        <w:t>. Los gastos importaron 3.099.538,58 Euros en el año 2022, de los que un 63 % fueron gastos de personal, un 23 % los gastos en bienes corrientes y de servicios y un 13,5 % de transferencias. Sube un 4,3</w:t>
      </w:r>
      <w:r>
        <w:rPr>
          <w:sz w:val="24"/>
        </w:rPr>
        <w:t xml:space="preserve"> %. Representan un 11,6 % respecto del gasto total, frente al 12,7 % de ejecución del ejercicio anterior.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sz w:val="24"/>
        </w:rPr>
        <w:t xml:space="preserve"> </w:t>
      </w:r>
    </w:p>
    <w:p w:rsidR="00DA121A" w:rsidRDefault="00904DD6">
      <w:pPr>
        <w:numPr>
          <w:ilvl w:val="0"/>
          <w:numId w:val="10"/>
        </w:numPr>
        <w:spacing w:after="0" w:line="240" w:lineRule="auto"/>
        <w:ind w:right="146" w:hanging="360"/>
      </w:pPr>
      <w:r>
        <w:rPr>
          <w:sz w:val="24"/>
        </w:rPr>
        <w:t xml:space="preserve">Subprograma 924.00 de </w:t>
      </w:r>
      <w:r>
        <w:rPr>
          <w:i/>
          <w:sz w:val="24"/>
        </w:rPr>
        <w:t>Participación Ciudadana</w:t>
      </w:r>
      <w:r>
        <w:rPr>
          <w:sz w:val="24"/>
        </w:rPr>
        <w:t>.  El gasto en el año 2022, fue de cero Euros, frente a los 73.622,33 Euros en el año 2021.</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sz w:val="24"/>
        </w:rPr>
        <w:t xml:space="preserve"> </w:t>
      </w:r>
    </w:p>
    <w:p w:rsidR="00DA121A" w:rsidRDefault="00904DD6">
      <w:pPr>
        <w:numPr>
          <w:ilvl w:val="0"/>
          <w:numId w:val="10"/>
        </w:numPr>
        <w:spacing w:after="0" w:line="240" w:lineRule="auto"/>
        <w:ind w:right="146" w:hanging="360"/>
      </w:pPr>
      <w:r>
        <w:rPr>
          <w:sz w:val="24"/>
        </w:rPr>
        <w:t>Subpro</w:t>
      </w:r>
      <w:r>
        <w:rPr>
          <w:sz w:val="24"/>
        </w:rPr>
        <w:t xml:space="preserve">grama 925.00 de </w:t>
      </w:r>
      <w:r>
        <w:rPr>
          <w:i/>
          <w:sz w:val="24"/>
        </w:rPr>
        <w:t>Atención al Ciudadano</w:t>
      </w:r>
      <w:r>
        <w:rPr>
          <w:sz w:val="24"/>
        </w:rPr>
        <w:t>, que recoge únicamente gastos de personal adscritos al Servicio de Atención al Ciudadano. El gasto ascendió, en el 2022, a 157.195,34 Euros. Sube el 11,5 %. Representan un 0,6 % respecto del gasto total, una décima más</w:t>
      </w:r>
      <w:r>
        <w:rPr>
          <w:sz w:val="24"/>
        </w:rPr>
        <w:t xml:space="preserve"> que en el año anterior.</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sz w:val="24"/>
        </w:rPr>
        <w:t xml:space="preserve"> </w:t>
      </w:r>
    </w:p>
    <w:p w:rsidR="00DA121A" w:rsidRDefault="00904DD6">
      <w:pPr>
        <w:spacing w:after="0" w:line="259" w:lineRule="auto"/>
        <w:ind w:left="284" w:firstLine="0"/>
        <w:jc w:val="left"/>
      </w:pPr>
      <w:r>
        <w:rPr>
          <w:sz w:val="24"/>
        </w:rPr>
        <w:t xml:space="preserve"> </w:t>
      </w:r>
    </w:p>
    <w:p w:rsidR="00DA121A" w:rsidRDefault="00904DD6">
      <w:pPr>
        <w:spacing w:after="0" w:line="240" w:lineRule="auto"/>
        <w:ind w:left="629" w:right="144" w:firstLine="0"/>
      </w:pPr>
      <w:r>
        <w:rPr>
          <w:sz w:val="24"/>
        </w:rPr>
        <w:t xml:space="preserve">En el presente cuadro, se pone de manifiesto la evolución de esta Área de Actuaciones de carácter general: </w:t>
      </w:r>
    </w:p>
    <w:p w:rsidR="00DA121A" w:rsidRDefault="00904DD6">
      <w:pPr>
        <w:spacing w:after="0" w:line="259" w:lineRule="auto"/>
        <w:ind w:left="644" w:firstLine="0"/>
        <w:jc w:val="left"/>
      </w:pPr>
      <w:r>
        <w:rPr>
          <w:sz w:val="24"/>
        </w:rPr>
        <w:t xml:space="preserve"> </w:t>
      </w:r>
    </w:p>
    <w:p w:rsidR="00DA121A" w:rsidRDefault="00904DD6">
      <w:pPr>
        <w:spacing w:after="0" w:line="259" w:lineRule="auto"/>
        <w:ind w:left="644" w:firstLine="0"/>
        <w:jc w:val="left"/>
      </w:pPr>
      <w:r>
        <w:rPr>
          <w:sz w:val="24"/>
        </w:rPr>
        <w:t xml:space="preserve"> </w:t>
      </w:r>
    </w:p>
    <w:p w:rsidR="00DA121A" w:rsidRDefault="00904DD6">
      <w:pPr>
        <w:spacing w:after="0" w:line="259" w:lineRule="auto"/>
        <w:ind w:left="644" w:firstLine="0"/>
        <w:jc w:val="left"/>
      </w:pPr>
      <w:r>
        <w:rPr>
          <w:sz w:val="24"/>
        </w:rPr>
        <w:t xml:space="preserve"> </w:t>
      </w:r>
    </w:p>
    <w:p w:rsidR="00DA121A" w:rsidRDefault="00904DD6">
      <w:pPr>
        <w:spacing w:after="0" w:line="259" w:lineRule="auto"/>
        <w:ind w:left="644" w:firstLine="0"/>
        <w:jc w:val="left"/>
      </w:pPr>
      <w:r>
        <w:rPr>
          <w:sz w:val="24"/>
        </w:rPr>
        <w:t xml:space="preserve"> </w:t>
      </w:r>
    </w:p>
    <w:p w:rsidR="00DA121A" w:rsidRDefault="00904DD6">
      <w:pPr>
        <w:spacing w:after="0" w:line="259" w:lineRule="auto"/>
        <w:ind w:left="644" w:firstLine="0"/>
        <w:jc w:val="left"/>
      </w:pPr>
      <w:r>
        <w:rPr>
          <w:rFonts w:ascii="Times New Roman" w:eastAsia="Times New Roman" w:hAnsi="Times New Roman" w:cs="Times New Roman"/>
          <w:sz w:val="24"/>
        </w:rPr>
        <w:t xml:space="preserve"> </w:t>
      </w:r>
    </w:p>
    <w:tbl>
      <w:tblPr>
        <w:tblStyle w:val="TableGrid"/>
        <w:tblW w:w="8224" w:type="dxa"/>
        <w:tblInd w:w="1068" w:type="dxa"/>
        <w:tblCellMar>
          <w:top w:w="8" w:type="dxa"/>
          <w:left w:w="70" w:type="dxa"/>
          <w:bottom w:w="0" w:type="dxa"/>
          <w:right w:w="12" w:type="dxa"/>
        </w:tblCellMar>
        <w:tblLook w:val="04A0" w:firstRow="1" w:lastRow="0" w:firstColumn="1" w:lastColumn="0" w:noHBand="0" w:noVBand="1"/>
      </w:tblPr>
      <w:tblGrid>
        <w:gridCol w:w="1419"/>
        <w:gridCol w:w="2125"/>
        <w:gridCol w:w="1560"/>
        <w:gridCol w:w="1418"/>
        <w:gridCol w:w="1702"/>
      </w:tblGrid>
      <w:tr w:rsidR="00DA121A">
        <w:trPr>
          <w:trHeight w:val="470"/>
        </w:trPr>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AÑO  </w:t>
            </w:r>
          </w:p>
          <w:p w:rsidR="00DA121A" w:rsidRDefault="00904DD6">
            <w:pPr>
              <w:spacing w:after="0" w:line="259" w:lineRule="auto"/>
              <w:ind w:left="0" w:firstLine="0"/>
              <w:jc w:val="left"/>
            </w:pPr>
            <w:r>
              <w:rPr>
                <w:sz w:val="2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20"/>
              </w:rPr>
              <w:t xml:space="preserve">PREVISIONES DEL ÁREA DE GASTO  9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p w:rsidR="00DA121A" w:rsidRDefault="00904DD6">
            <w:pPr>
              <w:spacing w:after="0" w:line="259" w:lineRule="auto"/>
              <w:ind w:left="0" w:firstLine="0"/>
            </w:pPr>
            <w:r>
              <w:rPr>
                <w:sz w:val="20"/>
              </w:rPr>
              <w:t xml:space="preserve">CRECIMIENTO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EJECUCIÓN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p w:rsidR="00DA121A" w:rsidRDefault="00904DD6">
            <w:pPr>
              <w:spacing w:after="0" w:line="259" w:lineRule="auto"/>
              <w:ind w:left="0" w:firstLine="0"/>
              <w:jc w:val="left"/>
            </w:pPr>
            <w:r>
              <w:rPr>
                <w:sz w:val="20"/>
              </w:rPr>
              <w:t xml:space="preserve">CRECIMIENTO </w:t>
            </w:r>
          </w:p>
        </w:tc>
      </w:tr>
      <w:tr w:rsidR="00DA121A">
        <w:trPr>
          <w:trHeight w:val="240"/>
        </w:trPr>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2022 </w:t>
            </w:r>
          </w:p>
        </w:tc>
        <w:tc>
          <w:tcPr>
            <w:tcW w:w="21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4.980.358,17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4,6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4.120.904,02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 </w:t>
            </w:r>
          </w:p>
        </w:tc>
      </w:tr>
      <w:tr w:rsidR="00DA121A">
        <w:trPr>
          <w:trHeight w:val="240"/>
        </w:trPr>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2021 </w:t>
            </w:r>
          </w:p>
        </w:tc>
        <w:tc>
          <w:tcPr>
            <w:tcW w:w="21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4.760.943,80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10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4.159.519,21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2,2 </w:t>
            </w:r>
          </w:p>
        </w:tc>
      </w:tr>
      <w:tr w:rsidR="00DA121A">
        <w:trPr>
          <w:trHeight w:val="240"/>
        </w:trPr>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2020 </w:t>
            </w:r>
          </w:p>
        </w:tc>
        <w:tc>
          <w:tcPr>
            <w:tcW w:w="21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4.318.917,91</w:t>
            </w: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-2,7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4.067.861,76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3,2 </w:t>
            </w:r>
          </w:p>
        </w:tc>
      </w:tr>
      <w:tr w:rsidR="00DA121A">
        <w:trPr>
          <w:trHeight w:val="240"/>
        </w:trPr>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2019 </w:t>
            </w:r>
          </w:p>
        </w:tc>
        <w:tc>
          <w:tcPr>
            <w:tcW w:w="21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4.436.704,61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3.939.900,33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3,2 </w:t>
            </w:r>
          </w:p>
        </w:tc>
      </w:tr>
      <w:tr w:rsidR="00DA121A">
        <w:trPr>
          <w:trHeight w:val="241"/>
        </w:trPr>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2018 </w:t>
            </w:r>
          </w:p>
        </w:tc>
        <w:tc>
          <w:tcPr>
            <w:tcW w:w="212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4.436.704,61 </w:t>
            </w:r>
          </w:p>
        </w:tc>
        <w:tc>
          <w:tcPr>
            <w:tcW w:w="15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0,50 </w:t>
            </w:r>
          </w:p>
        </w:tc>
        <w:tc>
          <w:tcPr>
            <w:tcW w:w="141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3.819.369,98 </w:t>
            </w:r>
          </w:p>
        </w:tc>
        <w:tc>
          <w:tcPr>
            <w:tcW w:w="170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20"/>
              </w:rPr>
              <w:t xml:space="preserve">-1,5 </w:t>
            </w:r>
          </w:p>
        </w:tc>
      </w:tr>
    </w:tbl>
    <w:p w:rsidR="00DA121A" w:rsidRDefault="00904DD6">
      <w:pPr>
        <w:spacing w:after="0" w:line="259" w:lineRule="auto"/>
        <w:ind w:left="644" w:firstLine="0"/>
        <w:jc w:val="left"/>
      </w:pPr>
      <w:r>
        <w:rPr>
          <w:rFonts w:ascii="Times New Roman" w:eastAsia="Times New Roman" w:hAnsi="Times New Roman" w:cs="Times New Roman"/>
          <w:sz w:val="24"/>
        </w:rPr>
        <w:t xml:space="preserve"> </w:t>
      </w:r>
    </w:p>
    <w:p w:rsidR="00DA121A" w:rsidRDefault="00904DD6">
      <w:pPr>
        <w:spacing w:after="0" w:line="259" w:lineRule="auto"/>
        <w:ind w:left="185" w:firstLine="0"/>
        <w:jc w:val="center"/>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ind w:left="278" w:right="146" w:firstLine="360"/>
      </w:pPr>
      <w:r>
        <w:t xml:space="preserve"> </w:t>
      </w:r>
      <w:r>
        <w:t>Con la información obtenida de la Liquidación del Presupuesto del ejercicio 2022, se obtienen los siguientes indicadores financieros y patrimoniales y presupuestarios, que completa el contenido informativo de las magnitudes presupuestarias citadas en el pr</w:t>
      </w:r>
      <w:r>
        <w:t>esente informe y que son de indudable utilidad para valorar la actividad realizada por el Ayuntamiento de Candelaria y un conocimiento de su situación económica financiera. No obstante, se han introducido cambios en el cálculo de algunos de los indicadores</w:t>
      </w:r>
      <w:r>
        <w:t xml:space="preserve"> financieros y patrimoniales, en la Instrucción de Contabilidad:</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rPr>
          <w:b/>
          <w:i/>
        </w:rPr>
        <w:t xml:space="preserve"> </w:t>
      </w:r>
    </w:p>
    <w:p w:rsidR="00DA121A" w:rsidRDefault="00904DD6">
      <w:pPr>
        <w:spacing w:after="0" w:line="259" w:lineRule="auto"/>
        <w:ind w:left="644" w:firstLine="0"/>
        <w:jc w:val="left"/>
      </w:pPr>
      <w:r>
        <w:rPr>
          <w:b/>
          <w:i/>
        </w:rPr>
        <w:t xml:space="preserve"> </w:t>
      </w:r>
    </w:p>
    <w:p w:rsidR="00DA121A" w:rsidRDefault="00904DD6">
      <w:pPr>
        <w:pStyle w:val="Ttulo2"/>
        <w:spacing w:line="259" w:lineRule="auto"/>
        <w:ind w:left="654" w:right="0"/>
        <w:jc w:val="left"/>
      </w:pPr>
      <w:r>
        <w:rPr>
          <w:i/>
          <w:u w:val="single" w:color="000000"/>
        </w:rPr>
        <w:t>Indicadores Financieros y Patrimoniales</w:t>
      </w:r>
      <w:r>
        <w:rPr>
          <w:i/>
        </w:rPr>
        <w:t xml:space="preserve">  </w:t>
      </w:r>
    </w:p>
    <w:p w:rsidR="00DA121A" w:rsidRDefault="00904DD6">
      <w:pPr>
        <w:spacing w:after="0" w:line="259" w:lineRule="auto"/>
        <w:ind w:left="644" w:firstLine="0"/>
        <w:jc w:val="left"/>
      </w:pPr>
      <w:r>
        <w:rPr>
          <w:b/>
          <w:i/>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 xml:space="preserve">1.- </w:t>
      </w:r>
      <w:r>
        <w:rPr>
          <w:i/>
        </w:rPr>
        <w:t>Liquidez Inmediata</w:t>
      </w:r>
      <w:r>
        <w:t xml:space="preserve"> =   </w:t>
      </w:r>
      <w:r>
        <w:rPr>
          <w:u w:val="single" w:color="000000"/>
        </w:rPr>
        <w:t xml:space="preserve">Fondos Líquidos            </w:t>
      </w:r>
      <w:r>
        <w:t xml:space="preserve">       = </w:t>
      </w:r>
      <w:r>
        <w:rPr>
          <w:u w:val="single" w:color="000000"/>
        </w:rPr>
        <w:t>32.201.485,66</w:t>
      </w:r>
      <w:r>
        <w:t xml:space="preserve"> = 611 %</w:t>
      </w:r>
      <w:r>
        <w:rPr>
          <w:rFonts w:ascii="Times New Roman" w:eastAsia="Times New Roman" w:hAnsi="Times New Roman" w:cs="Times New Roman"/>
          <w:sz w:val="24"/>
        </w:rPr>
        <w:t xml:space="preserve"> </w:t>
      </w:r>
    </w:p>
    <w:p w:rsidR="00DA121A" w:rsidRDefault="00904DD6">
      <w:pPr>
        <w:tabs>
          <w:tab w:val="center" w:pos="284"/>
          <w:tab w:val="center" w:pos="992"/>
          <w:tab w:val="center" w:pos="1700"/>
          <w:tab w:val="center" w:pos="3412"/>
          <w:tab w:val="center" w:pos="6213"/>
        </w:tabs>
        <w:ind w:left="0" w:firstLine="0"/>
        <w:jc w:val="left"/>
      </w:pPr>
      <w:r>
        <w:rPr>
          <w:rFonts w:ascii="Calibri" w:eastAsia="Calibri" w:hAnsi="Calibri" w:cs="Calibri"/>
        </w:rPr>
        <w:tab/>
      </w:r>
      <w:r>
        <w:t xml:space="preserve"> </w:t>
      </w:r>
      <w:r>
        <w:tab/>
        <w:t xml:space="preserve"> </w:t>
      </w:r>
      <w:r>
        <w:tab/>
        <w:t xml:space="preserve"> </w:t>
      </w:r>
      <w:r>
        <w:tab/>
        <w:t xml:space="preserve">       Pasivo corriente   </w:t>
      </w:r>
      <w:r>
        <w:tab/>
        <w:t xml:space="preserve">         </w:t>
      </w:r>
      <w:r>
        <w:t xml:space="preserve">5.272.286,115         </w:t>
      </w:r>
    </w:p>
    <w:p w:rsidR="00DA121A" w:rsidRDefault="00904DD6">
      <w:pPr>
        <w:spacing w:after="0" w:line="259" w:lineRule="auto"/>
        <w:ind w:left="644" w:firstLine="0"/>
        <w:jc w:val="left"/>
      </w:pPr>
      <w:r>
        <w:t xml:space="preserve"> </w:t>
      </w:r>
    </w:p>
    <w:p w:rsidR="00DA121A" w:rsidRDefault="00904DD6">
      <w:pPr>
        <w:ind w:left="278" w:right="146" w:firstLine="360"/>
      </w:pPr>
      <w:r>
        <w:t xml:space="preserve"> Es un indicador que nos refleja que los fondos líquidos existentes en la tesorería municipal, dan cobertura a los gastos pendientes de pago a acreedores, presupuestarios o no y a las administraciones públicas.  </w:t>
      </w:r>
    </w:p>
    <w:p w:rsidR="00DA121A" w:rsidRDefault="00904DD6">
      <w:pPr>
        <w:spacing w:after="0" w:line="259" w:lineRule="auto"/>
        <w:ind w:left="644" w:firstLine="0"/>
        <w:jc w:val="left"/>
      </w:pPr>
      <w:r>
        <w:t xml:space="preserve"> </w:t>
      </w:r>
    </w:p>
    <w:p w:rsidR="00DA121A" w:rsidRDefault="00904DD6">
      <w:pPr>
        <w:ind w:left="278" w:right="146" w:firstLine="360"/>
      </w:pPr>
      <w:r>
        <w:t xml:space="preserve"> Además, este in</w:t>
      </w:r>
      <w:r>
        <w:t>dicador nos refleja la cobertura de las obligaciones pendientes de pago de años anteriores y de las obligaciones de pago que van a realizarse en el ejercicio siguiente, tal como se pone de manifiesto en la magnitud del remanente de tesorería para gastos ge</w:t>
      </w:r>
      <w:r>
        <w:t xml:space="preserve">nerales. Cae en 21 puntos porcentuales. </w:t>
      </w:r>
    </w:p>
    <w:p w:rsidR="00DA121A" w:rsidRDefault="00904DD6">
      <w:pPr>
        <w:spacing w:after="0" w:line="259" w:lineRule="auto"/>
        <w:ind w:left="64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 xml:space="preserve">2.- </w:t>
      </w:r>
      <w:r>
        <w:rPr>
          <w:i/>
        </w:rPr>
        <w:t>Liquidez a C/ P</w:t>
      </w:r>
      <w:r>
        <w:t xml:space="preserve"> = </w:t>
      </w:r>
      <w:r>
        <w:rPr>
          <w:u w:val="single" w:color="000000"/>
        </w:rPr>
        <w:t>Fondos Líquidos + Derechos Pendientes de Cobro</w:t>
      </w:r>
      <w:r>
        <w:t xml:space="preserve">= </w:t>
      </w:r>
      <w:r>
        <w:rPr>
          <w:u w:val="single" w:color="000000"/>
        </w:rPr>
        <w:t>43.234.708,71</w:t>
      </w:r>
      <w:r>
        <w:t xml:space="preserve"> = 820 %</w:t>
      </w:r>
      <w:r>
        <w:rPr>
          <w:rFonts w:ascii="Times New Roman" w:eastAsia="Times New Roman" w:hAnsi="Times New Roman" w:cs="Times New Roman"/>
          <w:sz w:val="24"/>
        </w:rPr>
        <w:t xml:space="preserve"> </w:t>
      </w:r>
    </w:p>
    <w:p w:rsidR="00DA121A" w:rsidRDefault="00904DD6">
      <w:pPr>
        <w:ind w:left="288" w:right="146"/>
      </w:pPr>
      <w:r>
        <w:t xml:space="preserve">                                                                  </w:t>
      </w:r>
      <w:r>
        <w:t xml:space="preserve">Pasivo Corriente                           5.272.286,11 </w:t>
      </w:r>
    </w:p>
    <w:p w:rsidR="00DA121A" w:rsidRDefault="00904DD6">
      <w:pPr>
        <w:spacing w:after="0" w:line="259" w:lineRule="auto"/>
        <w:ind w:left="644" w:firstLine="0"/>
        <w:jc w:val="left"/>
      </w:pPr>
      <w:r>
        <w:t xml:space="preserve"> </w:t>
      </w:r>
      <w:r>
        <w:tab/>
        <w:t xml:space="preserve"> </w:t>
      </w:r>
    </w:p>
    <w:p w:rsidR="00DA121A" w:rsidRDefault="00904DD6">
      <w:pPr>
        <w:ind w:left="278" w:right="146" w:firstLine="360"/>
      </w:pPr>
      <w:r>
        <w:t xml:space="preserve"> El planteamiento manifestado en el indicador anterior es plenamente válido para este indicador. Cae en 90 puntos porcentuales </w:t>
      </w:r>
    </w:p>
    <w:p w:rsidR="00DA121A" w:rsidRDefault="00904DD6">
      <w:pPr>
        <w:spacing w:after="0" w:line="259" w:lineRule="auto"/>
        <w:ind w:left="64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3.-</w:t>
      </w:r>
      <w:r>
        <w:rPr>
          <w:i/>
        </w:rPr>
        <w:t xml:space="preserve"> Liquidez General = </w:t>
      </w:r>
      <w:r>
        <w:rPr>
          <w:u w:val="single" w:color="000000"/>
        </w:rPr>
        <w:t xml:space="preserve">Activo Corriente </w:t>
      </w:r>
      <w:r>
        <w:t xml:space="preserve">= </w:t>
      </w:r>
      <w:r>
        <w:rPr>
          <w:u w:val="single" w:color="000000"/>
        </w:rPr>
        <w:t>33.803.109,94</w:t>
      </w:r>
      <w:r>
        <w:t xml:space="preserve"> = 641 %</w:t>
      </w:r>
      <w:r>
        <w:t>.</w:t>
      </w:r>
      <w:r>
        <w:rPr>
          <w:rFonts w:ascii="Times New Roman" w:eastAsia="Times New Roman" w:hAnsi="Times New Roman" w:cs="Times New Roman"/>
          <w:sz w:val="24"/>
        </w:rPr>
        <w:t xml:space="preserve"> </w:t>
      </w:r>
    </w:p>
    <w:p w:rsidR="00DA121A" w:rsidRDefault="00904DD6">
      <w:pPr>
        <w:tabs>
          <w:tab w:val="center" w:pos="284"/>
          <w:tab w:val="center" w:pos="992"/>
          <w:tab w:val="center" w:pos="3729"/>
        </w:tabs>
        <w:ind w:left="0" w:firstLine="0"/>
        <w:jc w:val="left"/>
      </w:pPr>
      <w:r>
        <w:rPr>
          <w:rFonts w:ascii="Calibri" w:eastAsia="Calibri" w:hAnsi="Calibri" w:cs="Calibri"/>
        </w:rPr>
        <w:tab/>
      </w:r>
      <w:r>
        <w:t xml:space="preserve"> </w:t>
      </w:r>
      <w:r>
        <w:tab/>
        <w:t xml:space="preserve"> </w:t>
      </w:r>
      <w:r>
        <w:tab/>
        <w:t xml:space="preserve">           Pasivo Corriente</w:t>
      </w:r>
      <w:r>
        <w:rPr>
          <w:i/>
        </w:rPr>
        <w:t xml:space="preserve">        </w:t>
      </w:r>
      <w:r>
        <w:t>5.272.286,11</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ind w:left="288" w:right="146"/>
      </w:pPr>
      <w:r>
        <w:t xml:space="preserve"> </w:t>
      </w:r>
      <w:r>
        <w:tab/>
        <w:t xml:space="preserve">Es el principal medidor de liquidez y muestra la proporción de deudas a corto plazo, que </w:t>
      </w:r>
      <w:r>
        <w:t>son cubiertas por elementos del activo. Lo normal es que el valor del ratio, sea mayor que 1, es decir, que el activo corriente o circulante sea mayor que el pasivo corriente o circulante y normalmente el activo transformado en liquidez será suficiente pag</w:t>
      </w:r>
      <w:r>
        <w:t>o de las deudas que venzan a corto plazo.</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Si es menor que 1, el Activo Circulante es menor que el Pasivo Circulante y puede haber problemas para pagar las deudas exigibles a corto plazo y cuanto menor sea, significa un mayor valor del endeudamiento a c</w:t>
      </w:r>
      <w:r>
        <w:t xml:space="preserve">orto plazo.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Si el valor es demasiado alto, puede significar un exceso de capital inaplicado y, por tanto, menor rentabilidad total, aunque la capacidad de pago sea elevada.</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Al ser superior a uno, en correlación con el ratio anterior, que observamo</w:t>
      </w:r>
      <w:r>
        <w:t>s que existe capacidad de pago del Ayuntamiento para hacer frente a las deudas a corto plazo, poniendo de manifiesto inexistencia de problemas de liquidez. Cae en 37 puntos porcentuales</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spacing w:after="0" w:line="259" w:lineRule="auto"/>
        <w:ind w:left="284" w:firstLine="0"/>
        <w:jc w:val="left"/>
      </w:pPr>
      <w:r>
        <w:rPr>
          <w:i/>
        </w:rPr>
        <w:t xml:space="preserve"> </w:t>
      </w:r>
    </w:p>
    <w:p w:rsidR="00DA121A" w:rsidRDefault="00904DD6">
      <w:pPr>
        <w:spacing w:after="0" w:line="259" w:lineRule="auto"/>
        <w:ind w:left="279" w:right="176"/>
        <w:jc w:val="left"/>
      </w:pPr>
      <w:r>
        <w:rPr>
          <w:i/>
        </w:rPr>
        <w:t xml:space="preserve">4.- Endeudamiento = </w:t>
      </w:r>
      <w:r>
        <w:rPr>
          <w:u w:val="single" w:color="000000"/>
        </w:rPr>
        <w:t>Pasivo Corriente + Pasivo no Corriente</w:t>
      </w:r>
      <w:r>
        <w:t>=</w:t>
      </w:r>
      <w:r>
        <w:rPr>
          <w:u w:val="single" w:color="000000"/>
        </w:rPr>
        <w:t xml:space="preserve"> 6.049</w:t>
      </w:r>
      <w:r>
        <w:rPr>
          <w:u w:val="single" w:color="000000"/>
        </w:rPr>
        <w:t>.168,82</w:t>
      </w:r>
      <w:r>
        <w:t xml:space="preserve"> =200,12 €/Hab.</w:t>
      </w:r>
      <w:r>
        <w:rPr>
          <w:rFonts w:ascii="Times New Roman" w:eastAsia="Times New Roman" w:hAnsi="Times New Roman" w:cs="Times New Roman"/>
          <w:sz w:val="24"/>
        </w:rPr>
        <w:t xml:space="preserve"> </w:t>
      </w:r>
    </w:p>
    <w:p w:rsidR="00DA121A" w:rsidRDefault="00904DD6">
      <w:pPr>
        <w:tabs>
          <w:tab w:val="center" w:pos="284"/>
          <w:tab w:val="center" w:pos="1653"/>
          <w:tab w:val="center" w:pos="5077"/>
        </w:tabs>
        <w:ind w:left="0" w:firstLine="0"/>
        <w:jc w:val="left"/>
      </w:pPr>
      <w:r>
        <w:rPr>
          <w:rFonts w:ascii="Calibri" w:eastAsia="Calibri" w:hAnsi="Calibri" w:cs="Calibri"/>
        </w:rPr>
        <w:tab/>
      </w:r>
      <w:r>
        <w:t xml:space="preserve"> </w:t>
      </w:r>
      <w:r>
        <w:tab/>
      </w:r>
      <w:r>
        <w:rPr>
          <w:i/>
        </w:rPr>
        <w:t xml:space="preserve">por Habitante </w:t>
      </w:r>
      <w:r>
        <w:t xml:space="preserve">  </w:t>
      </w:r>
      <w:r>
        <w:tab/>
        <w:t>Nº Habitantes                               30.227</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i/>
        </w:rPr>
        <w:t xml:space="preserve"> </w:t>
      </w:r>
    </w:p>
    <w:p w:rsidR="00DA121A" w:rsidRDefault="00904DD6">
      <w:pPr>
        <w:spacing w:after="0" w:line="259" w:lineRule="auto"/>
        <w:ind w:left="992" w:firstLine="0"/>
        <w:jc w:val="left"/>
      </w:pPr>
      <w:r>
        <w:t xml:space="preserve"> </w:t>
      </w:r>
    </w:p>
    <w:p w:rsidR="00DA121A" w:rsidRDefault="00904DD6">
      <w:pPr>
        <w:ind w:left="278" w:right="146" w:firstLine="708"/>
      </w:pPr>
      <w:r>
        <w:t xml:space="preserve">Este ratio, que es obtenido por el cociente entre el Pasivo Exigible, corriente y no corriente, que refleja tanto las deudas a largo plazo como a corto plazo, del Balance de Situación, en función del número de habitantes, sube en 40 Euros por habitante. </w:t>
      </w:r>
    </w:p>
    <w:p w:rsidR="00DA121A" w:rsidRDefault="00904DD6">
      <w:pPr>
        <w:spacing w:after="0" w:line="259" w:lineRule="auto"/>
        <w:ind w:left="64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5.-</w:t>
      </w:r>
      <w:r>
        <w:rPr>
          <w:i/>
        </w:rPr>
        <w:t xml:space="preserve"> Endeudamiento </w:t>
      </w:r>
      <w:r>
        <w:t>=</w:t>
      </w:r>
      <w:r>
        <w:rPr>
          <w:u w:val="single" w:color="000000"/>
        </w:rPr>
        <w:t xml:space="preserve">Pasivo Corriente + Pasivo no Corriente                           </w:t>
      </w:r>
      <w:r>
        <w:t xml:space="preserve">=   </w:t>
      </w:r>
      <w:r>
        <w:rPr>
          <w:u w:val="single" w:color="000000"/>
        </w:rPr>
        <w:t>6.049.168,82</w:t>
      </w:r>
      <w:r>
        <w:t>=   5 %.</w:t>
      </w:r>
      <w:r>
        <w:rPr>
          <w:rFonts w:ascii="Times New Roman" w:eastAsia="Times New Roman" w:hAnsi="Times New Roman" w:cs="Times New Roman"/>
          <w:sz w:val="24"/>
        </w:rPr>
        <w:t xml:space="preserve"> </w:t>
      </w:r>
    </w:p>
    <w:p w:rsidR="00DA121A" w:rsidRDefault="00904DD6">
      <w:pPr>
        <w:tabs>
          <w:tab w:val="center" w:pos="284"/>
          <w:tab w:val="center" w:pos="992"/>
          <w:tab w:val="center" w:pos="5458"/>
        </w:tabs>
        <w:ind w:left="0" w:firstLine="0"/>
        <w:jc w:val="left"/>
      </w:pPr>
      <w:r>
        <w:rPr>
          <w:rFonts w:ascii="Calibri" w:eastAsia="Calibri" w:hAnsi="Calibri" w:cs="Calibri"/>
        </w:rPr>
        <w:tab/>
      </w:r>
      <w:r>
        <w:t xml:space="preserve"> </w:t>
      </w:r>
      <w:r>
        <w:tab/>
        <w:t xml:space="preserve"> </w:t>
      </w:r>
      <w:r>
        <w:tab/>
        <w:t xml:space="preserve">   Pasivo Corriente + Pasivo no Corriente +Patrimonio Neto    119.585.086,07 </w:t>
      </w:r>
    </w:p>
    <w:p w:rsidR="00DA121A" w:rsidRDefault="00904DD6">
      <w:pPr>
        <w:spacing w:after="0" w:line="259" w:lineRule="auto"/>
        <w:ind w:left="644" w:firstLine="0"/>
        <w:jc w:val="left"/>
      </w:pPr>
      <w:r>
        <w:t xml:space="preserve"> </w:t>
      </w:r>
    </w:p>
    <w:p w:rsidR="00DA121A" w:rsidRDefault="00904DD6">
      <w:pPr>
        <w:ind w:left="288" w:right="146"/>
      </w:pPr>
      <w:r>
        <w:t xml:space="preserve"> </w:t>
      </w:r>
      <w:r>
        <w:t xml:space="preserve">Mide el nivel global de endeudamiento o proporción del pasivo exigible a corto y largo plazo en relación al pasivo total, que incluye tanto el pasivo como el patrimonio del Ayuntamiento. Se refleja un nivel bajo de endeudamiento. Sube un punto porcentual.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ind w:left="288" w:right="1404"/>
      </w:pPr>
      <w:r>
        <w:t xml:space="preserve">6.- Relación de Endeudamiento= </w:t>
      </w:r>
      <w:r>
        <w:rPr>
          <w:u w:val="single" w:color="000000"/>
        </w:rPr>
        <w:t xml:space="preserve">Pasivo Corriente </w:t>
      </w:r>
      <w:r>
        <w:t xml:space="preserve">=     </w:t>
      </w:r>
      <w:r>
        <w:rPr>
          <w:u w:val="single" w:color="000000"/>
        </w:rPr>
        <w:t xml:space="preserve">5.272.286,11 </w:t>
      </w:r>
      <w:r>
        <w:t>=  679 %</w:t>
      </w:r>
      <w:r>
        <w:rPr>
          <w:rFonts w:ascii="Times New Roman" w:eastAsia="Times New Roman" w:hAnsi="Times New Roman" w:cs="Times New Roman"/>
          <w:sz w:val="24"/>
        </w:rPr>
        <w:t xml:space="preserve"> </w:t>
      </w:r>
      <w:r>
        <w:rPr>
          <w:b/>
          <w:i/>
        </w:rPr>
        <w:t xml:space="preserve"> </w:t>
      </w:r>
      <w:r>
        <w:rPr>
          <w:b/>
          <w:i/>
        </w:rPr>
        <w:tab/>
        <w:t xml:space="preserve"> </w:t>
      </w:r>
      <w:r>
        <w:rPr>
          <w:b/>
          <w:i/>
        </w:rPr>
        <w:tab/>
        <w:t xml:space="preserve"> </w:t>
      </w:r>
      <w:r>
        <w:rPr>
          <w:b/>
          <w:i/>
        </w:rPr>
        <w:tab/>
        <w:t xml:space="preserve">           </w:t>
      </w:r>
      <w:r>
        <w:t>Pasivo no Corriente</w:t>
      </w:r>
      <w:r>
        <w:rPr>
          <w:i/>
        </w:rPr>
        <w:t xml:space="preserve">          </w:t>
      </w:r>
      <w:r>
        <w:t>776.882,71</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rPr>
          <w:b/>
          <w:i/>
        </w:rPr>
        <w:t xml:space="preserve"> </w:t>
      </w:r>
    </w:p>
    <w:p w:rsidR="00DA121A" w:rsidRDefault="00904DD6">
      <w:pPr>
        <w:ind w:left="278" w:right="146" w:firstLine="360"/>
      </w:pPr>
      <w:r>
        <w:t xml:space="preserve"> Refleja la calidad de la deuda, al expresarse la proporción entre la deuda a corto plazo y largo plazo. Empeora en</w:t>
      </w:r>
      <w:r>
        <w:t xml:space="preserve"> 161 puntos porcentuales </w:t>
      </w:r>
    </w:p>
    <w:p w:rsidR="00DA121A" w:rsidRDefault="00904DD6">
      <w:pPr>
        <w:spacing w:after="0" w:line="259" w:lineRule="auto"/>
        <w:ind w:left="644" w:firstLine="0"/>
        <w:jc w:val="left"/>
      </w:pPr>
      <w:r>
        <w:t xml:space="preserve"> </w:t>
      </w:r>
    </w:p>
    <w:p w:rsidR="00DA121A" w:rsidRDefault="00904DD6">
      <w:pPr>
        <w:spacing w:after="0" w:line="259" w:lineRule="auto"/>
        <w:ind w:left="284" w:firstLine="0"/>
        <w:jc w:val="left"/>
      </w:pPr>
      <w:r>
        <w:rPr>
          <w:i/>
        </w:rPr>
        <w:t xml:space="preserve"> </w:t>
      </w:r>
    </w:p>
    <w:p w:rsidR="00DA121A" w:rsidRDefault="00904DD6">
      <w:pPr>
        <w:spacing w:after="0" w:line="259" w:lineRule="auto"/>
        <w:ind w:left="284" w:firstLine="0"/>
        <w:jc w:val="left"/>
      </w:pPr>
      <w:r>
        <w:rPr>
          <w:i/>
        </w:rPr>
        <w:t xml:space="preserve"> </w:t>
      </w:r>
    </w:p>
    <w:p w:rsidR="00DA121A" w:rsidRDefault="00904DD6">
      <w:pPr>
        <w:spacing w:after="0" w:line="248" w:lineRule="auto"/>
        <w:ind w:left="288" w:right="237"/>
      </w:pPr>
      <w:r>
        <w:rPr>
          <w:i/>
        </w:rPr>
        <w:t xml:space="preserve">7.- Cash Flow = </w:t>
      </w:r>
      <w:r>
        <w:rPr>
          <w:i/>
          <w:u w:val="single" w:color="000000"/>
        </w:rPr>
        <w:t xml:space="preserve">Pasivo no Corriente  </w:t>
      </w:r>
      <w:r>
        <w:t xml:space="preserve">    +         </w:t>
      </w:r>
      <w:r>
        <w:rPr>
          <w:i/>
          <w:u w:val="single" w:color="000000"/>
        </w:rPr>
        <w:t>Pasivo Corriente</w:t>
      </w:r>
      <w:r>
        <w:t xml:space="preserve">     </w:t>
      </w:r>
      <w:r>
        <w:rPr>
          <w:i/>
        </w:rPr>
        <w:t>=   -0,27 + -1,83 = -2,10</w:t>
      </w:r>
      <w:r>
        <w:rPr>
          <w:rFonts w:ascii="Times New Roman" w:eastAsia="Times New Roman" w:hAnsi="Times New Roman" w:cs="Times New Roman"/>
          <w:sz w:val="24"/>
        </w:rPr>
        <w:t xml:space="preserve"> </w:t>
      </w:r>
      <w:r>
        <w:rPr>
          <w:i/>
        </w:rPr>
        <w:t xml:space="preserve">                           Flujos Netos de gestión*       Flujos Netos de gestión* </w:t>
      </w:r>
    </w:p>
    <w:p w:rsidR="00DA121A" w:rsidRDefault="00904DD6">
      <w:pPr>
        <w:spacing w:after="0" w:line="259" w:lineRule="auto"/>
        <w:ind w:left="644" w:firstLine="0"/>
        <w:jc w:val="left"/>
      </w:pPr>
      <w:r>
        <w:rPr>
          <w:i/>
        </w:rPr>
        <w:t xml:space="preserve"> </w:t>
      </w:r>
    </w:p>
    <w:p w:rsidR="00DA121A" w:rsidRDefault="00904DD6">
      <w:pPr>
        <w:spacing w:after="0" w:line="248" w:lineRule="auto"/>
        <w:ind w:left="278" w:right="145" w:firstLine="360"/>
      </w:pPr>
      <w:r>
        <w:rPr>
          <w:i/>
        </w:rPr>
        <w:t xml:space="preserve">*Flujos Netos de Gestión= Importe de los Flujos netos de efectivo por actividades de gestión, del Estado de Flujos de Efectivo y viene dado por las diferencias entre determinados capítulos de gastos e ingresos. </w:t>
      </w:r>
    </w:p>
    <w:p w:rsidR="00DA121A" w:rsidRDefault="00904DD6">
      <w:pPr>
        <w:spacing w:after="0" w:line="259" w:lineRule="auto"/>
        <w:ind w:left="644" w:firstLine="0"/>
        <w:jc w:val="left"/>
      </w:pPr>
      <w:r>
        <w:t xml:space="preserve"> </w:t>
      </w:r>
    </w:p>
    <w:p w:rsidR="00DA121A" w:rsidRDefault="00904DD6">
      <w:pPr>
        <w:ind w:left="278" w:right="146" w:firstLine="360"/>
      </w:pPr>
      <w:r>
        <w:t xml:space="preserve"> Mide la proporción entre las deudas a cor</w:t>
      </w:r>
      <w:r>
        <w:t xml:space="preserve">to plazo y largo plazo con la liquidez obtenida en el ejercicio, en determinados capítulos. Cae más de siete puntos. </w:t>
      </w:r>
    </w:p>
    <w:p w:rsidR="00DA121A" w:rsidRDefault="00904DD6">
      <w:pPr>
        <w:spacing w:after="0" w:line="259" w:lineRule="auto"/>
        <w:ind w:left="64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38" w:lineRule="auto"/>
        <w:ind w:left="269" w:right="629" w:firstLine="0"/>
        <w:jc w:val="left"/>
      </w:pPr>
      <w:r>
        <w:t>8.-</w:t>
      </w:r>
      <w:r>
        <w:rPr>
          <w:i/>
        </w:rPr>
        <w:t>PMP</w:t>
      </w:r>
      <w:r>
        <w:t>=                      Ʃ(</w:t>
      </w:r>
      <w:r>
        <w:rPr>
          <w:i/>
          <w:u w:val="single" w:color="000000"/>
        </w:rPr>
        <w:t>Número días Periodo de Pago*Importe Pagado)</w:t>
      </w:r>
      <w:r>
        <w:t>=</w:t>
      </w:r>
      <w:r>
        <w:rPr>
          <w:u w:val="single" w:color="000000"/>
        </w:rPr>
        <w:t xml:space="preserve">  339.647.753,77</w:t>
      </w:r>
      <w:r>
        <w:t xml:space="preserve"> =31,19 días</w:t>
      </w:r>
      <w:r>
        <w:rPr>
          <w:rFonts w:ascii="Times New Roman" w:eastAsia="Times New Roman" w:hAnsi="Times New Roman" w:cs="Times New Roman"/>
          <w:sz w:val="24"/>
        </w:rPr>
        <w:t xml:space="preserve"> </w:t>
      </w:r>
      <w:r>
        <w:rPr>
          <w:i/>
        </w:rPr>
        <w:t xml:space="preserve">    a Acreedores Comerciales</w:t>
      </w:r>
      <w:r>
        <w:t xml:space="preserve">            </w:t>
      </w:r>
      <w:r>
        <w:rPr>
          <w:i/>
        </w:rPr>
        <w:t xml:space="preserve"> Ʃ Importe de Pago                                  10.890.559,36</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spacing w:after="0" w:line="245" w:lineRule="auto"/>
        <w:ind w:left="284" w:right="8952" w:firstLine="0"/>
        <w:jc w:val="left"/>
      </w:pPr>
      <w:r>
        <w:t xml:space="preserve"> </w:t>
      </w:r>
      <w:r>
        <w:tab/>
        <w:t xml:space="preserve">  </w:t>
      </w:r>
    </w:p>
    <w:p w:rsidR="00DA121A" w:rsidRDefault="00904DD6">
      <w:pPr>
        <w:ind w:left="1002" w:right="146"/>
      </w:pPr>
      <w:r>
        <w:t xml:space="preserve">Empeora 8 días. </w:t>
      </w:r>
    </w:p>
    <w:p w:rsidR="00DA121A" w:rsidRDefault="00904DD6">
      <w:pPr>
        <w:spacing w:after="0" w:line="259" w:lineRule="auto"/>
        <w:ind w:left="284" w:firstLine="0"/>
        <w:jc w:val="left"/>
      </w:pPr>
      <w:r>
        <w:t xml:space="preserve"> </w:t>
      </w:r>
    </w:p>
    <w:p w:rsidR="00DA121A" w:rsidRDefault="00904DD6">
      <w:pPr>
        <w:spacing w:after="0" w:line="259" w:lineRule="auto"/>
        <w:ind w:left="279"/>
        <w:jc w:val="left"/>
      </w:pPr>
      <w:r>
        <w:t>9.-</w:t>
      </w:r>
      <w:r>
        <w:rPr>
          <w:i/>
        </w:rPr>
        <w:t>Pdo Medio de Cobro</w:t>
      </w:r>
      <w:r>
        <w:t>=Ʃ(</w:t>
      </w:r>
      <w:r>
        <w:rPr>
          <w:i/>
          <w:u w:val="single" w:color="000000"/>
        </w:rPr>
        <w:t>Número días Periodo de Cobro*Importe Cobro)</w:t>
      </w:r>
      <w:r>
        <w:t>=</w:t>
      </w:r>
      <w:r>
        <w:rPr>
          <w:u w:val="single" w:color="000000"/>
        </w:rPr>
        <w:t xml:space="preserve"> 559.357.2225,33 </w:t>
      </w:r>
      <w:r>
        <w:t xml:space="preserve">= </w:t>
      </w:r>
    </w:p>
    <w:p w:rsidR="00DA121A" w:rsidRDefault="00904DD6">
      <w:pPr>
        <w:tabs>
          <w:tab w:val="center" w:pos="797"/>
          <w:tab w:val="center" w:pos="2408"/>
          <w:tab w:val="center" w:pos="3116"/>
          <w:tab w:val="center" w:pos="3824"/>
          <w:tab w:val="center" w:pos="5670"/>
          <w:tab w:val="center" w:pos="7365"/>
        </w:tabs>
        <w:spacing w:after="11" w:line="248" w:lineRule="auto"/>
        <w:ind w:left="0" w:firstLine="0"/>
        <w:jc w:val="left"/>
      </w:pPr>
      <w:r>
        <w:rPr>
          <w:rFonts w:ascii="Calibri" w:eastAsia="Calibri" w:hAnsi="Calibri" w:cs="Calibri"/>
        </w:rPr>
        <w:tab/>
      </w:r>
      <w:r>
        <w:t>35,09 días</w:t>
      </w:r>
      <w:r>
        <w:rPr>
          <w:i/>
        </w:rPr>
        <w:t xml:space="preserve">        </w:t>
      </w:r>
      <w:r>
        <w:rPr>
          <w:i/>
        </w:rPr>
        <w:tab/>
        <w:t xml:space="preserve"> </w:t>
      </w:r>
      <w:r>
        <w:rPr>
          <w:i/>
        </w:rPr>
        <w:tab/>
        <w:t xml:space="preserve"> </w:t>
      </w:r>
      <w:r>
        <w:rPr>
          <w:i/>
        </w:rPr>
        <w:tab/>
        <w:t xml:space="preserve"> </w:t>
      </w:r>
      <w:r>
        <w:rPr>
          <w:i/>
        </w:rPr>
        <w:tab/>
      </w:r>
      <w:r>
        <w:t xml:space="preserve">     </w:t>
      </w:r>
      <w:r>
        <w:rPr>
          <w:i/>
        </w:rPr>
        <w:t xml:space="preserve"> Ʃ Importe de Cobro</w:t>
      </w:r>
      <w:r>
        <w:rPr>
          <w:i/>
        </w:rPr>
        <w:t xml:space="preserve"> </w:t>
      </w:r>
      <w:r>
        <w:rPr>
          <w:i/>
        </w:rPr>
        <w:tab/>
        <w:t xml:space="preserve">                    </w:t>
      </w:r>
    </w:p>
    <w:p w:rsidR="00DA121A" w:rsidRDefault="00904DD6">
      <w:pPr>
        <w:spacing w:after="11" w:line="248" w:lineRule="auto"/>
        <w:ind w:left="288" w:right="145"/>
      </w:pPr>
      <w:r>
        <w:rPr>
          <w:i/>
        </w:rPr>
        <w:t>15.939.078,89</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rPr>
          <w:b/>
          <w:i/>
        </w:rPr>
        <w:t xml:space="preserve"> </w:t>
      </w:r>
    </w:p>
    <w:p w:rsidR="00DA121A" w:rsidRDefault="00904DD6">
      <w:pPr>
        <w:ind w:left="654" w:right="146"/>
      </w:pPr>
      <w:r>
        <w:t>Empeora 6 días.</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rPr>
          <w:b/>
          <w:i/>
        </w:rPr>
        <w:t xml:space="preserve"> </w:t>
      </w:r>
    </w:p>
    <w:p w:rsidR="00DA121A" w:rsidRDefault="00904DD6">
      <w:pPr>
        <w:spacing w:after="0" w:line="259" w:lineRule="auto"/>
        <w:ind w:left="644" w:firstLine="0"/>
        <w:jc w:val="left"/>
      </w:pPr>
      <w:r>
        <w:rPr>
          <w:i/>
        </w:rPr>
        <w:t xml:space="preserve"> </w:t>
      </w:r>
    </w:p>
    <w:p w:rsidR="00DA121A" w:rsidRDefault="00904DD6">
      <w:pPr>
        <w:spacing w:after="11" w:line="248" w:lineRule="auto"/>
        <w:ind w:left="654" w:right="145"/>
      </w:pPr>
      <w:r>
        <w:rPr>
          <w:i/>
        </w:rPr>
        <w:t xml:space="preserve">10.- Ratios de la Cuenta del Resultado Económico Patrimonial: </w:t>
      </w:r>
    </w:p>
    <w:p w:rsidR="00DA121A" w:rsidRDefault="00904DD6">
      <w:pPr>
        <w:spacing w:after="0" w:line="259" w:lineRule="auto"/>
        <w:ind w:left="644" w:firstLine="0"/>
        <w:jc w:val="left"/>
      </w:pPr>
      <w:r>
        <w:rPr>
          <w:i/>
        </w:rPr>
        <w:t xml:space="preserve"> </w:t>
      </w:r>
    </w:p>
    <w:p w:rsidR="00DA121A" w:rsidRDefault="00904DD6">
      <w:pPr>
        <w:spacing w:after="6" w:line="248" w:lineRule="auto"/>
        <w:ind w:left="654" w:right="424"/>
      </w:pPr>
      <w:r>
        <w:rPr>
          <w:b/>
          <w:i/>
        </w:rPr>
        <w:t>1.- Estrutura de Ingresos de Gestión Ordinaria</w:t>
      </w:r>
      <w:r>
        <w:rPr>
          <w:i/>
        </w:rPr>
        <w:t>:</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rPr>
          <w:i/>
        </w:rPr>
        <w:t xml:space="preserve"> </w:t>
      </w:r>
    </w:p>
    <w:p w:rsidR="00DA121A" w:rsidRDefault="00904DD6">
      <w:pPr>
        <w:numPr>
          <w:ilvl w:val="0"/>
          <w:numId w:val="11"/>
        </w:numPr>
        <w:spacing w:after="0" w:line="248" w:lineRule="auto"/>
        <w:ind w:left="964" w:right="1766" w:hanging="686"/>
      </w:pPr>
      <w:r>
        <w:rPr>
          <w:i/>
          <w:u w:val="single" w:color="000000"/>
        </w:rPr>
        <w:t>Ingresos Tributarios</w:t>
      </w:r>
      <w:r>
        <w:rPr>
          <w:i/>
        </w:rPr>
        <w:t xml:space="preserve">          = 46 %.</w:t>
      </w:r>
      <w:r>
        <w:rPr>
          <w:rFonts w:ascii="Times New Roman" w:eastAsia="Times New Roman" w:hAnsi="Times New Roman" w:cs="Times New Roman"/>
          <w:sz w:val="24"/>
        </w:rPr>
        <w:t xml:space="preserve"> </w:t>
      </w:r>
      <w:r>
        <w:rPr>
          <w:i/>
        </w:rPr>
        <w:t xml:space="preserve">         Ingresos de Gestión Ordinaria   </w:t>
      </w:r>
      <w:r>
        <w:rPr>
          <w:i/>
        </w:rPr>
        <w:t xml:space="preserve">     </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spacing w:after="0" w:line="259" w:lineRule="auto"/>
        <w:ind w:left="644" w:firstLine="0"/>
        <w:jc w:val="left"/>
      </w:pPr>
      <w:r>
        <w:t xml:space="preserve"> </w:t>
      </w:r>
    </w:p>
    <w:p w:rsidR="00DA121A" w:rsidRDefault="00904DD6">
      <w:pPr>
        <w:numPr>
          <w:ilvl w:val="0"/>
          <w:numId w:val="11"/>
        </w:numPr>
        <w:spacing w:after="11" w:line="248" w:lineRule="auto"/>
        <w:ind w:left="964" w:right="1766" w:hanging="686"/>
      </w:pPr>
      <w:r>
        <w:rPr>
          <w:i/>
          <w:u w:val="single" w:color="000000"/>
        </w:rPr>
        <w:t>Transferencias</w:t>
      </w:r>
      <w:r>
        <w:rPr>
          <w:i/>
        </w:rPr>
        <w:t xml:space="preserve">         =        53 %</w:t>
      </w:r>
      <w:r>
        <w:rPr>
          <w:rFonts w:ascii="Times New Roman" w:eastAsia="Times New Roman" w:hAnsi="Times New Roman" w:cs="Times New Roman"/>
          <w:sz w:val="24"/>
        </w:rPr>
        <w:t xml:space="preserve"> </w:t>
      </w:r>
    </w:p>
    <w:p w:rsidR="00DA121A" w:rsidRDefault="00904DD6">
      <w:pPr>
        <w:spacing w:after="11" w:line="248" w:lineRule="auto"/>
        <w:ind w:left="288" w:right="145"/>
      </w:pPr>
      <w:r>
        <w:rPr>
          <w:i/>
        </w:rPr>
        <w:t xml:space="preserve">         Ingresos de Gestión Ordinaria    </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numPr>
          <w:ilvl w:val="0"/>
          <w:numId w:val="11"/>
        </w:numPr>
        <w:spacing w:after="0" w:line="248" w:lineRule="auto"/>
        <w:ind w:left="964" w:right="1766" w:hanging="686"/>
      </w:pPr>
      <w:r>
        <w:rPr>
          <w:i/>
          <w:u w:val="single" w:color="000000"/>
        </w:rPr>
        <w:t>Ventas y Prestación de Servicios</w:t>
      </w:r>
      <w:r>
        <w:rPr>
          <w:i/>
        </w:rPr>
        <w:t xml:space="preserve"> </w:t>
      </w:r>
      <w:r>
        <w:rPr>
          <w:i/>
        </w:rPr>
        <w:tab/>
        <w:t xml:space="preserve">         = 1 %.</w:t>
      </w:r>
      <w:r>
        <w:rPr>
          <w:rFonts w:ascii="Times New Roman" w:eastAsia="Times New Roman" w:hAnsi="Times New Roman" w:cs="Times New Roman"/>
          <w:sz w:val="24"/>
        </w:rPr>
        <w:t xml:space="preserve"> </w:t>
      </w:r>
      <w:r>
        <w:rPr>
          <w:i/>
        </w:rPr>
        <w:t xml:space="preserve">             Ingresos de Gestión Ordinaria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numPr>
          <w:ilvl w:val="0"/>
          <w:numId w:val="11"/>
        </w:numPr>
        <w:spacing w:after="0" w:line="259" w:lineRule="auto"/>
        <w:ind w:left="964" w:right="1766" w:hanging="686"/>
      </w:pPr>
      <w:r>
        <w:rPr>
          <w:i/>
          <w:u w:val="single" w:color="000000"/>
        </w:rPr>
        <w:t>Resto Ingresos (Otros Ingresos de Gestión Ordinarias)</w:t>
      </w:r>
      <w:r>
        <w:rPr>
          <w:i/>
        </w:rPr>
        <w:t xml:space="preserve"> = 1 %.</w:t>
      </w:r>
      <w:r>
        <w:rPr>
          <w:rFonts w:ascii="Times New Roman" w:eastAsia="Times New Roman" w:hAnsi="Times New Roman" w:cs="Times New Roman"/>
          <w:sz w:val="24"/>
        </w:rPr>
        <w:t xml:space="preserve"> </w:t>
      </w:r>
    </w:p>
    <w:p w:rsidR="00DA121A" w:rsidRDefault="00904DD6">
      <w:pPr>
        <w:spacing w:after="11" w:line="248" w:lineRule="auto"/>
        <w:ind w:left="288" w:right="145"/>
      </w:pPr>
      <w:r>
        <w:rPr>
          <w:i/>
        </w:rPr>
        <w:t xml:space="preserve">            Ingresos de Gestión Ordinaria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6" w:line="248" w:lineRule="auto"/>
        <w:ind w:left="279" w:right="424"/>
      </w:pPr>
      <w:r>
        <w:rPr>
          <w:b/>
          <w:i/>
        </w:rPr>
        <w:t>2.- Estrutura de Gastos de Gestión Ordinaria</w:t>
      </w:r>
      <w:r>
        <w:rPr>
          <w:i/>
        </w:rPr>
        <w:t>:</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numPr>
          <w:ilvl w:val="0"/>
          <w:numId w:val="12"/>
        </w:numPr>
        <w:spacing w:after="0" w:line="248" w:lineRule="auto"/>
        <w:ind w:left="964" w:right="3279" w:hanging="686"/>
      </w:pPr>
      <w:r>
        <w:rPr>
          <w:i/>
          <w:u w:val="single" w:color="000000"/>
        </w:rPr>
        <w:t>Gastos de Personal</w:t>
      </w:r>
      <w:r>
        <w:rPr>
          <w:i/>
        </w:rPr>
        <w:t xml:space="preserve">          = 47 %.</w:t>
      </w:r>
      <w:r>
        <w:rPr>
          <w:rFonts w:ascii="Times New Roman" w:eastAsia="Times New Roman" w:hAnsi="Times New Roman" w:cs="Times New Roman"/>
          <w:sz w:val="24"/>
        </w:rPr>
        <w:t xml:space="preserve"> </w:t>
      </w:r>
      <w:r>
        <w:rPr>
          <w:i/>
        </w:rPr>
        <w:t xml:space="preserve">         </w:t>
      </w:r>
      <w:r>
        <w:rPr>
          <w:i/>
        </w:rPr>
        <w:t xml:space="preserve">Gastos de Gestión Ordinaria                </w:t>
      </w:r>
    </w:p>
    <w:p w:rsidR="00DA121A" w:rsidRDefault="00904DD6">
      <w:pPr>
        <w:spacing w:after="0" w:line="259" w:lineRule="auto"/>
        <w:ind w:left="644" w:firstLine="0"/>
        <w:jc w:val="left"/>
      </w:pPr>
      <w:r>
        <w:rPr>
          <w:i/>
        </w:rPr>
        <w:t xml:space="preserve"> </w:t>
      </w:r>
    </w:p>
    <w:p w:rsidR="00DA121A" w:rsidRDefault="00904DD6">
      <w:pPr>
        <w:numPr>
          <w:ilvl w:val="0"/>
          <w:numId w:val="12"/>
        </w:numPr>
        <w:spacing w:after="11" w:line="248" w:lineRule="auto"/>
        <w:ind w:left="964" w:right="3279" w:hanging="686"/>
      </w:pPr>
      <w:r>
        <w:rPr>
          <w:i/>
          <w:u w:val="single" w:color="000000"/>
        </w:rPr>
        <w:t>Transferencias</w:t>
      </w:r>
      <w:r>
        <w:rPr>
          <w:i/>
        </w:rPr>
        <w:t xml:space="preserve">         =      12 %.</w:t>
      </w:r>
      <w:r>
        <w:rPr>
          <w:rFonts w:ascii="Times New Roman" w:eastAsia="Times New Roman" w:hAnsi="Times New Roman" w:cs="Times New Roman"/>
          <w:sz w:val="24"/>
        </w:rPr>
        <w:t xml:space="preserve"> </w:t>
      </w:r>
    </w:p>
    <w:p w:rsidR="00DA121A" w:rsidRDefault="00904DD6">
      <w:pPr>
        <w:spacing w:after="11" w:line="248" w:lineRule="auto"/>
        <w:ind w:left="288" w:right="145"/>
      </w:pPr>
      <w:r>
        <w:rPr>
          <w:i/>
        </w:rPr>
        <w:t xml:space="preserve">         Gastsos de Gestión Ordinaria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numPr>
          <w:ilvl w:val="0"/>
          <w:numId w:val="12"/>
        </w:numPr>
        <w:spacing w:after="0" w:line="248" w:lineRule="auto"/>
        <w:ind w:left="964" w:right="3279" w:hanging="686"/>
      </w:pPr>
      <w:r>
        <w:rPr>
          <w:i/>
          <w:u w:val="single" w:color="000000"/>
        </w:rPr>
        <w:t>Aprovisionamientos</w:t>
      </w:r>
      <w:r>
        <w:rPr>
          <w:i/>
        </w:rPr>
        <w:t xml:space="preserve">          =   0 %.</w:t>
      </w:r>
      <w:r>
        <w:rPr>
          <w:rFonts w:ascii="Times New Roman" w:eastAsia="Times New Roman" w:hAnsi="Times New Roman" w:cs="Times New Roman"/>
          <w:sz w:val="24"/>
        </w:rPr>
        <w:t xml:space="preserve"> </w:t>
      </w:r>
      <w:r>
        <w:rPr>
          <w:i/>
        </w:rPr>
        <w:t xml:space="preserve">         Gastos de Gestión Ordinaria                </w:t>
      </w:r>
    </w:p>
    <w:p w:rsidR="00DA121A" w:rsidRDefault="00904DD6">
      <w:pPr>
        <w:spacing w:after="0" w:line="259" w:lineRule="auto"/>
        <w:ind w:left="644" w:firstLine="0"/>
        <w:jc w:val="left"/>
      </w:pPr>
      <w:r>
        <w:rPr>
          <w:i/>
        </w:rPr>
        <w:t xml:space="preserve"> </w:t>
      </w:r>
    </w:p>
    <w:p w:rsidR="00DA121A" w:rsidRDefault="00904DD6">
      <w:pPr>
        <w:numPr>
          <w:ilvl w:val="0"/>
          <w:numId w:val="12"/>
        </w:numPr>
        <w:spacing w:after="0" w:line="248" w:lineRule="auto"/>
        <w:ind w:left="964" w:right="3279" w:hanging="686"/>
      </w:pPr>
      <w:r>
        <w:rPr>
          <w:i/>
          <w:u w:val="single" w:color="000000"/>
        </w:rPr>
        <w:t>Resto Gastos (Otros Gastos de Gestió</w:t>
      </w:r>
      <w:r>
        <w:rPr>
          <w:i/>
          <w:u w:val="single" w:color="000000"/>
        </w:rPr>
        <w:t>n Ordinarias)</w:t>
      </w:r>
      <w:r>
        <w:rPr>
          <w:i/>
        </w:rPr>
        <w:t xml:space="preserve"> =          41 %.</w:t>
      </w:r>
      <w:r>
        <w:rPr>
          <w:rFonts w:ascii="Times New Roman" w:eastAsia="Times New Roman" w:hAnsi="Times New Roman" w:cs="Times New Roman"/>
          <w:sz w:val="24"/>
        </w:rPr>
        <w:t xml:space="preserve"> </w:t>
      </w:r>
      <w:r>
        <w:rPr>
          <w:i/>
        </w:rPr>
        <w:t xml:space="preserve">            Ingresos de Gestión Ordinaria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i/>
        </w:rPr>
        <w:t xml:space="preserve"> </w:t>
      </w:r>
    </w:p>
    <w:p w:rsidR="00DA121A" w:rsidRDefault="00904DD6">
      <w:pPr>
        <w:spacing w:after="0" w:line="259" w:lineRule="auto"/>
        <w:ind w:left="279"/>
        <w:jc w:val="left"/>
      </w:pPr>
      <w:r>
        <w:rPr>
          <w:b/>
          <w:i/>
        </w:rPr>
        <w:t xml:space="preserve">3.- Cobertura de Gastos Corrientes: </w:t>
      </w:r>
      <w:r>
        <w:rPr>
          <w:i/>
          <w:u w:val="single" w:color="000000"/>
        </w:rPr>
        <w:t xml:space="preserve">Gastos de Gestión Ordinaria  </w:t>
      </w:r>
      <w:r>
        <w:rPr>
          <w:i/>
        </w:rPr>
        <w:t xml:space="preserve">   =   </w:t>
      </w:r>
      <w:r>
        <w:rPr>
          <w:i/>
          <w:u w:val="single" w:color="000000"/>
        </w:rPr>
        <w:t xml:space="preserve">23.695.229,18  </w:t>
      </w:r>
      <w:r>
        <w:rPr>
          <w:i/>
        </w:rPr>
        <w:t xml:space="preserve">  = 74 %</w:t>
      </w:r>
      <w:r>
        <w:rPr>
          <w:rFonts w:ascii="Times New Roman" w:eastAsia="Times New Roman" w:hAnsi="Times New Roman" w:cs="Times New Roman"/>
          <w:sz w:val="24"/>
        </w:rPr>
        <w:t xml:space="preserve"> </w:t>
      </w:r>
    </w:p>
    <w:p w:rsidR="00DA121A" w:rsidRDefault="00904DD6">
      <w:pPr>
        <w:tabs>
          <w:tab w:val="center" w:pos="284"/>
          <w:tab w:val="center" w:pos="992"/>
          <w:tab w:val="center" w:pos="1700"/>
          <w:tab w:val="center" w:pos="2408"/>
          <w:tab w:val="center" w:pos="5868"/>
        </w:tabs>
        <w:spacing w:after="11" w:line="248" w:lineRule="auto"/>
        <w:ind w:left="0" w:firstLine="0"/>
        <w:jc w:val="left"/>
      </w:pPr>
      <w:r>
        <w:rPr>
          <w:rFonts w:ascii="Calibri" w:eastAsia="Calibri" w:hAnsi="Calibri" w:cs="Calibri"/>
        </w:rPr>
        <w:tab/>
      </w:r>
      <w:r>
        <w:rPr>
          <w:b/>
          <w:i/>
        </w:rPr>
        <w:t xml:space="preserve"> </w:t>
      </w:r>
      <w:r>
        <w:rPr>
          <w:b/>
          <w:i/>
        </w:rPr>
        <w:tab/>
        <w:t xml:space="preserve"> </w:t>
      </w:r>
      <w:r>
        <w:rPr>
          <w:b/>
          <w:i/>
        </w:rPr>
        <w:tab/>
        <w:t xml:space="preserve"> </w:t>
      </w:r>
      <w:r>
        <w:rPr>
          <w:b/>
          <w:i/>
        </w:rPr>
        <w:tab/>
        <w:t xml:space="preserve"> </w:t>
      </w:r>
      <w:r>
        <w:rPr>
          <w:b/>
          <w:i/>
        </w:rPr>
        <w:tab/>
        <w:t xml:space="preserve">  </w:t>
      </w:r>
      <w:r>
        <w:rPr>
          <w:i/>
        </w:rPr>
        <w:t xml:space="preserve">      Ingresos de Gestión O</w:t>
      </w:r>
      <w:r>
        <w:rPr>
          <w:i/>
        </w:rPr>
        <w:t>rdinaria           31.991.890,59</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tabs>
          <w:tab w:val="center" w:pos="284"/>
          <w:tab w:val="center" w:pos="2337"/>
        </w:tabs>
        <w:ind w:left="0" w:firstLine="0"/>
        <w:jc w:val="left"/>
      </w:pPr>
      <w:r>
        <w:rPr>
          <w:rFonts w:ascii="Calibri" w:eastAsia="Calibri" w:hAnsi="Calibri" w:cs="Calibri"/>
        </w:rPr>
        <w:tab/>
      </w:r>
      <w:r>
        <w:t xml:space="preserve"> </w:t>
      </w:r>
      <w:r>
        <w:tab/>
        <w:t xml:space="preserve">Cae 4 puntos porcentuales.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pStyle w:val="Ttulo2"/>
        <w:spacing w:line="259" w:lineRule="auto"/>
        <w:ind w:left="279" w:right="0"/>
        <w:jc w:val="left"/>
      </w:pPr>
      <w:r>
        <w:rPr>
          <w:i/>
          <w:u w:val="single" w:color="000000"/>
        </w:rPr>
        <w:t>Indicadores Presupuestarios</w:t>
      </w:r>
      <w:r>
        <w:rPr>
          <w:i/>
        </w:rPr>
        <w:t xml:space="preserve"> </w:t>
      </w:r>
    </w:p>
    <w:p w:rsidR="00DA121A" w:rsidRDefault="00904DD6">
      <w:pPr>
        <w:spacing w:after="0" w:line="259" w:lineRule="auto"/>
        <w:ind w:left="284" w:firstLine="0"/>
        <w:jc w:val="left"/>
      </w:pPr>
      <w:r>
        <w:t xml:space="preserve"> </w:t>
      </w:r>
    </w:p>
    <w:p w:rsidR="00DA121A" w:rsidRDefault="00904DD6">
      <w:pPr>
        <w:tabs>
          <w:tab w:val="center" w:pos="284"/>
          <w:tab w:val="center" w:pos="2031"/>
        </w:tabs>
        <w:ind w:left="0" w:firstLine="0"/>
        <w:jc w:val="left"/>
      </w:pPr>
      <w:r>
        <w:rPr>
          <w:rFonts w:ascii="Calibri" w:eastAsia="Calibri" w:hAnsi="Calibri" w:cs="Calibri"/>
        </w:rPr>
        <w:tab/>
      </w:r>
      <w:r>
        <w:t xml:space="preserve"> </w:t>
      </w:r>
      <w:r>
        <w:tab/>
        <w:t xml:space="preserve">A) Ejercicio Corriente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 xml:space="preserve">1.- </w:t>
      </w:r>
      <w:r>
        <w:rPr>
          <w:i/>
        </w:rPr>
        <w:t>Ejecución del Presupuesto de Gastos</w:t>
      </w:r>
      <w:r>
        <w:t xml:space="preserve"> =</w:t>
      </w:r>
      <w:r>
        <w:rPr>
          <w:u w:val="single" w:color="000000"/>
        </w:rPr>
        <w:t>Obligaciones Reconocidas Netas</w:t>
      </w:r>
      <w:r>
        <w:t xml:space="preserve">  = </w:t>
      </w:r>
      <w:r>
        <w:rPr>
          <w:u w:val="single" w:color="000000"/>
        </w:rPr>
        <w:t xml:space="preserve">26.639.171,84 </w:t>
      </w:r>
      <w:r>
        <w:t xml:space="preserve">= 50 % </w:t>
      </w:r>
      <w:r>
        <w:rPr>
          <w:rFonts w:ascii="Times New Roman" w:eastAsia="Times New Roman" w:hAnsi="Times New Roman" w:cs="Times New Roman"/>
          <w:sz w:val="24"/>
        </w:rPr>
        <w:t xml:space="preserve"> </w:t>
      </w:r>
    </w:p>
    <w:p w:rsidR="00DA121A" w:rsidRDefault="00904DD6">
      <w:pPr>
        <w:tabs>
          <w:tab w:val="center" w:pos="284"/>
          <w:tab w:val="center" w:pos="992"/>
          <w:tab w:val="center" w:pos="1700"/>
          <w:tab w:val="center" w:pos="2408"/>
          <w:tab w:val="center" w:pos="6113"/>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Créditos Definitivos                        53.296.387,84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tabs>
          <w:tab w:val="center" w:pos="284"/>
          <w:tab w:val="center" w:pos="1916"/>
        </w:tabs>
        <w:ind w:left="0" w:firstLine="0"/>
        <w:jc w:val="left"/>
      </w:pPr>
      <w:r>
        <w:rPr>
          <w:rFonts w:ascii="Calibri" w:eastAsia="Calibri" w:hAnsi="Calibri" w:cs="Calibri"/>
        </w:rPr>
        <w:tab/>
      </w:r>
      <w:r>
        <w:t xml:space="preserve"> </w:t>
      </w:r>
      <w:r>
        <w:tab/>
        <w:t xml:space="preserve">Ha caído 8 puntos.  </w:t>
      </w:r>
    </w:p>
    <w:p w:rsidR="00DA121A" w:rsidRDefault="00904DD6">
      <w:pPr>
        <w:spacing w:after="0" w:line="259" w:lineRule="auto"/>
        <w:ind w:left="284" w:firstLine="0"/>
        <w:jc w:val="left"/>
      </w:pPr>
      <w:r>
        <w:t xml:space="preserve"> </w:t>
      </w:r>
    </w:p>
    <w:p w:rsidR="00DA121A" w:rsidRDefault="00904DD6">
      <w:pPr>
        <w:ind w:left="288" w:right="146"/>
      </w:pPr>
      <w:r>
        <w:t xml:space="preserve">Se trata de un nivel de ejecución de gastos medio.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 xml:space="preserve">2.- </w:t>
      </w:r>
      <w:r>
        <w:rPr>
          <w:i/>
        </w:rPr>
        <w:t>Realización de Pagos</w:t>
      </w:r>
      <w:r>
        <w:t xml:space="preserve"> =  </w:t>
      </w:r>
      <w:r>
        <w:rPr>
          <w:u w:val="single" w:color="000000"/>
        </w:rPr>
        <w:t>Pagos Líquidos</w:t>
      </w:r>
      <w:r>
        <w:t xml:space="preserve">              =         </w:t>
      </w:r>
      <w:r>
        <w:rPr>
          <w:u w:val="single" w:color="000000"/>
        </w:rPr>
        <w:t xml:space="preserve">23.586.473,71 </w:t>
      </w:r>
      <w:r>
        <w:t xml:space="preserve">=89 %. </w:t>
      </w:r>
      <w:r>
        <w:rPr>
          <w:rFonts w:ascii="Times New Roman" w:eastAsia="Times New Roman" w:hAnsi="Times New Roman" w:cs="Times New Roman"/>
          <w:sz w:val="24"/>
        </w:rPr>
        <w:t xml:space="preserve"> </w:t>
      </w:r>
    </w:p>
    <w:p w:rsidR="00DA121A" w:rsidRDefault="00904DD6">
      <w:pPr>
        <w:tabs>
          <w:tab w:val="center" w:pos="284"/>
          <w:tab w:val="center" w:pos="992"/>
          <w:tab w:val="center" w:pos="1700"/>
          <w:tab w:val="center" w:pos="5038"/>
        </w:tabs>
        <w:ind w:left="0" w:firstLine="0"/>
        <w:jc w:val="left"/>
      </w:pPr>
      <w:r>
        <w:rPr>
          <w:rFonts w:ascii="Calibri" w:eastAsia="Calibri" w:hAnsi="Calibri" w:cs="Calibri"/>
        </w:rPr>
        <w:tab/>
      </w:r>
      <w:r>
        <w:t xml:space="preserve"> </w:t>
      </w:r>
      <w:r>
        <w:tab/>
        <w:t xml:space="preserve"> </w:t>
      </w:r>
      <w:r>
        <w:tab/>
        <w:t xml:space="preserve"> </w:t>
      </w:r>
      <w:r>
        <w:tab/>
        <w:t xml:space="preserve">    Obligaciones Reconocidas Netas      26.639.171,84 </w:t>
      </w:r>
    </w:p>
    <w:p w:rsidR="00DA121A" w:rsidRDefault="00904DD6">
      <w:pPr>
        <w:spacing w:after="0" w:line="259" w:lineRule="auto"/>
        <w:ind w:left="284" w:firstLine="0"/>
        <w:jc w:val="left"/>
      </w:pPr>
      <w:r>
        <w:t xml:space="preserve"> </w:t>
      </w:r>
    </w:p>
    <w:p w:rsidR="00DA121A" w:rsidRDefault="00904DD6">
      <w:pPr>
        <w:tabs>
          <w:tab w:val="center" w:pos="284"/>
          <w:tab w:val="center" w:pos="4030"/>
        </w:tabs>
        <w:ind w:left="0" w:firstLine="0"/>
        <w:jc w:val="left"/>
      </w:pPr>
      <w:r>
        <w:rPr>
          <w:rFonts w:ascii="Calibri" w:eastAsia="Calibri" w:hAnsi="Calibri" w:cs="Calibri"/>
        </w:rPr>
        <w:tab/>
      </w:r>
      <w:r>
        <w:t xml:space="preserve"> </w:t>
      </w:r>
      <w:r>
        <w:tab/>
        <w:t xml:space="preserve">Cae tres puntos porcentuales con relación al ejercicio anterior.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 xml:space="preserve">3.- </w:t>
      </w:r>
      <w:r>
        <w:rPr>
          <w:i/>
        </w:rPr>
        <w:t xml:space="preserve">Gasto por Habitante </w:t>
      </w:r>
      <w:r>
        <w:t xml:space="preserve">= </w:t>
      </w:r>
      <w:r>
        <w:rPr>
          <w:u w:val="single" w:color="000000"/>
        </w:rPr>
        <w:t>Obligaciones Reconocidas Netas</w:t>
      </w:r>
      <w:r>
        <w:t xml:space="preserve"> = </w:t>
      </w:r>
      <w:r>
        <w:rPr>
          <w:u w:val="single" w:color="000000"/>
        </w:rPr>
        <w:t xml:space="preserve">26.639.171,84 </w:t>
      </w:r>
      <w:r>
        <w:t xml:space="preserve">= 881,30 Euros/ </w:t>
      </w:r>
    </w:p>
    <w:p w:rsidR="00DA121A" w:rsidRDefault="00904DD6">
      <w:pPr>
        <w:ind w:left="288" w:right="146"/>
      </w:pPr>
      <w:r>
        <w:t>Habitante</w:t>
      </w:r>
      <w:r>
        <w:rPr>
          <w:rFonts w:ascii="Times New Roman" w:eastAsia="Times New Roman" w:hAnsi="Times New Roman" w:cs="Times New Roman"/>
          <w:sz w:val="24"/>
        </w:rPr>
        <w:t xml:space="preserve"> </w:t>
      </w:r>
    </w:p>
    <w:p w:rsidR="00DA121A" w:rsidRDefault="00904DD6">
      <w:pPr>
        <w:tabs>
          <w:tab w:val="center" w:pos="284"/>
          <w:tab w:val="center" w:pos="992"/>
          <w:tab w:val="center" w:pos="1700"/>
          <w:tab w:val="center" w:pos="3665"/>
          <w:tab w:val="center" w:pos="6067"/>
        </w:tabs>
        <w:ind w:left="0" w:firstLine="0"/>
        <w:jc w:val="left"/>
      </w:pPr>
      <w:r>
        <w:rPr>
          <w:rFonts w:ascii="Calibri" w:eastAsia="Calibri" w:hAnsi="Calibri" w:cs="Calibri"/>
        </w:rPr>
        <w:tab/>
      </w:r>
      <w:r>
        <w:t xml:space="preserve"> </w:t>
      </w:r>
      <w:r>
        <w:tab/>
        <w:t xml:space="preserve"> </w:t>
      </w:r>
      <w:r>
        <w:tab/>
        <w:t xml:space="preserve"> </w:t>
      </w:r>
      <w:r>
        <w:tab/>
        <w:t xml:space="preserve">  </w:t>
      </w:r>
      <w:r>
        <w:t xml:space="preserve">            Nº de Habitantes </w:t>
      </w:r>
      <w:r>
        <w:tab/>
        <w:t xml:space="preserve">                30.227 </w:t>
      </w:r>
    </w:p>
    <w:p w:rsidR="00DA121A" w:rsidRDefault="00904DD6">
      <w:pPr>
        <w:spacing w:after="0" w:line="259" w:lineRule="auto"/>
        <w:ind w:left="284" w:firstLine="0"/>
        <w:jc w:val="left"/>
      </w:pPr>
      <w:r>
        <w:t xml:space="preserve"> </w:t>
      </w:r>
    </w:p>
    <w:p w:rsidR="00DA121A" w:rsidRDefault="00904DD6">
      <w:pPr>
        <w:ind w:left="1002" w:right="146"/>
      </w:pPr>
      <w:r>
        <w:t xml:space="preserve">Cae en 65 Euros.  </w:t>
      </w:r>
    </w:p>
    <w:p w:rsidR="00DA121A" w:rsidRDefault="00904DD6">
      <w:pPr>
        <w:spacing w:after="0" w:line="259" w:lineRule="auto"/>
        <w:ind w:left="992"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4.-</w:t>
      </w:r>
      <w:r>
        <w:rPr>
          <w:i/>
        </w:rPr>
        <w:t xml:space="preserve">Inversión Habitante </w:t>
      </w:r>
      <w:r>
        <w:t xml:space="preserve">= </w:t>
      </w:r>
      <w:r>
        <w:rPr>
          <w:u w:val="single" w:color="000000"/>
        </w:rPr>
        <w:t>Oblig.Reconoc.Netas (Capítulos VI-VII)</w:t>
      </w:r>
      <w:r>
        <w:t>=</w:t>
      </w:r>
      <w:r>
        <w:rPr>
          <w:u w:val="single" w:color="000000"/>
        </w:rPr>
        <w:t xml:space="preserve">3.033.203,67 </w:t>
      </w:r>
      <w:r>
        <w:t>= 100,35</w:t>
      </w:r>
      <w:r>
        <w:rPr>
          <w:rFonts w:ascii="Times New Roman" w:eastAsia="Times New Roman" w:hAnsi="Times New Roman" w:cs="Times New Roman"/>
          <w:sz w:val="24"/>
        </w:rPr>
        <w:t xml:space="preserve"> </w:t>
      </w:r>
      <w:r>
        <w:t>Euros/Habitante</w:t>
      </w:r>
      <w:r>
        <w:rPr>
          <w:rFonts w:ascii="Times New Roman" w:eastAsia="Times New Roman" w:hAnsi="Times New Roman" w:cs="Times New Roman"/>
          <w:sz w:val="24"/>
        </w:rPr>
        <w:t xml:space="preserve"> </w:t>
      </w:r>
    </w:p>
    <w:p w:rsidR="00DA121A" w:rsidRDefault="00904DD6">
      <w:pPr>
        <w:tabs>
          <w:tab w:val="center" w:pos="284"/>
          <w:tab w:val="center" w:pos="992"/>
          <w:tab w:val="center" w:pos="1700"/>
          <w:tab w:val="center" w:pos="2408"/>
          <w:tab w:val="center" w:pos="5199"/>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Nº de Habitantes                  30.227 </w:t>
      </w:r>
    </w:p>
    <w:p w:rsidR="00DA121A" w:rsidRDefault="00904DD6">
      <w:pPr>
        <w:spacing w:after="0" w:line="259" w:lineRule="auto"/>
        <w:ind w:left="992" w:firstLine="0"/>
        <w:jc w:val="left"/>
      </w:pPr>
      <w:r>
        <w:t xml:space="preserve"> </w:t>
      </w:r>
    </w:p>
    <w:p w:rsidR="00DA121A" w:rsidRDefault="00904DD6">
      <w:pPr>
        <w:ind w:left="278" w:right="146" w:firstLine="708"/>
      </w:pPr>
      <w:r>
        <w:t>Nos muestra este índice de inversiones por habitante la cantidad invertida en operaciones por capital que ha de repercutir en la cantidad y calidad de las infraestructuras realizadas en el municipio. Hay un crecimiento de la inversión en 40euros por habita</w:t>
      </w:r>
      <w:r>
        <w:t xml:space="preserve">nte. </w:t>
      </w:r>
    </w:p>
    <w:p w:rsidR="00DA121A" w:rsidRDefault="00904DD6">
      <w:pPr>
        <w:spacing w:after="0" w:line="259" w:lineRule="auto"/>
        <w:ind w:left="64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5.-</w:t>
      </w:r>
      <w:r>
        <w:rPr>
          <w:i/>
        </w:rPr>
        <w:t>Esfuerzo Inversor</w:t>
      </w:r>
      <w:r>
        <w:t xml:space="preserve"> = </w:t>
      </w:r>
      <w:r>
        <w:rPr>
          <w:u w:val="single" w:color="000000"/>
        </w:rPr>
        <w:t>Obligaciones Reconocidas Netas ( Capítulos VI y VII )</w:t>
      </w:r>
      <w:r>
        <w:t xml:space="preserve"> = </w:t>
      </w:r>
      <w:r>
        <w:rPr>
          <w:u w:val="single" w:color="000000"/>
        </w:rPr>
        <w:t>3.033.203,67</w:t>
      </w:r>
      <w:r>
        <w:t>= 11 %</w:t>
      </w:r>
      <w:r>
        <w:rPr>
          <w:rFonts w:ascii="Times New Roman" w:eastAsia="Times New Roman" w:hAnsi="Times New Roman" w:cs="Times New Roman"/>
          <w:sz w:val="24"/>
        </w:rPr>
        <w:t xml:space="preserve"> </w:t>
      </w:r>
    </w:p>
    <w:p w:rsidR="00DA121A" w:rsidRDefault="00904DD6">
      <w:pPr>
        <w:tabs>
          <w:tab w:val="center" w:pos="284"/>
          <w:tab w:val="center" w:pos="992"/>
          <w:tab w:val="center" w:pos="1700"/>
          <w:tab w:val="center" w:pos="4029"/>
          <w:tab w:val="center" w:pos="5949"/>
          <w:tab w:val="center" w:pos="7728"/>
        </w:tabs>
        <w:ind w:left="0" w:firstLine="0"/>
        <w:jc w:val="left"/>
      </w:pPr>
      <w:r>
        <w:rPr>
          <w:rFonts w:ascii="Calibri" w:eastAsia="Calibri" w:hAnsi="Calibri" w:cs="Calibri"/>
        </w:rPr>
        <w:tab/>
      </w:r>
      <w:r>
        <w:t xml:space="preserve"> </w:t>
      </w:r>
      <w:r>
        <w:tab/>
        <w:t xml:space="preserve"> </w:t>
      </w:r>
      <w:r>
        <w:tab/>
        <w:t xml:space="preserve"> </w:t>
      </w:r>
      <w:r>
        <w:tab/>
        <w:t xml:space="preserve">Obligaciones Reconocidas Netas </w:t>
      </w:r>
      <w:r>
        <w:tab/>
        <w:t xml:space="preserve">  </w:t>
      </w:r>
      <w:r>
        <w:tab/>
        <w:t xml:space="preserve">            26.639.191,22   </w:t>
      </w:r>
    </w:p>
    <w:p w:rsidR="00DA121A" w:rsidRDefault="00904DD6">
      <w:pPr>
        <w:spacing w:after="0" w:line="259" w:lineRule="auto"/>
        <w:ind w:left="992" w:firstLine="0"/>
        <w:jc w:val="left"/>
      </w:pPr>
      <w:r>
        <w:t xml:space="preserve"> </w:t>
      </w:r>
    </w:p>
    <w:p w:rsidR="00DA121A" w:rsidRDefault="00904DD6">
      <w:pPr>
        <w:ind w:left="1002" w:right="146"/>
      </w:pPr>
      <w:r>
        <w:t xml:space="preserve">Sube cuatro puntos respecto el año anterior.  </w:t>
      </w:r>
    </w:p>
    <w:p w:rsidR="00DA121A" w:rsidRDefault="00904DD6">
      <w:pPr>
        <w:spacing w:after="0" w:line="259" w:lineRule="auto"/>
        <w:ind w:left="992" w:firstLine="0"/>
        <w:jc w:val="left"/>
      </w:pPr>
      <w:r>
        <w:t xml:space="preserve"> </w:t>
      </w:r>
    </w:p>
    <w:p w:rsidR="00DA121A" w:rsidRDefault="00904DD6">
      <w:pPr>
        <w:ind w:left="278" w:right="146" w:firstLine="708"/>
      </w:pPr>
      <w:r>
        <w:t xml:space="preserve">Es un indicador de estructura que pone de manifiesto el aumento del peso específico de los gastos de inversiones y transferencias de capital, con respecto al total de créditos gastados. Está vinculado con el indicador anterior. </w:t>
      </w:r>
    </w:p>
    <w:p w:rsidR="00DA121A" w:rsidRDefault="00904DD6">
      <w:pPr>
        <w:spacing w:after="0" w:line="259" w:lineRule="auto"/>
        <w:ind w:left="644" w:firstLine="0"/>
        <w:jc w:val="left"/>
      </w:pPr>
      <w:r>
        <w:t xml:space="preserve"> </w:t>
      </w:r>
    </w:p>
    <w:p w:rsidR="00DA121A" w:rsidRDefault="00904DD6">
      <w:pPr>
        <w:spacing w:after="0" w:line="259" w:lineRule="auto"/>
        <w:ind w:left="279" w:right="331"/>
        <w:jc w:val="left"/>
      </w:pPr>
      <w:r>
        <w:t>6.-</w:t>
      </w:r>
      <w:r>
        <w:rPr>
          <w:i/>
        </w:rPr>
        <w:t>Ejecución del Presupue</w:t>
      </w:r>
      <w:r>
        <w:rPr>
          <w:i/>
        </w:rPr>
        <w:t>sto de Ingresos</w:t>
      </w:r>
      <w:r>
        <w:t xml:space="preserve"> =  </w:t>
      </w:r>
      <w:r>
        <w:rPr>
          <w:u w:val="single" w:color="000000"/>
        </w:rPr>
        <w:t>Derechos Reconocidos Netos</w:t>
      </w:r>
      <w:r>
        <w:t xml:space="preserve"> = </w:t>
      </w:r>
      <w:r>
        <w:rPr>
          <w:u w:val="single" w:color="000000"/>
        </w:rPr>
        <w:t>32.070.218,63</w:t>
      </w:r>
      <w:r>
        <w:t>= 60 %</w:t>
      </w:r>
      <w:r>
        <w:rPr>
          <w:rFonts w:ascii="Times New Roman" w:eastAsia="Times New Roman" w:hAnsi="Times New Roman" w:cs="Times New Roman"/>
          <w:sz w:val="24"/>
        </w:rPr>
        <w:t xml:space="preserve"> </w:t>
      </w:r>
    </w:p>
    <w:p w:rsidR="00DA121A" w:rsidRDefault="00904DD6">
      <w:pPr>
        <w:tabs>
          <w:tab w:val="center" w:pos="284"/>
          <w:tab w:val="center" w:pos="992"/>
          <w:tab w:val="center" w:pos="1700"/>
          <w:tab w:val="center" w:pos="2408"/>
          <w:tab w:val="center" w:pos="3116"/>
          <w:tab w:val="center" w:pos="6306"/>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Previsiones Definitivas               53.296.387,84 </w:t>
      </w:r>
    </w:p>
    <w:p w:rsidR="00DA121A" w:rsidRDefault="00904DD6">
      <w:pPr>
        <w:spacing w:after="0" w:line="259" w:lineRule="auto"/>
        <w:ind w:left="644" w:firstLine="0"/>
        <w:jc w:val="left"/>
      </w:pPr>
      <w:r>
        <w:t xml:space="preserve"> </w:t>
      </w:r>
    </w:p>
    <w:p w:rsidR="00DA121A" w:rsidRDefault="00904DD6">
      <w:pPr>
        <w:spacing w:after="0" w:line="259" w:lineRule="auto"/>
        <w:ind w:left="992" w:firstLine="0"/>
        <w:jc w:val="left"/>
      </w:pPr>
      <w:r>
        <w:t xml:space="preserve"> </w:t>
      </w:r>
    </w:p>
    <w:p w:rsidR="00DA121A" w:rsidRDefault="00904DD6">
      <w:pPr>
        <w:ind w:left="278" w:right="146" w:firstLine="708"/>
      </w:pPr>
      <w:r>
        <w:t>Cae diez puntos en relación con el ejercicio anterior. No obstante, si quitásemos el efecto del remanente de tes</w:t>
      </w:r>
      <w:r>
        <w:t xml:space="preserve">orería que se imputa en el capítulo ocho de ingresos y que por su naturaleza no da lugar a derechos reconocidos y liquidados, este indicador de ejecución ascendería alrededor del 100 %. </w:t>
      </w:r>
    </w:p>
    <w:p w:rsidR="00DA121A" w:rsidRDefault="00904DD6">
      <w:pPr>
        <w:spacing w:after="0" w:line="259" w:lineRule="auto"/>
        <w:ind w:left="64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 xml:space="preserve">7.- </w:t>
      </w:r>
      <w:r>
        <w:rPr>
          <w:i/>
        </w:rPr>
        <w:t>Realización de Cobros</w:t>
      </w:r>
      <w:r>
        <w:t xml:space="preserve"> =                  </w:t>
      </w:r>
      <w:r>
        <w:rPr>
          <w:u w:val="single" w:color="000000"/>
        </w:rPr>
        <w:t xml:space="preserve">Recaudación Neta    </w:t>
      </w:r>
      <w:r>
        <w:rPr>
          <w:u w:val="single" w:color="000000"/>
        </w:rPr>
        <w:t xml:space="preserve">           </w:t>
      </w:r>
      <w:r>
        <w:t xml:space="preserve">= </w:t>
      </w:r>
      <w:r>
        <w:rPr>
          <w:u w:val="single" w:color="000000"/>
        </w:rPr>
        <w:t>31.867.735,74</w:t>
      </w:r>
      <w:r>
        <w:t>= 99 %</w:t>
      </w:r>
      <w:r>
        <w:rPr>
          <w:rFonts w:ascii="Times New Roman" w:eastAsia="Times New Roman" w:hAnsi="Times New Roman" w:cs="Times New Roman"/>
          <w:sz w:val="24"/>
        </w:rPr>
        <w:t xml:space="preserve"> </w:t>
      </w:r>
    </w:p>
    <w:p w:rsidR="00DA121A" w:rsidRDefault="00904DD6">
      <w:pPr>
        <w:tabs>
          <w:tab w:val="center" w:pos="284"/>
          <w:tab w:val="center" w:pos="992"/>
          <w:tab w:val="center" w:pos="1700"/>
          <w:tab w:val="center" w:pos="2408"/>
          <w:tab w:val="center" w:pos="5611"/>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Derechos Reconocidos Netos           32.070.218,63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ind w:left="278" w:right="146" w:firstLine="708"/>
      </w:pPr>
      <w:r>
        <w:t xml:space="preserve">Este indicador mide la capacidad de la Entidad Local para transformar en liquidez los derechos de cobro liquidados y vencidos, es decir, el ritmo de cobro. Se mantiene igual respecto el ejercicio 2021, este ratio. </w:t>
      </w:r>
    </w:p>
    <w:p w:rsidR="00DA121A" w:rsidRDefault="00904DD6">
      <w:pPr>
        <w:spacing w:after="0" w:line="259" w:lineRule="auto"/>
        <w:ind w:left="992" w:firstLine="0"/>
        <w:jc w:val="left"/>
      </w:pPr>
      <w:r>
        <w:t xml:space="preserve"> </w:t>
      </w:r>
    </w:p>
    <w:p w:rsidR="00DA121A" w:rsidRDefault="00904DD6">
      <w:pPr>
        <w:ind w:left="278" w:right="146" w:firstLine="708"/>
      </w:pPr>
      <w:r>
        <w:t>No obstante, se ha generado una muy bue</w:t>
      </w:r>
      <w:r>
        <w:t xml:space="preserve">na conversión en liquidez de los derechos de cobro liquidados. </w:t>
      </w:r>
    </w:p>
    <w:p w:rsidR="00DA121A" w:rsidRDefault="00904DD6">
      <w:pPr>
        <w:spacing w:after="0" w:line="259" w:lineRule="auto"/>
        <w:ind w:left="64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 xml:space="preserve">8.- </w:t>
      </w:r>
      <w:r>
        <w:rPr>
          <w:i/>
        </w:rPr>
        <w:t>Autonomía</w:t>
      </w:r>
      <w:r>
        <w:t xml:space="preserve"> = </w:t>
      </w:r>
      <w:r>
        <w:rPr>
          <w:u w:val="single" w:color="000000"/>
        </w:rPr>
        <w:t>Derechos Reconocidos Netos ( Capítulos I al VIII)</w:t>
      </w:r>
      <w:r>
        <w:t xml:space="preserve">= </w:t>
      </w:r>
      <w:r>
        <w:rPr>
          <w:u w:val="single" w:color="000000"/>
        </w:rPr>
        <w:t>24.088.716,90</w:t>
      </w:r>
      <w:r>
        <w:t>= 75 %</w:t>
      </w:r>
      <w:r>
        <w:rPr>
          <w:rFonts w:ascii="Times New Roman" w:eastAsia="Times New Roman" w:hAnsi="Times New Roman" w:cs="Times New Roman"/>
          <w:sz w:val="24"/>
        </w:rPr>
        <w:t xml:space="preserve"> </w:t>
      </w:r>
    </w:p>
    <w:p w:rsidR="00DA121A" w:rsidRDefault="00904DD6">
      <w:pPr>
        <w:tabs>
          <w:tab w:val="center" w:pos="284"/>
          <w:tab w:val="center" w:pos="992"/>
          <w:tab w:val="center" w:pos="4971"/>
        </w:tabs>
        <w:ind w:left="0" w:firstLine="0"/>
        <w:jc w:val="left"/>
      </w:pPr>
      <w:r>
        <w:rPr>
          <w:rFonts w:ascii="Calibri" w:eastAsia="Calibri" w:hAnsi="Calibri" w:cs="Calibri"/>
        </w:rPr>
        <w:tab/>
      </w:r>
      <w:r>
        <w:t xml:space="preserve"> </w:t>
      </w:r>
      <w:r>
        <w:tab/>
        <w:t xml:space="preserve"> </w:t>
      </w:r>
      <w:r>
        <w:tab/>
        <w:t xml:space="preserve">                 Derechos Reconocidos Netos Totales       32.070.218,63 </w:t>
      </w:r>
    </w:p>
    <w:p w:rsidR="00DA121A" w:rsidRDefault="00904DD6">
      <w:pPr>
        <w:spacing w:after="0" w:line="259" w:lineRule="auto"/>
        <w:ind w:left="644" w:firstLine="0"/>
        <w:jc w:val="left"/>
      </w:pPr>
      <w:r>
        <w:t xml:space="preserve"> </w:t>
      </w:r>
      <w:r>
        <w:tab/>
        <w:t xml:space="preserve"> </w:t>
      </w:r>
    </w:p>
    <w:p w:rsidR="00DA121A" w:rsidRDefault="00904DD6">
      <w:pPr>
        <w:ind w:left="278" w:right="146" w:firstLine="360"/>
      </w:pPr>
      <w:r>
        <w:t xml:space="preserve"> Este ratio reflej</w:t>
      </w:r>
      <w:r>
        <w:t>a la autonomía del Ayuntamiento en materia de ingresos propios y transferidos de otros entes públicos o privados o través de préstamos bancarios. No puede compararse con el correspondiente al ejercicio anterior, ya que en este año incluye las transferencia</w:t>
      </w:r>
      <w:r>
        <w:t xml:space="preserve">s obtenidas, a diferencia del ejercicio precedente. </w:t>
      </w:r>
    </w:p>
    <w:p w:rsidR="00DA121A" w:rsidRDefault="00904DD6">
      <w:pPr>
        <w:spacing w:after="0" w:line="259" w:lineRule="auto"/>
        <w:ind w:left="644" w:firstLine="0"/>
        <w:jc w:val="left"/>
      </w:pPr>
      <w:r>
        <w:t xml:space="preserve"> </w:t>
      </w:r>
    </w:p>
    <w:p w:rsidR="00DA121A" w:rsidRDefault="00904DD6">
      <w:pPr>
        <w:ind w:left="278" w:right="146" w:firstLine="708"/>
      </w:pPr>
      <w:r>
        <w:t xml:space="preserve">Se pone de manifiesto la alta dependencia de fondos propios para el cumplimiento de los servicios que presta el Ayuntamiento. Cae dos puntos. </w:t>
      </w:r>
    </w:p>
    <w:p w:rsidR="00DA121A" w:rsidRDefault="00904DD6">
      <w:pPr>
        <w:spacing w:after="0" w:line="259" w:lineRule="auto"/>
        <w:ind w:left="64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79" w:right="176"/>
        <w:jc w:val="left"/>
      </w:pPr>
      <w:r>
        <w:t xml:space="preserve">10.- </w:t>
      </w:r>
      <w:r>
        <w:rPr>
          <w:i/>
        </w:rPr>
        <w:t xml:space="preserve">Autonomía Fiscal = </w:t>
      </w:r>
      <w:r>
        <w:rPr>
          <w:u w:val="single" w:color="000000"/>
        </w:rPr>
        <w:t xml:space="preserve">Derechos Reconocidos Netos ( Capítulos I, II y III ) </w:t>
      </w:r>
      <w:r>
        <w:t xml:space="preserve">= </w:t>
      </w:r>
      <w:r>
        <w:rPr>
          <w:u w:val="single" w:color="000000"/>
        </w:rPr>
        <w:t xml:space="preserve">14.586.655,62      </w:t>
      </w:r>
      <w:r>
        <w:t>= 45 %</w:t>
      </w:r>
      <w:r>
        <w:rPr>
          <w:rFonts w:ascii="Times New Roman" w:eastAsia="Times New Roman" w:hAnsi="Times New Roman" w:cs="Times New Roman"/>
          <w:sz w:val="24"/>
        </w:rPr>
        <w:t xml:space="preserve"> </w:t>
      </w:r>
    </w:p>
    <w:p w:rsidR="00DA121A" w:rsidRDefault="00904DD6">
      <w:pPr>
        <w:tabs>
          <w:tab w:val="center" w:pos="284"/>
          <w:tab w:val="center" w:pos="992"/>
          <w:tab w:val="center" w:pos="5219"/>
        </w:tabs>
        <w:ind w:left="0" w:firstLine="0"/>
        <w:jc w:val="left"/>
      </w:pPr>
      <w:r>
        <w:rPr>
          <w:rFonts w:ascii="Calibri" w:eastAsia="Calibri" w:hAnsi="Calibri" w:cs="Calibri"/>
        </w:rPr>
        <w:tab/>
      </w:r>
      <w:r>
        <w:t xml:space="preserve"> </w:t>
      </w:r>
      <w:r>
        <w:tab/>
        <w:t xml:space="preserve"> </w:t>
      </w:r>
      <w:r>
        <w:tab/>
        <w:t xml:space="preserve">                   Derechos Reconocidos Netos Totales            32.070.218,63</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rPr>
          <w:i/>
        </w:rPr>
        <w:t xml:space="preserve"> </w:t>
      </w:r>
    </w:p>
    <w:p w:rsidR="00DA121A" w:rsidRDefault="00904DD6">
      <w:pPr>
        <w:tabs>
          <w:tab w:val="center" w:pos="644"/>
          <w:tab w:val="center" w:pos="3845"/>
        </w:tabs>
        <w:ind w:left="0" w:firstLine="0"/>
        <w:jc w:val="left"/>
      </w:pPr>
      <w:r>
        <w:rPr>
          <w:rFonts w:ascii="Calibri" w:eastAsia="Calibri" w:hAnsi="Calibri" w:cs="Calibri"/>
        </w:rPr>
        <w:tab/>
      </w:r>
      <w:r>
        <w:t xml:space="preserve"> </w:t>
      </w:r>
      <w:r>
        <w:tab/>
        <w:t xml:space="preserve">Cae la autonomía fiscal del Ayuntamiento en cinco puntos.  </w:t>
      </w:r>
    </w:p>
    <w:p w:rsidR="00DA121A" w:rsidRDefault="00904DD6">
      <w:pPr>
        <w:spacing w:after="0" w:line="259" w:lineRule="auto"/>
        <w:ind w:left="992" w:firstLine="0"/>
        <w:jc w:val="left"/>
      </w:pPr>
      <w:r>
        <w:t xml:space="preserve"> </w:t>
      </w:r>
    </w:p>
    <w:p w:rsidR="00DA121A" w:rsidRDefault="00904DD6">
      <w:pPr>
        <w:spacing w:after="0" w:line="259" w:lineRule="auto"/>
        <w:ind w:left="644" w:firstLine="0"/>
        <w:jc w:val="left"/>
      </w:pPr>
      <w:r>
        <w:t xml:space="preserve"> </w:t>
      </w:r>
    </w:p>
    <w:p w:rsidR="00DA121A" w:rsidRDefault="00904DD6">
      <w:pPr>
        <w:ind w:left="654" w:right="146"/>
      </w:pPr>
      <w:r>
        <w:t>11.-Superávit por Ha</w:t>
      </w:r>
      <w:r>
        <w:t>bitante=</w:t>
      </w:r>
      <w:r>
        <w:rPr>
          <w:u w:val="single" w:color="000000"/>
        </w:rPr>
        <w:t>Rdo Presupuest. Ajustado</w:t>
      </w:r>
      <w:r>
        <w:t xml:space="preserve">=  </w:t>
      </w:r>
      <w:r>
        <w:rPr>
          <w:u w:val="single" w:color="000000"/>
        </w:rPr>
        <w:t xml:space="preserve">4.928.642,86 </w:t>
      </w:r>
      <w:r>
        <w:t xml:space="preserve">=  163,05 </w:t>
      </w:r>
    </w:p>
    <w:p w:rsidR="00DA121A" w:rsidRDefault="00904DD6">
      <w:pPr>
        <w:ind w:left="288" w:right="146"/>
      </w:pPr>
      <w:r>
        <w:t>Euros/Habitante</w:t>
      </w:r>
      <w:r>
        <w:rPr>
          <w:rFonts w:ascii="Times New Roman" w:eastAsia="Times New Roman" w:hAnsi="Times New Roman" w:cs="Times New Roman"/>
          <w:sz w:val="24"/>
        </w:rPr>
        <w:t xml:space="preserve"> </w:t>
      </w:r>
    </w:p>
    <w:p w:rsidR="00DA121A" w:rsidRDefault="00904DD6">
      <w:pPr>
        <w:tabs>
          <w:tab w:val="center" w:pos="644"/>
          <w:tab w:val="center" w:pos="992"/>
          <w:tab w:val="center" w:pos="1700"/>
          <w:tab w:val="center" w:pos="2408"/>
          <w:tab w:val="center" w:pos="4853"/>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Nº de Habitantes            30.227  </w:t>
      </w:r>
    </w:p>
    <w:p w:rsidR="00DA121A" w:rsidRDefault="00904DD6">
      <w:pPr>
        <w:spacing w:after="0" w:line="259" w:lineRule="auto"/>
        <w:ind w:left="992" w:firstLine="0"/>
        <w:jc w:val="left"/>
      </w:pPr>
      <w:r>
        <w:t xml:space="preserve"> </w:t>
      </w:r>
    </w:p>
    <w:p w:rsidR="00DA121A" w:rsidRDefault="00904DD6">
      <w:pPr>
        <w:ind w:left="278" w:right="146" w:firstLine="708"/>
      </w:pPr>
      <w:r>
        <w:t>Ha subido el superávit por habitante en más de 30 Euros. Los ingresos presupuestarios han sido suficientes para dar cobertura a los gastos presupuestarios que ha motivado capacidad de financiación, constituyendo un indicador de solvencia financiera de la E</w:t>
      </w:r>
      <w:r>
        <w:t xml:space="preserve">ntidad Local. </w:t>
      </w:r>
    </w:p>
    <w:p w:rsidR="00DA121A" w:rsidRDefault="00904DD6">
      <w:pPr>
        <w:spacing w:after="0" w:line="259" w:lineRule="auto"/>
        <w:ind w:left="992" w:firstLine="0"/>
        <w:jc w:val="left"/>
      </w:pPr>
      <w:r>
        <w:t xml:space="preserve"> </w:t>
      </w:r>
    </w:p>
    <w:p w:rsidR="00DA121A" w:rsidRDefault="00904DD6">
      <w:pPr>
        <w:spacing w:after="0" w:line="259" w:lineRule="auto"/>
        <w:ind w:left="992" w:firstLine="0"/>
        <w:jc w:val="left"/>
      </w:pPr>
      <w:r>
        <w:t xml:space="preserve"> </w:t>
      </w:r>
    </w:p>
    <w:p w:rsidR="00DA121A" w:rsidRDefault="00904DD6">
      <w:pPr>
        <w:spacing w:after="0" w:line="259" w:lineRule="auto"/>
        <w:ind w:left="992" w:firstLine="0"/>
        <w:jc w:val="left"/>
      </w:pPr>
      <w:r>
        <w:t xml:space="preserve"> </w:t>
      </w:r>
    </w:p>
    <w:p w:rsidR="00DA121A" w:rsidRDefault="00904DD6">
      <w:pPr>
        <w:spacing w:after="0" w:line="259" w:lineRule="auto"/>
        <w:ind w:left="644" w:firstLine="0"/>
        <w:jc w:val="left"/>
      </w:pPr>
      <w:r>
        <w:t xml:space="preserve"> </w:t>
      </w:r>
    </w:p>
    <w:p w:rsidR="00DA121A" w:rsidRDefault="00904DD6">
      <w:pPr>
        <w:spacing w:after="0" w:line="259" w:lineRule="auto"/>
        <w:ind w:left="644" w:firstLine="0"/>
        <w:jc w:val="left"/>
      </w:pPr>
      <w:r>
        <w:t xml:space="preserve"> </w:t>
      </w:r>
    </w:p>
    <w:p w:rsidR="00DA121A" w:rsidRDefault="00904DD6">
      <w:pPr>
        <w:spacing w:after="6" w:line="248" w:lineRule="auto"/>
        <w:ind w:left="1002" w:right="424"/>
      </w:pPr>
      <w:r>
        <w:rPr>
          <w:b/>
          <w:i/>
        </w:rPr>
        <w:t xml:space="preserve">B) Ejercicio Cerrado </w:t>
      </w:r>
    </w:p>
    <w:p w:rsidR="00DA121A" w:rsidRDefault="00904DD6">
      <w:pPr>
        <w:spacing w:after="0" w:line="259" w:lineRule="auto"/>
        <w:ind w:left="644" w:firstLine="0"/>
        <w:jc w:val="left"/>
      </w:pPr>
      <w:r>
        <w:rPr>
          <w:b/>
          <w:i/>
        </w:rPr>
        <w:t xml:space="preserve"> </w:t>
      </w:r>
    </w:p>
    <w:p w:rsidR="00DA121A" w:rsidRDefault="00904DD6">
      <w:pPr>
        <w:ind w:left="654" w:right="146"/>
      </w:pPr>
      <w:r>
        <w:t xml:space="preserve">1.- Realización de Pagos =            </w:t>
      </w:r>
      <w:r>
        <w:rPr>
          <w:u w:val="single" w:color="000000"/>
        </w:rPr>
        <w:t xml:space="preserve">Pagos                        </w:t>
      </w:r>
      <w:r>
        <w:t xml:space="preserve">         =  </w:t>
      </w:r>
      <w:r>
        <w:rPr>
          <w:u w:val="single" w:color="000000"/>
        </w:rPr>
        <w:t xml:space="preserve">1.877.381,56      </w:t>
      </w:r>
      <w:r>
        <w:t>=  78 %</w:t>
      </w:r>
      <w:r>
        <w:rPr>
          <w:rFonts w:ascii="Times New Roman" w:eastAsia="Times New Roman" w:hAnsi="Times New Roman" w:cs="Times New Roman"/>
          <w:sz w:val="24"/>
        </w:rPr>
        <w:t xml:space="preserve"> </w:t>
      </w:r>
      <w:r>
        <w:t xml:space="preserve">           Saldo Inicial Obligaciones                       2.402.857,64 </w:t>
      </w:r>
    </w:p>
    <w:p w:rsidR="00DA121A" w:rsidRDefault="00904DD6">
      <w:pPr>
        <w:spacing w:after="0" w:line="259" w:lineRule="auto"/>
        <w:ind w:left="644" w:firstLine="0"/>
        <w:jc w:val="left"/>
      </w:pPr>
      <w:r>
        <w:t xml:space="preserve"> </w:t>
      </w:r>
    </w:p>
    <w:p w:rsidR="00DA121A" w:rsidRDefault="00904DD6">
      <w:pPr>
        <w:tabs>
          <w:tab w:val="center" w:pos="644"/>
          <w:tab w:val="center" w:pos="3071"/>
        </w:tabs>
        <w:ind w:left="0" w:firstLine="0"/>
        <w:jc w:val="left"/>
      </w:pPr>
      <w:r>
        <w:rPr>
          <w:rFonts w:ascii="Calibri" w:eastAsia="Calibri" w:hAnsi="Calibri" w:cs="Calibri"/>
        </w:rPr>
        <w:tab/>
      </w:r>
      <w:r>
        <w:t xml:space="preserve"> </w:t>
      </w:r>
      <w:r>
        <w:tab/>
      </w:r>
      <w:r>
        <w:t xml:space="preserve">Mejora quince puntos respecto en el 2021. </w:t>
      </w:r>
    </w:p>
    <w:p w:rsidR="00DA121A" w:rsidRDefault="00904DD6">
      <w:pPr>
        <w:spacing w:after="0" w:line="259" w:lineRule="auto"/>
        <w:ind w:left="644" w:firstLine="0"/>
        <w:jc w:val="left"/>
      </w:pPr>
      <w:r>
        <w:t xml:space="preserve"> </w:t>
      </w:r>
    </w:p>
    <w:p w:rsidR="00DA121A" w:rsidRDefault="00904DD6">
      <w:pPr>
        <w:spacing w:after="0" w:line="259" w:lineRule="auto"/>
        <w:ind w:left="644" w:firstLine="0"/>
        <w:jc w:val="left"/>
      </w:pPr>
      <w:r>
        <w:t xml:space="preserve"> </w:t>
      </w:r>
    </w:p>
    <w:p w:rsidR="00DA121A" w:rsidRDefault="00904DD6">
      <w:pPr>
        <w:tabs>
          <w:tab w:val="center" w:pos="2005"/>
          <w:tab w:val="center" w:pos="7072"/>
        </w:tabs>
        <w:ind w:left="0" w:firstLine="0"/>
        <w:jc w:val="left"/>
      </w:pPr>
      <w:r>
        <w:rPr>
          <w:rFonts w:ascii="Calibri" w:eastAsia="Calibri" w:hAnsi="Calibri" w:cs="Calibri"/>
        </w:rPr>
        <w:tab/>
      </w:r>
      <w:r>
        <w:t xml:space="preserve">2.- Realización de Cobros =            </w:t>
      </w:r>
      <w:r>
        <w:tab/>
        <w:t xml:space="preserve"> </w:t>
      </w:r>
      <w:r>
        <w:rPr>
          <w:u w:val="single" w:color="000000"/>
        </w:rPr>
        <w:t>Cobros</w:t>
      </w:r>
      <w:r>
        <w:t xml:space="preserve">                                   = </w:t>
      </w:r>
      <w:r>
        <w:rPr>
          <w:u w:val="single" w:color="000000"/>
        </w:rPr>
        <w:t xml:space="preserve">386.296,98    </w:t>
      </w:r>
      <w:r>
        <w:t>= 4  %</w:t>
      </w:r>
      <w:r>
        <w:rPr>
          <w:rFonts w:ascii="Times New Roman" w:eastAsia="Times New Roman" w:hAnsi="Times New Roman" w:cs="Times New Roman"/>
          <w:sz w:val="24"/>
        </w:rPr>
        <w:t xml:space="preserve"> </w:t>
      </w:r>
    </w:p>
    <w:p w:rsidR="00DA121A" w:rsidRDefault="00904DD6">
      <w:pPr>
        <w:tabs>
          <w:tab w:val="center" w:pos="644"/>
          <w:tab w:val="center" w:pos="992"/>
          <w:tab w:val="center" w:pos="1700"/>
          <w:tab w:val="center" w:pos="2408"/>
          <w:tab w:val="center" w:pos="5709"/>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Saldo Inicial Derechos                          10.649.033,30 </w:t>
      </w:r>
    </w:p>
    <w:p w:rsidR="00DA121A" w:rsidRDefault="00904DD6">
      <w:pPr>
        <w:spacing w:after="0" w:line="259" w:lineRule="auto"/>
        <w:ind w:left="644" w:firstLine="0"/>
        <w:jc w:val="left"/>
      </w:pPr>
      <w:r>
        <w:t xml:space="preserve"> </w:t>
      </w:r>
    </w:p>
    <w:p w:rsidR="00DA121A" w:rsidRDefault="00904DD6">
      <w:pPr>
        <w:spacing w:after="0" w:line="259" w:lineRule="auto"/>
        <w:ind w:left="644" w:firstLine="0"/>
        <w:jc w:val="left"/>
      </w:pPr>
      <w:r>
        <w:t xml:space="preserve"> </w:t>
      </w:r>
    </w:p>
    <w:p w:rsidR="00DA121A" w:rsidRDefault="00904DD6">
      <w:pPr>
        <w:tabs>
          <w:tab w:val="center" w:pos="644"/>
          <w:tab w:val="center" w:pos="4532"/>
        </w:tabs>
        <w:ind w:left="0" w:firstLine="0"/>
        <w:jc w:val="left"/>
      </w:pPr>
      <w:r>
        <w:rPr>
          <w:rFonts w:ascii="Calibri" w:eastAsia="Calibri" w:hAnsi="Calibri" w:cs="Calibri"/>
        </w:rPr>
        <w:tab/>
      </w:r>
      <w:r>
        <w:t xml:space="preserve"> </w:t>
      </w:r>
      <w:r>
        <w:tab/>
      </w:r>
      <w:r>
        <w:t xml:space="preserve">Sube un punto porcentual, por la mejor recaudación en el ejercicio 2022. </w:t>
      </w:r>
    </w:p>
    <w:p w:rsidR="00DA121A" w:rsidRDefault="00904DD6">
      <w:pPr>
        <w:spacing w:after="0" w:line="259" w:lineRule="auto"/>
        <w:ind w:left="644" w:firstLine="0"/>
        <w:jc w:val="left"/>
      </w:pPr>
      <w:r>
        <w:t xml:space="preserve"> </w:t>
      </w:r>
    </w:p>
    <w:p w:rsidR="00DA121A" w:rsidRDefault="00904DD6">
      <w:pPr>
        <w:ind w:left="278" w:right="146" w:firstLine="360"/>
      </w:pPr>
      <w:r>
        <w:t xml:space="preserve"> Del examen de estos indicadores financieros y presupuestarios, se puede extraer que han empeorado los ratios vinculados al gasto, endeudamiento y liquidez. </w:t>
      </w:r>
    </w:p>
    <w:p w:rsidR="00DA121A" w:rsidRDefault="00904DD6">
      <w:pPr>
        <w:spacing w:after="0" w:line="259" w:lineRule="auto"/>
        <w:ind w:left="644" w:firstLine="0"/>
        <w:jc w:val="left"/>
      </w:pPr>
      <w:r>
        <w:t xml:space="preserve"> </w:t>
      </w:r>
    </w:p>
    <w:p w:rsidR="00DA121A" w:rsidRDefault="00904DD6">
      <w:pPr>
        <w:spacing w:after="114"/>
        <w:ind w:left="278" w:right="146" w:firstLine="350"/>
      </w:pPr>
      <w:r>
        <w:t>No obstante, ha mejo</w:t>
      </w:r>
      <w:r>
        <w:t xml:space="preserve">rado las magnitudes presupuestarias como el Resultado Presupuestario, Ahorro Neto, Remanente de Tesorería y Endeudamiento a largo plazo, que han permitido estar en una buena situación económica. </w:t>
      </w:r>
    </w:p>
    <w:p w:rsidR="00DA121A" w:rsidRDefault="00904DD6">
      <w:pPr>
        <w:spacing w:after="0" w:line="259" w:lineRule="auto"/>
        <w:ind w:left="992" w:firstLine="0"/>
        <w:jc w:val="left"/>
      </w:pPr>
      <w:r>
        <w:t xml:space="preserve"> </w:t>
      </w:r>
    </w:p>
    <w:p w:rsidR="00DA121A" w:rsidRDefault="00904DD6">
      <w:pPr>
        <w:ind w:left="278" w:right="146" w:firstLine="708"/>
      </w:pPr>
      <w:r>
        <w:t>Por tanto, en cumplimiento del ejercicio de Control Intern</w:t>
      </w:r>
      <w:r>
        <w:t xml:space="preserve">o, en su modalidad de Control Financiero, este Interventor informe favorablemente, el expediente de Liquidación del Presupuesto del ejercicio 2022.” </w:t>
      </w:r>
    </w:p>
    <w:p w:rsidR="00DA121A" w:rsidRDefault="00904DD6">
      <w:pPr>
        <w:spacing w:after="0" w:line="259" w:lineRule="auto"/>
        <w:ind w:left="644" w:firstLine="0"/>
        <w:jc w:val="left"/>
      </w:pPr>
      <w:r>
        <w:t xml:space="preserve"> </w:t>
      </w:r>
    </w:p>
    <w:p w:rsidR="00DA121A" w:rsidRDefault="00904DD6">
      <w:pPr>
        <w:spacing w:after="0" w:line="250" w:lineRule="auto"/>
        <w:ind w:left="279" w:right="149"/>
      </w:pPr>
      <w:r>
        <w:rPr>
          <w:b/>
          <w:sz w:val="24"/>
        </w:rPr>
        <w:t xml:space="preserve">    </w:t>
      </w:r>
      <w:r>
        <w:rPr>
          <w:b/>
          <w:sz w:val="24"/>
        </w:rPr>
        <w:t xml:space="preserve">Consta en el expediente propuesta del Concejal delegado de Hacienda, D. Airam Pérez Chinea, de fecha 20 de marzo de 2023, que transcrito literalmente dice: </w:t>
      </w:r>
    </w:p>
    <w:p w:rsidR="00DA121A" w:rsidRDefault="00904DD6">
      <w:pPr>
        <w:spacing w:after="0" w:line="259" w:lineRule="auto"/>
        <w:ind w:left="284" w:firstLine="0"/>
        <w:jc w:val="left"/>
      </w:pPr>
      <w:r>
        <w:rPr>
          <w:b/>
          <w:sz w:val="24"/>
        </w:rPr>
        <w:t xml:space="preserve"> </w:t>
      </w:r>
    </w:p>
    <w:p w:rsidR="00DA121A" w:rsidRDefault="00904DD6">
      <w:pPr>
        <w:spacing w:after="19" w:line="259" w:lineRule="auto"/>
        <w:ind w:left="284" w:firstLine="0"/>
        <w:jc w:val="left"/>
      </w:pPr>
      <w:r>
        <w:rPr>
          <w:b/>
        </w:rPr>
        <w:t xml:space="preserve"> </w:t>
      </w:r>
    </w:p>
    <w:p w:rsidR="00DA121A" w:rsidRDefault="00904DD6">
      <w:pPr>
        <w:pStyle w:val="Ttulo2"/>
        <w:ind w:right="1085"/>
      </w:pPr>
      <w:r>
        <w:t xml:space="preserve">“PROPUESTA DEL CONCEJAL DELEGADO DE HACIENDA </w:t>
      </w:r>
    </w:p>
    <w:p w:rsidR="00DA121A" w:rsidRDefault="00904DD6">
      <w:pPr>
        <w:spacing w:after="0" w:line="259" w:lineRule="auto"/>
        <w:ind w:left="284" w:firstLine="0"/>
        <w:jc w:val="left"/>
      </w:pPr>
      <w:r>
        <w:rPr>
          <w:b/>
        </w:rPr>
        <w:t xml:space="preserve"> </w:t>
      </w:r>
    </w:p>
    <w:p w:rsidR="00DA121A" w:rsidRDefault="00904DD6">
      <w:pPr>
        <w:spacing w:after="126"/>
        <w:ind w:left="279" w:right="144"/>
      </w:pPr>
      <w:r>
        <w:rPr>
          <w:b/>
        </w:rPr>
        <w:t>Asunto:  DACIÓN DE CUENTA AL PLENO DE LA LIQUID</w:t>
      </w:r>
      <w:r>
        <w:rPr>
          <w:b/>
        </w:rPr>
        <w:t>ACIÓN DEL PRESUPUESTO 2022</w:t>
      </w:r>
      <w: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65976" name="Group 265976"/>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0285" name="Shape 10285"/>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5976" style="width:477.1pt;height:2.04pt;mso-position-horizontal-relative:char;mso-position-vertical-relative:line" coordsize="60591,259">
                <v:shape id="Shape 10285" style="position:absolute;width:60591;height:0;left:0;top:0;" coordsize="6059170,0" path="m0,0l6059170,0">
                  <v:stroke weight="2.04pt" endcap="square" joinstyle="miter" miterlimit="10" on="true" color="#993366"/>
                  <v:fill on="false" color="#000000" opacity="0"/>
                </v:shape>
              </v:group>
            </w:pict>
          </mc:Fallback>
        </mc:AlternateContent>
      </w:r>
    </w:p>
    <w:p w:rsidR="00DA121A" w:rsidRDefault="00904DD6">
      <w:pPr>
        <w:spacing w:after="0" w:line="259" w:lineRule="auto"/>
        <w:ind w:left="716" w:firstLine="0"/>
        <w:jc w:val="left"/>
      </w:pPr>
      <w:r>
        <w:rPr>
          <w:b/>
        </w:rPr>
        <w:t xml:space="preserve"> </w:t>
      </w:r>
    </w:p>
    <w:p w:rsidR="00DA121A" w:rsidRDefault="00904DD6">
      <w:pPr>
        <w:spacing w:after="0" w:line="259" w:lineRule="auto"/>
        <w:ind w:left="284" w:firstLine="0"/>
        <w:jc w:val="left"/>
      </w:pPr>
      <w:r>
        <w:t xml:space="preserve"> </w:t>
      </w:r>
      <w:r>
        <w:tab/>
        <w:t xml:space="preserve"> </w:t>
      </w:r>
    </w:p>
    <w:p w:rsidR="00DA121A" w:rsidRDefault="00904DD6">
      <w:pPr>
        <w:ind w:left="278" w:right="146" w:firstLine="708"/>
      </w:pPr>
      <w:r>
        <w:t>El cierre y liquidación del Presupuesto, que se efectuará, en cuanto a la recaudación de derechos y el pago de obligaciones, el 31 de diciembre del año natural.</w:t>
      </w:r>
      <w:r>
        <w:rPr>
          <w:rFonts w:ascii="Times New Roman" w:eastAsia="Times New Roman" w:hAnsi="Times New Roman" w:cs="Times New Roman"/>
          <w:sz w:val="24"/>
        </w:rPr>
        <w:t xml:space="preserve"> </w:t>
      </w:r>
    </w:p>
    <w:p w:rsidR="00DA121A" w:rsidRDefault="00904DD6">
      <w:pPr>
        <w:ind w:left="278" w:right="146" w:firstLine="708"/>
      </w:pPr>
      <w:r>
        <w:t xml:space="preserve">La confección de los Estados Demostrativos de la Liquidación del Presupuesto deberá realizarse antes del día primero de marzo del Ejercicio siguiente. </w:t>
      </w:r>
    </w:p>
    <w:p w:rsidR="00DA121A" w:rsidRDefault="00904DD6">
      <w:pPr>
        <w:spacing w:after="0" w:line="259" w:lineRule="auto"/>
        <w:ind w:left="284" w:firstLine="0"/>
        <w:jc w:val="left"/>
      </w:pPr>
      <w:r>
        <w:t xml:space="preserve"> </w:t>
      </w:r>
      <w:r>
        <w:tab/>
        <w:t xml:space="preserve"> </w:t>
      </w:r>
    </w:p>
    <w:p w:rsidR="00DA121A" w:rsidRDefault="00904DD6">
      <w:pPr>
        <w:ind w:left="278" w:right="146" w:firstLine="708"/>
      </w:pPr>
      <w:r>
        <w:t>Vista la aprobación de la Liquidación del Presupuesto General del ejercicio 2022, por Decreto de Alc</w:t>
      </w:r>
      <w:r>
        <w:t xml:space="preserve">aldía 550/2023 de 1 de marzo. </w:t>
      </w:r>
    </w:p>
    <w:p w:rsidR="00DA121A" w:rsidRDefault="00904DD6">
      <w:pPr>
        <w:spacing w:after="0" w:line="259" w:lineRule="auto"/>
        <w:ind w:left="992" w:firstLine="0"/>
        <w:jc w:val="left"/>
      </w:pPr>
      <w:r>
        <w:t xml:space="preserve"> </w:t>
      </w:r>
    </w:p>
    <w:p w:rsidR="00DA121A" w:rsidRDefault="00904DD6">
      <w:pPr>
        <w:ind w:left="278" w:right="146" w:firstLine="708"/>
      </w:pPr>
      <w:r>
        <w:t xml:space="preserve">Vistos los informes de intervención que, en líneas generales, ponen de manifiesto las siguientes magnitudes relativas a la Liquidación del Presupuesto del ejercicio 2022: </w:t>
      </w:r>
    </w:p>
    <w:p w:rsidR="00DA121A" w:rsidRDefault="00904DD6">
      <w:pPr>
        <w:spacing w:after="0" w:line="259" w:lineRule="auto"/>
        <w:ind w:left="992" w:firstLine="0"/>
        <w:jc w:val="left"/>
      </w:pPr>
      <w:r>
        <w:t xml:space="preserve"> </w:t>
      </w:r>
    </w:p>
    <w:p w:rsidR="00DA121A" w:rsidRDefault="00904DD6">
      <w:pPr>
        <w:ind w:left="1014" w:right="146"/>
      </w:pPr>
      <w:r>
        <w:t xml:space="preserve">1.- RESULTADO PRESUPUESTARIO </w:t>
      </w:r>
    </w:p>
    <w:p w:rsidR="00DA121A" w:rsidRDefault="00904DD6">
      <w:pPr>
        <w:spacing w:after="92" w:line="259" w:lineRule="auto"/>
        <w:ind w:left="284" w:firstLine="0"/>
        <w:jc w:val="left"/>
      </w:pPr>
      <w:r>
        <w:t xml:space="preserve"> </w:t>
      </w:r>
    </w:p>
    <w:p w:rsidR="00DA121A" w:rsidRDefault="00904DD6">
      <w:pPr>
        <w:spacing w:after="52" w:line="259" w:lineRule="auto"/>
        <w:ind w:left="0" w:right="865" w:firstLine="0"/>
        <w:jc w:val="right"/>
      </w:pPr>
      <w:r>
        <w:rPr>
          <w:noProof/>
        </w:rPr>
        <w:drawing>
          <wp:inline distT="0" distB="0" distL="0" distR="0">
            <wp:extent cx="5583936" cy="2773680"/>
            <wp:effectExtent l="0" t="0" r="0" b="0"/>
            <wp:docPr id="10284" name="Picture 10284"/>
            <wp:cNvGraphicFramePr/>
            <a:graphic xmlns:a="http://schemas.openxmlformats.org/drawingml/2006/main">
              <a:graphicData uri="http://schemas.openxmlformats.org/drawingml/2006/picture">
                <pic:pic xmlns:pic="http://schemas.openxmlformats.org/drawingml/2006/picture">
                  <pic:nvPicPr>
                    <pic:cNvPr id="10284" name="Picture 10284"/>
                    <pic:cNvPicPr/>
                  </pic:nvPicPr>
                  <pic:blipFill>
                    <a:blip r:embed="rId33"/>
                    <a:stretch>
                      <a:fillRect/>
                    </a:stretch>
                  </pic:blipFill>
                  <pic:spPr>
                    <a:xfrm>
                      <a:off x="0" y="0"/>
                      <a:ext cx="5583936" cy="2773680"/>
                    </a:xfrm>
                    <a:prstGeom prst="rect">
                      <a:avLst/>
                    </a:prstGeom>
                  </pic:spPr>
                </pic:pic>
              </a:graphicData>
            </a:graphic>
          </wp:inline>
        </w:drawing>
      </w:r>
      <w:r>
        <w:t xml:space="preserve"> </w:t>
      </w:r>
    </w:p>
    <w:p w:rsidR="00DA121A" w:rsidRDefault="00904DD6">
      <w:pPr>
        <w:spacing w:after="95" w:line="259" w:lineRule="auto"/>
        <w:ind w:left="284" w:firstLine="0"/>
        <w:jc w:val="left"/>
      </w:pPr>
      <w:r>
        <w:t xml:space="preserve"> </w:t>
      </w:r>
    </w:p>
    <w:p w:rsidR="00DA121A" w:rsidRDefault="00904DD6">
      <w:pPr>
        <w:pStyle w:val="Ttulo2"/>
        <w:ind w:right="1089"/>
      </w:pPr>
      <w:r>
        <w:t>2.-</w:t>
      </w:r>
      <w:r>
        <w:t xml:space="preserve">REMANENTE DE TESORERIA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0" w:right="871" w:firstLine="0"/>
        <w:jc w:val="right"/>
      </w:pPr>
      <w:r>
        <w:rPr>
          <w:noProof/>
        </w:rPr>
        <w:drawing>
          <wp:inline distT="0" distB="0" distL="0" distR="0">
            <wp:extent cx="5576316" cy="3086100"/>
            <wp:effectExtent l="0" t="0" r="0" b="0"/>
            <wp:docPr id="10533" name="Picture 10533"/>
            <wp:cNvGraphicFramePr/>
            <a:graphic xmlns:a="http://schemas.openxmlformats.org/drawingml/2006/main">
              <a:graphicData uri="http://schemas.openxmlformats.org/drawingml/2006/picture">
                <pic:pic xmlns:pic="http://schemas.openxmlformats.org/drawingml/2006/picture">
                  <pic:nvPicPr>
                    <pic:cNvPr id="10533" name="Picture 10533"/>
                    <pic:cNvPicPr/>
                  </pic:nvPicPr>
                  <pic:blipFill>
                    <a:blip r:embed="rId34"/>
                    <a:stretch>
                      <a:fillRect/>
                    </a:stretch>
                  </pic:blipFill>
                  <pic:spPr>
                    <a:xfrm>
                      <a:off x="0" y="0"/>
                      <a:ext cx="5576316" cy="3086100"/>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273" w:line="259" w:lineRule="auto"/>
        <w:ind w:left="284" w:firstLine="0"/>
        <w:jc w:val="left"/>
      </w:pPr>
      <w:r>
        <w:t xml:space="preserve"> </w:t>
      </w:r>
    </w:p>
    <w:p w:rsidR="00DA121A" w:rsidRDefault="00904DD6">
      <w:pPr>
        <w:spacing w:after="254"/>
        <w:ind w:left="288" w:right="146"/>
      </w:pPr>
      <w:r>
        <w:rPr>
          <w:rFonts w:ascii="Times New Roman" w:eastAsia="Times New Roman" w:hAnsi="Times New Roman" w:cs="Times New Roman"/>
          <w:sz w:val="24"/>
        </w:rPr>
        <w:t xml:space="preserve"> </w:t>
      </w:r>
      <w:r>
        <w:t>Así, de los datos obtenidos de ejercicios cerrados, tenemos detallados los importes cobrados en dichos ejercicios, la cantidad que está pendiente de cobro y el saldo de dudoso cobro, de acuerdo con los porcentajes establecid</w:t>
      </w:r>
      <w:r>
        <w:t>os en las Bases del Presupuesto:</w:t>
      </w:r>
      <w:r>
        <w:rPr>
          <w:rFonts w:ascii="Times New Roman" w:eastAsia="Times New Roman" w:hAnsi="Times New Roman" w:cs="Times New Roman"/>
          <w:sz w:val="24"/>
        </w:rPr>
        <w:t xml:space="preserve"> </w:t>
      </w:r>
    </w:p>
    <w:p w:rsidR="00DA121A" w:rsidRDefault="00904DD6">
      <w:pPr>
        <w:spacing w:after="13" w:line="259" w:lineRule="auto"/>
        <w:ind w:left="284" w:firstLine="0"/>
        <w:jc w:val="left"/>
      </w:pPr>
      <w:r>
        <w:t xml:space="preserve"> </w:t>
      </w:r>
    </w:p>
    <w:tbl>
      <w:tblPr>
        <w:tblStyle w:val="TableGrid"/>
        <w:tblW w:w="8762" w:type="dxa"/>
        <w:tblInd w:w="284" w:type="dxa"/>
        <w:tblCellMar>
          <w:top w:w="5" w:type="dxa"/>
          <w:left w:w="0" w:type="dxa"/>
          <w:bottom w:w="0" w:type="dxa"/>
          <w:right w:w="59" w:type="dxa"/>
        </w:tblCellMar>
        <w:tblLook w:val="04A0" w:firstRow="1" w:lastRow="0" w:firstColumn="1" w:lastColumn="0" w:noHBand="0" w:noVBand="1"/>
      </w:tblPr>
      <w:tblGrid>
        <w:gridCol w:w="2049"/>
        <w:gridCol w:w="2257"/>
        <w:gridCol w:w="2040"/>
        <w:gridCol w:w="231"/>
        <w:gridCol w:w="2185"/>
      </w:tblGrid>
      <w:tr w:rsidR="00DA121A">
        <w:trPr>
          <w:trHeight w:val="631"/>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EJERCICIO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pPr>
            <w:r>
              <w:rPr>
                <w:b/>
                <w:sz w:val="18"/>
              </w:rPr>
              <w:t xml:space="preserve">IMPORTES COBRADOS </w:t>
            </w:r>
          </w:p>
          <w:p w:rsidR="00DA121A" w:rsidRDefault="00904DD6">
            <w:pPr>
              <w:spacing w:after="0" w:line="259" w:lineRule="auto"/>
              <w:ind w:left="108" w:firstLine="0"/>
              <w:jc w:val="left"/>
            </w:pPr>
            <w:r>
              <w:rPr>
                <w:b/>
                <w:sz w:val="18"/>
              </w:rPr>
              <w:t xml:space="preserve">2022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b/>
                <w:sz w:val="18"/>
              </w:rPr>
              <w:t xml:space="preserve">IMPORTES </w:t>
            </w:r>
          </w:p>
          <w:p w:rsidR="00DA121A" w:rsidRDefault="00904DD6">
            <w:pPr>
              <w:spacing w:after="0" w:line="259" w:lineRule="auto"/>
              <w:ind w:left="108" w:firstLine="0"/>
              <w:jc w:val="left"/>
            </w:pPr>
            <w:r>
              <w:rPr>
                <w:b/>
                <w:sz w:val="18"/>
              </w:rPr>
              <w:t xml:space="preserve">PENDIENTES </w:t>
            </w:r>
          </w:p>
          <w:p w:rsidR="00DA121A" w:rsidRDefault="00904DD6">
            <w:pPr>
              <w:spacing w:after="0" w:line="259" w:lineRule="auto"/>
              <w:ind w:left="108" w:firstLine="0"/>
              <w:jc w:val="left"/>
            </w:pPr>
            <w:r>
              <w:rPr>
                <w:b/>
                <w:sz w:val="18"/>
              </w:rPr>
              <w:t xml:space="preserve">31/12/2022 </w:t>
            </w:r>
          </w:p>
        </w:tc>
        <w:tc>
          <w:tcPr>
            <w:tcW w:w="231" w:type="dxa"/>
            <w:tcBorders>
              <w:top w:val="single" w:sz="4" w:space="0" w:color="000000"/>
              <w:left w:val="nil"/>
              <w:bottom w:val="single" w:sz="4" w:space="0" w:color="000000"/>
              <w:right w:val="single" w:sz="4" w:space="0" w:color="000000"/>
            </w:tcBorders>
            <w:vAlign w:val="center"/>
          </w:tcPr>
          <w:p w:rsidR="00DA121A" w:rsidRDefault="00904DD6">
            <w:pPr>
              <w:spacing w:after="0" w:line="259" w:lineRule="auto"/>
              <w:ind w:left="0" w:firstLine="0"/>
            </w:pPr>
            <w:r>
              <w:rPr>
                <w:b/>
                <w:sz w:val="18"/>
              </w:rPr>
              <w:t xml:space="preserve">A </w:t>
            </w:r>
          </w:p>
        </w:tc>
        <w:tc>
          <w:tcPr>
            <w:tcW w:w="2185"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2126"/>
              </w:tabs>
              <w:spacing w:after="0" w:line="259" w:lineRule="auto"/>
              <w:ind w:left="0" w:firstLine="0"/>
              <w:jc w:val="left"/>
            </w:pPr>
            <w:r>
              <w:rPr>
                <w:b/>
                <w:sz w:val="18"/>
              </w:rPr>
              <w:t xml:space="preserve">SALDO </w:t>
            </w:r>
            <w:r>
              <w:rPr>
                <w:b/>
                <w:sz w:val="18"/>
              </w:rPr>
              <w:tab/>
              <w:t xml:space="preserve">DUDOSO </w:t>
            </w:r>
          </w:p>
          <w:p w:rsidR="00DA121A" w:rsidRDefault="00904DD6">
            <w:pPr>
              <w:spacing w:after="0" w:line="259" w:lineRule="auto"/>
              <w:ind w:left="108" w:firstLine="0"/>
              <w:jc w:val="left"/>
            </w:pPr>
            <w:r>
              <w:rPr>
                <w:b/>
                <w:sz w:val="18"/>
              </w:rPr>
              <w:t xml:space="preserve">COBRO </w:t>
            </w:r>
          </w:p>
        </w:tc>
      </w:tr>
      <w:tr w:rsidR="00DA121A">
        <w:trPr>
          <w:trHeight w:val="216"/>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2021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75.524,92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b/>
                <w:sz w:val="18"/>
              </w:rPr>
              <w:t xml:space="preserve">341.877,10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68.375,42 </w:t>
            </w:r>
          </w:p>
        </w:tc>
      </w:tr>
      <w:tr w:rsidR="00DA121A">
        <w:trPr>
          <w:trHeight w:val="218"/>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2020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47.163,42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b/>
                <w:sz w:val="18"/>
              </w:rPr>
              <w:t xml:space="preserve">115.800,64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28.950,16 </w:t>
            </w:r>
          </w:p>
        </w:tc>
      </w:tr>
      <w:tr w:rsidR="00DA121A">
        <w:trPr>
          <w:trHeight w:val="216"/>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2019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97.662,32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b/>
                <w:sz w:val="18"/>
              </w:rPr>
              <w:t xml:space="preserve">278.114,58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139.057,29</w:t>
            </w:r>
            <w:r>
              <w:rPr>
                <w:b/>
                <w:sz w:val="18"/>
              </w:rPr>
              <w:t xml:space="preserve"> </w:t>
            </w:r>
          </w:p>
        </w:tc>
      </w:tr>
      <w:tr w:rsidR="00DA121A">
        <w:trPr>
          <w:trHeight w:val="217"/>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2018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92.944,68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b/>
                <w:sz w:val="18"/>
              </w:rPr>
              <w:t xml:space="preserve">291.164,29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218.373,22 </w:t>
            </w:r>
          </w:p>
        </w:tc>
      </w:tr>
      <w:tr w:rsidR="00DA121A">
        <w:trPr>
          <w:trHeight w:val="218"/>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2017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22.930,42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b/>
                <w:sz w:val="18"/>
              </w:rPr>
              <w:t xml:space="preserve">720.405,82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540.304,37 </w:t>
            </w:r>
          </w:p>
        </w:tc>
      </w:tr>
      <w:tr w:rsidR="00DA121A">
        <w:trPr>
          <w:trHeight w:val="216"/>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2016-1991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50.071,22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b/>
                <w:sz w:val="18"/>
              </w:rPr>
              <w:t xml:space="preserve">8.515.373,89 </w:t>
            </w:r>
          </w:p>
        </w:tc>
        <w:tc>
          <w:tcPr>
            <w:tcW w:w="231"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8.515.373,89 </w:t>
            </w:r>
          </w:p>
        </w:tc>
      </w:tr>
      <w:tr w:rsidR="00DA121A">
        <w:trPr>
          <w:trHeight w:val="218"/>
        </w:trPr>
        <w:tc>
          <w:tcPr>
            <w:tcW w:w="20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TOTAL </w:t>
            </w:r>
          </w:p>
        </w:tc>
        <w:tc>
          <w:tcPr>
            <w:tcW w:w="22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386.296,98 </w:t>
            </w:r>
          </w:p>
        </w:tc>
        <w:tc>
          <w:tcPr>
            <w:tcW w:w="20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8" w:firstLine="0"/>
              <w:jc w:val="left"/>
            </w:pPr>
            <w:r>
              <w:rPr>
                <w:b/>
                <w:sz w:val="18"/>
              </w:rPr>
              <w:t xml:space="preserve">10.262.736,32 </w:t>
            </w:r>
          </w:p>
        </w:tc>
        <w:tc>
          <w:tcPr>
            <w:tcW w:w="231" w:type="dxa"/>
            <w:tcBorders>
              <w:top w:val="single" w:sz="4" w:space="0" w:color="000000"/>
              <w:left w:val="nil"/>
              <w:bottom w:val="single" w:sz="4" w:space="0" w:color="000000"/>
              <w:right w:val="single" w:sz="4" w:space="0" w:color="000000"/>
            </w:tcBorders>
            <w:vAlign w:val="bottom"/>
          </w:tcPr>
          <w:p w:rsidR="00DA121A" w:rsidRDefault="00DA121A">
            <w:pPr>
              <w:spacing w:after="160" w:line="259" w:lineRule="auto"/>
              <w:ind w:left="0" w:firstLine="0"/>
              <w:jc w:val="left"/>
            </w:pPr>
          </w:p>
        </w:tc>
        <w:tc>
          <w:tcPr>
            <w:tcW w:w="21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18"/>
              </w:rPr>
              <w:t xml:space="preserve">9.510.434,35 </w:t>
            </w:r>
          </w:p>
        </w:tc>
      </w:tr>
    </w:tbl>
    <w:p w:rsidR="00DA121A" w:rsidRDefault="00904DD6">
      <w:pPr>
        <w:spacing w:after="36" w:line="259" w:lineRule="auto"/>
        <w:ind w:left="284" w:firstLine="0"/>
        <w:jc w:val="left"/>
      </w:pPr>
      <w:r>
        <w:rPr>
          <w:b/>
          <w:sz w:val="18"/>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 </w:t>
      </w:r>
    </w:p>
    <w:p w:rsidR="00DA121A" w:rsidRDefault="00904DD6">
      <w:pPr>
        <w:spacing w:after="4"/>
        <w:ind w:left="279" w:right="144"/>
      </w:pPr>
      <w:r>
        <w:rPr>
          <w:b/>
        </w:rPr>
        <w:t>3.-</w:t>
      </w:r>
      <w:r>
        <w:rPr>
          <w:b/>
        </w:rPr>
        <w:t xml:space="preserve">INDICADORES DE SANEAMIENTO Y CONDICIONANTES DE LIBRE DISPOSICIÓN, QUE SE IMPONEN PARA LA DISTRIBUCIÓN DEL FONDO CANARIO DE FINANCIACIÓN MUNICIPAL </w:t>
      </w:r>
    </w:p>
    <w:p w:rsidR="00DA121A" w:rsidRDefault="00904DD6">
      <w:pPr>
        <w:spacing w:after="4"/>
        <w:ind w:left="279" w:right="144"/>
      </w:pPr>
      <w:r>
        <w:rPr>
          <w:b/>
        </w:rPr>
        <w:t>DEL EJERCICIO 2022</w:t>
      </w:r>
      <w:r>
        <w:rPr>
          <w:rFonts w:ascii="Times New Roman" w:eastAsia="Times New Roman" w:hAnsi="Times New Roman" w:cs="Times New Roman"/>
          <w:sz w:val="24"/>
        </w:rPr>
        <w:t xml:space="preserve"> </w:t>
      </w:r>
    </w:p>
    <w:p w:rsidR="00DA121A" w:rsidRDefault="00904DD6">
      <w:pPr>
        <w:spacing w:after="0" w:line="259" w:lineRule="auto"/>
        <w:ind w:left="992" w:firstLine="0"/>
        <w:jc w:val="left"/>
      </w:pPr>
      <w:r>
        <w:t xml:space="preserve"> </w:t>
      </w:r>
    </w:p>
    <w:p w:rsidR="00DA121A" w:rsidRDefault="00904DD6">
      <w:pPr>
        <w:spacing w:after="112"/>
        <w:ind w:left="577" w:right="146"/>
      </w:pPr>
      <w:r>
        <w:t xml:space="preserve">  </w:t>
      </w:r>
      <w:r>
        <w:t>La Ley 3/1999 de 4 de febrero, del Fondo Canario de Financiación Municipal, regula cinco indicadores de saneamiento y condicionantes de libre disposición, esto es,  remanente de tesorería para gastos generales, gestión recaudatoria, endeudamiento a largo p</w:t>
      </w:r>
      <w:r>
        <w:t xml:space="preserve">lazo, esfuerzo fiscal y el ratio de Ahorro Neto. </w:t>
      </w:r>
    </w:p>
    <w:p w:rsidR="00DA121A" w:rsidRDefault="00904DD6">
      <w:pPr>
        <w:spacing w:after="0" w:line="259" w:lineRule="auto"/>
        <w:ind w:left="567" w:firstLine="0"/>
        <w:jc w:val="left"/>
      </w:pPr>
      <w:r>
        <w:t xml:space="preserve"> </w:t>
      </w:r>
    </w:p>
    <w:p w:rsidR="00DA121A" w:rsidRDefault="00904DD6">
      <w:pPr>
        <w:numPr>
          <w:ilvl w:val="0"/>
          <w:numId w:val="13"/>
        </w:numPr>
        <w:ind w:right="146" w:hanging="360"/>
      </w:pPr>
      <w:r>
        <w:rPr>
          <w:b/>
          <w:i/>
        </w:rPr>
        <w:t>Remanente de Tesorería para Gastos Generales</w:t>
      </w:r>
      <w:r>
        <w:t>, que importa la cantidad de 23.408.176,00 Euros, se impone que sea superior al 1 %, de los derechos reconocidos netos por capítulos I al V de Ingresos en la Li</w:t>
      </w:r>
      <w:r>
        <w:t>quidación del Presupuesto, que asciende a 27.706.423,93 Euros, sale positivo en el 84,5 % frente al 67,84 %, también con signo positivo, del ejercicio anterior.</w:t>
      </w:r>
      <w:r>
        <w:rPr>
          <w:rFonts w:ascii="Times New Roman" w:eastAsia="Times New Roman" w:hAnsi="Times New Roman" w:cs="Times New Roman"/>
          <w:sz w:val="24"/>
        </w:rPr>
        <w:t xml:space="preserve"> </w:t>
      </w:r>
    </w:p>
    <w:p w:rsidR="00DA121A" w:rsidRDefault="00904DD6">
      <w:pPr>
        <w:spacing w:after="32" w:line="259" w:lineRule="auto"/>
        <w:ind w:left="284" w:firstLine="0"/>
        <w:jc w:val="left"/>
      </w:pPr>
      <w:r>
        <w:t xml:space="preserve"> </w:t>
      </w:r>
    </w:p>
    <w:p w:rsidR="00DA121A" w:rsidRDefault="00904DD6">
      <w:pPr>
        <w:numPr>
          <w:ilvl w:val="0"/>
          <w:numId w:val="13"/>
        </w:numPr>
        <w:ind w:right="146" w:hanging="360"/>
      </w:pPr>
      <w:r>
        <w:rPr>
          <w:b/>
          <w:i/>
        </w:rPr>
        <w:t>Ahorro Neto,</w:t>
      </w:r>
      <w:r>
        <w:t xml:space="preserve"> es un ratio que, a diferencia del ratio de ahorro bruto que mide la capacidad d</w:t>
      </w:r>
      <w:r>
        <w:t>e autofinanciación de las inversiones, es un ratio que nos indica la capacidad  de</w:t>
      </w:r>
      <w:r>
        <w:rPr>
          <w:b/>
          <w:i/>
        </w:rPr>
        <w:t xml:space="preserve"> </w:t>
      </w:r>
      <w:r>
        <w:t>endeudamiento de la entidad Local, que se establece que sea superior al 6 por 100  de los derechos reconocidos netos por capítulos I al V de Ingresos en la Liquidación del p</w:t>
      </w:r>
      <w:r>
        <w:t>resupuesto, viene dado por la diferencia de los derechos reconocidos netos por los capítulos I al V de Ingresos (27.706.423,93 Euros) y las obligaciones reconocidas netas por los capítulos I, II y IV, una vez deducidas las obligaciones financiadas con rema</w:t>
      </w:r>
      <w:r>
        <w:t xml:space="preserve">nente de tesorería para gastos generales, que importaron la cantidad de 756.551,73 Euros (22.780.312,90 Euros) y una anualidad teórica de amortización (69.122,92 Euros), que incluye los capítulos III y IX. </w:t>
      </w:r>
      <w:r>
        <w:rPr>
          <w:rFonts w:ascii="Times New Roman" w:eastAsia="Times New Roman" w:hAnsi="Times New Roman" w:cs="Times New Roman"/>
          <w:sz w:val="24"/>
        </w:rPr>
        <w:t xml:space="preserve"> </w:t>
      </w:r>
    </w:p>
    <w:p w:rsidR="00DA121A" w:rsidRDefault="00904DD6">
      <w:pPr>
        <w:spacing w:after="98" w:line="259" w:lineRule="auto"/>
        <w:ind w:left="567" w:firstLine="0"/>
        <w:jc w:val="left"/>
      </w:pPr>
      <w:r>
        <w:t xml:space="preserve"> </w:t>
      </w:r>
    </w:p>
    <w:p w:rsidR="00DA121A" w:rsidRDefault="00904DD6">
      <w:pPr>
        <w:ind w:left="644" w:right="146" w:firstLine="348"/>
      </w:pPr>
      <w:r>
        <w:t>Ello nos da un Ahorro Neto positivo de 4.856.9</w:t>
      </w:r>
      <w:r>
        <w:t>88,11 Euros (que fue también positivo en 4.269.684,77 Euros en el año 2021), esto es, un porcentaje positivo del 17,5 %, frente al 15,9 %, de los derechos reconocidos netos por capítulos I al V de Ingresos en la Liquidación del Presupuesto del ejercicio an</w:t>
      </w:r>
      <w:r>
        <w:t xml:space="preserve">terior.  </w:t>
      </w:r>
    </w:p>
    <w:p w:rsidR="00DA121A" w:rsidRDefault="00904DD6">
      <w:pPr>
        <w:spacing w:after="32" w:line="259" w:lineRule="auto"/>
        <w:ind w:left="284" w:firstLine="0"/>
        <w:jc w:val="left"/>
      </w:pPr>
      <w:r>
        <w:t xml:space="preserve"> </w:t>
      </w:r>
    </w:p>
    <w:p w:rsidR="00DA121A" w:rsidRDefault="00904DD6">
      <w:pPr>
        <w:numPr>
          <w:ilvl w:val="0"/>
          <w:numId w:val="13"/>
        </w:numPr>
        <w:ind w:right="146" w:hanging="360"/>
      </w:pPr>
      <w:r>
        <w:rPr>
          <w:b/>
          <w:i/>
        </w:rPr>
        <w:t>Endeudamiento a Largo Plazo</w:t>
      </w:r>
      <w:r>
        <w:t xml:space="preserve"> que se impone que sea inferior al 70 por 100 de los derechos reconocidos netos por capítulos I al V de Ingresos en la Liquidación del Presupuesto. </w:t>
      </w:r>
      <w:r>
        <w:rPr>
          <w:rFonts w:ascii="Times New Roman" w:eastAsia="Times New Roman" w:hAnsi="Times New Roman" w:cs="Times New Roman"/>
          <w:sz w:val="24"/>
        </w:rPr>
        <w:t xml:space="preserve"> </w:t>
      </w:r>
    </w:p>
    <w:p w:rsidR="00DA121A" w:rsidRDefault="00904DD6">
      <w:pPr>
        <w:spacing w:after="0" w:line="259" w:lineRule="auto"/>
        <w:ind w:left="992" w:firstLine="0"/>
        <w:jc w:val="left"/>
      </w:pPr>
      <w:r>
        <w:t xml:space="preserve"> </w:t>
      </w:r>
    </w:p>
    <w:p w:rsidR="00DA121A" w:rsidRDefault="00904DD6">
      <w:pPr>
        <w:ind w:left="1002" w:right="146"/>
      </w:pPr>
      <w:r>
        <w:t xml:space="preserve">La deuda financiera del Ayuntamiento, a 31 de diciembre de 2022, </w:t>
      </w:r>
      <w:r>
        <w:t>es nula.</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644" w:firstLine="0"/>
        <w:jc w:val="left"/>
      </w:pPr>
      <w:r>
        <w:t xml:space="preserve"> </w:t>
      </w:r>
    </w:p>
    <w:p w:rsidR="00DA121A" w:rsidRDefault="00904DD6">
      <w:pPr>
        <w:ind w:left="278" w:right="146" w:firstLine="360"/>
      </w:pPr>
      <w:r>
        <w:t>Dado que los derechos reconocidos netos por los capítulos I al V de Ingresos, asciende a 27.706.423,93 Euros, este Ratio importa un 0 %, igual que el obtenido en la Liquidación del presupuesto del ejercicio 2021.</w:t>
      </w:r>
      <w:r>
        <w:rPr>
          <w:rFonts w:ascii="Times New Roman" w:eastAsia="Times New Roman" w:hAnsi="Times New Roman" w:cs="Times New Roman"/>
          <w:sz w:val="24"/>
        </w:rPr>
        <w:t xml:space="preserve"> </w:t>
      </w:r>
    </w:p>
    <w:p w:rsidR="00DA121A" w:rsidRDefault="00904DD6">
      <w:pPr>
        <w:spacing w:after="29" w:line="259" w:lineRule="auto"/>
        <w:ind w:left="644" w:firstLine="0"/>
        <w:jc w:val="left"/>
      </w:pPr>
      <w:r>
        <w:t xml:space="preserve"> </w:t>
      </w:r>
    </w:p>
    <w:p w:rsidR="00DA121A" w:rsidRDefault="00904DD6">
      <w:pPr>
        <w:numPr>
          <w:ilvl w:val="0"/>
          <w:numId w:val="13"/>
        </w:numPr>
        <w:ind w:right="146" w:hanging="360"/>
      </w:pPr>
      <w:r>
        <w:rPr>
          <w:b/>
          <w:i/>
        </w:rPr>
        <w:t>Gestión Recaudatoria</w:t>
      </w:r>
      <w:r>
        <w:t xml:space="preserve"> </w:t>
      </w:r>
      <w:r>
        <w:t>superior al 75 % de los derechos reconocidos netos por capítulos I al III de Ingresos en la Liquidación del Presupuesto, viene dado por el cociente entre los derechos recaudados por esos capítulos de ingresos (15.106.971,40 Euros) y los derechos reconocido</w:t>
      </w:r>
      <w:r>
        <w:t xml:space="preserve">s netos por los mismos capítulos I, II y III (15.309.454,29 Euros), llega al 98,7 %, frente al 85,6 % del ejercicio 2021. </w:t>
      </w:r>
      <w:r>
        <w:rPr>
          <w:rFonts w:ascii="Times New Roman" w:eastAsia="Times New Roman" w:hAnsi="Times New Roman" w:cs="Times New Roman"/>
          <w:sz w:val="24"/>
        </w:rPr>
        <w:t xml:space="preserve"> </w:t>
      </w:r>
    </w:p>
    <w:p w:rsidR="00DA121A" w:rsidRDefault="00904DD6">
      <w:pPr>
        <w:spacing w:after="29" w:line="259" w:lineRule="auto"/>
        <w:ind w:left="284" w:firstLine="0"/>
        <w:jc w:val="left"/>
      </w:pPr>
      <w:r>
        <w:t xml:space="preserve"> </w:t>
      </w:r>
    </w:p>
    <w:p w:rsidR="00DA121A" w:rsidRDefault="00904DD6">
      <w:pPr>
        <w:numPr>
          <w:ilvl w:val="0"/>
          <w:numId w:val="13"/>
        </w:numPr>
        <w:ind w:right="146" w:hanging="360"/>
      </w:pPr>
      <w:r>
        <w:rPr>
          <w:b/>
          <w:i/>
        </w:rPr>
        <w:t>Esfuerzo Fiscal</w:t>
      </w:r>
      <w:r>
        <w:t>, que se exige que sea superior al 70,66 por 100, se encuentra por encima del ochenta y cinco por ciento, como en e</w:t>
      </w:r>
      <w:r>
        <w:t>l ejercicio del 2021.</w:t>
      </w:r>
      <w:r>
        <w:rPr>
          <w:rFonts w:ascii="Times New Roman" w:eastAsia="Times New Roman" w:hAnsi="Times New Roman" w:cs="Times New Roman"/>
          <w:sz w:val="24"/>
        </w:rPr>
        <w:t xml:space="preserve"> </w:t>
      </w:r>
    </w:p>
    <w:p w:rsidR="00DA121A" w:rsidRDefault="00904DD6">
      <w:pPr>
        <w:spacing w:after="0" w:line="259" w:lineRule="auto"/>
        <w:ind w:left="992" w:firstLine="0"/>
        <w:jc w:val="left"/>
      </w:pPr>
      <w:r>
        <w:t xml:space="preserve"> </w:t>
      </w:r>
    </w:p>
    <w:p w:rsidR="00DA121A" w:rsidRDefault="00904DD6">
      <w:pPr>
        <w:spacing w:after="79" w:line="259" w:lineRule="auto"/>
        <w:ind w:left="284" w:firstLine="0"/>
        <w:jc w:val="left"/>
      </w:pPr>
      <w:r>
        <w:t xml:space="preserve"> </w:t>
      </w:r>
    </w:p>
    <w:p w:rsidR="00DA121A" w:rsidRDefault="00904DD6">
      <w:pPr>
        <w:ind w:left="278" w:right="146" w:firstLine="708"/>
      </w:pPr>
      <w:r>
        <w:t>Con respecto al cumplimiento de las Reglas fiscales, esto es, la Estabilidad, Presupuestaria, Regla del Gasto y Deuda Pública, el Congreso de los Diputados en su sesión de 20 de octubre de 2020 apreció, por mayoría absoluta de su</w:t>
      </w:r>
      <w:r>
        <w:t xml:space="preserve">s miembros, que existe una situación de emergencia extraordinaria </w:t>
      </w:r>
      <w:r>
        <w:rPr>
          <w:b/>
        </w:rPr>
        <w:t>que motiva la suspensión de las reglas fiscales</w:t>
      </w:r>
      <w:r>
        <w:t>, requisito que establece el artículo 11.3 de la Ley Orgánica 2/2012, de 27 de abril, de Estabilidad Presupuestaria y Sostenibilidad Financiera</w:t>
      </w:r>
      <w:r>
        <w:t xml:space="preserve"> (en adelante LOEPSF).</w:t>
      </w:r>
      <w:r>
        <w:rPr>
          <w:rFonts w:ascii="Times New Roman" w:eastAsia="Times New Roman" w:hAnsi="Times New Roman" w:cs="Times New Roman"/>
          <w:sz w:val="24"/>
        </w:rPr>
        <w:t xml:space="preserve"> </w:t>
      </w:r>
    </w:p>
    <w:p w:rsidR="00DA121A" w:rsidRDefault="00904DD6">
      <w:pPr>
        <w:spacing w:after="73"/>
        <w:ind w:left="278" w:right="146" w:firstLine="708"/>
      </w:pPr>
      <w:r>
        <w:t xml:space="preserve">En base a dicho acuerdo, quedan </w:t>
      </w:r>
      <w:r>
        <w:rPr>
          <w:b/>
        </w:rPr>
        <w:t>suspendidos</w:t>
      </w:r>
      <w:r>
        <w:t xml:space="preserve"> el Acuerdo de Consejo de Ministros de 11 de febrero de 2020, por el que se adecúan los objetivos de estabilidad presupuestaria y de deuda pública para el conjunto de Administraciones Públi</w:t>
      </w:r>
      <w:r>
        <w:t>cas y de cada uno de sus subsectores para el año 2020 para su remisión a las Cortes Generales, así como el Acuerdo de Consejo de Ministros de 11 de febrero de 2020 por el que se fijan los objetivos de estabilidad presupuestaria y de deuda pública para el c</w:t>
      </w:r>
      <w:r>
        <w:t>onjunto de Administraciones Públicas y de cada uno de sus subsectores para el período 2021-2023 para su remisión a las Cortes Generales, y el límite de gasto no financiero del presupuesto del Estado para 2021.”</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i/>
        </w:rPr>
        <w:t xml:space="preserve"> </w:t>
      </w:r>
    </w:p>
    <w:p w:rsidR="00DA121A" w:rsidRDefault="00904DD6">
      <w:pPr>
        <w:tabs>
          <w:tab w:val="center" w:pos="567"/>
          <w:tab w:val="center" w:pos="992"/>
          <w:tab w:val="center" w:pos="3926"/>
        </w:tabs>
        <w:spacing w:after="114"/>
        <w:ind w:left="0" w:firstLine="0"/>
        <w:jc w:val="left"/>
      </w:pPr>
      <w:r>
        <w:rPr>
          <w:rFonts w:ascii="Calibri" w:eastAsia="Calibri" w:hAnsi="Calibri" w:cs="Calibri"/>
        </w:rPr>
        <w:tab/>
      </w:r>
      <w:r>
        <w:t xml:space="preserve"> </w:t>
      </w:r>
      <w:r>
        <w:tab/>
        <w:t xml:space="preserve"> </w:t>
      </w:r>
      <w:r>
        <w:tab/>
      </w:r>
      <w:r>
        <w:t xml:space="preserve">Por ello, este Concejal de Hacienda Propone: </w:t>
      </w:r>
    </w:p>
    <w:p w:rsidR="00DA121A" w:rsidRDefault="00904DD6">
      <w:pPr>
        <w:ind w:left="288" w:right="146"/>
      </w:pPr>
      <w:r>
        <w:rPr>
          <w:b/>
        </w:rPr>
        <w:t xml:space="preserve">Punto único: </w:t>
      </w:r>
      <w:r>
        <w:t>Dar cuenta al Pleno de la Liquidación del Presupuesto del ejercicio 2022, conforme el art. 90.2 del Real Decreto 500/1990 de 20 de abril.</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DICTAMEN FAVORABLE DE LA COMISIÓN INFORMATIVA DE HACIE</w:t>
      </w:r>
      <w:r>
        <w:rPr>
          <w:b/>
        </w:rPr>
        <w:t xml:space="preserve">NDA, RECURSOS HUMANOS Y SERVICIOS GENERALES DE 27 DE MARZO DE 2023. </w:t>
      </w:r>
    </w:p>
    <w:p w:rsidR="00DA121A" w:rsidRDefault="00904DD6">
      <w:pPr>
        <w:spacing w:after="0" w:line="259" w:lineRule="auto"/>
        <w:ind w:left="284" w:firstLine="0"/>
        <w:jc w:val="left"/>
      </w:pPr>
      <w:r>
        <w:rPr>
          <w:b/>
        </w:rPr>
        <w:t xml:space="preserve"> </w:t>
      </w:r>
    </w:p>
    <w:p w:rsidR="00DA121A" w:rsidRDefault="00904DD6">
      <w:pPr>
        <w:ind w:left="288" w:right="146"/>
      </w:pPr>
      <w:r>
        <w:t xml:space="preserve">Los 7 integrantes de la Comisión Informativa quedaron enterados: </w:t>
      </w:r>
    </w:p>
    <w:p w:rsidR="00DA121A" w:rsidRDefault="00904DD6">
      <w:pPr>
        <w:spacing w:after="0" w:line="259" w:lineRule="auto"/>
        <w:ind w:left="284" w:firstLine="0"/>
        <w:jc w:val="left"/>
      </w:pPr>
      <w:r>
        <w:t xml:space="preserve"> </w:t>
      </w:r>
    </w:p>
    <w:p w:rsidR="00DA121A" w:rsidRDefault="00904DD6">
      <w:pPr>
        <w:ind w:left="288" w:right="146"/>
      </w:pPr>
      <w:r>
        <w:t>Los 4 concejales del Grupo Socialista: Don Airam Pérez Chinea, Don Jorge Baute Delgado, Don José Francisco Pinto Ramo</w:t>
      </w:r>
      <w:r>
        <w:t xml:space="preserve">s y Doña Margarita Eva Tendero Barroso. </w:t>
      </w:r>
    </w:p>
    <w:p w:rsidR="00DA121A" w:rsidRDefault="00904DD6">
      <w:pPr>
        <w:spacing w:after="0" w:line="259" w:lineRule="auto"/>
        <w:ind w:left="284" w:firstLine="0"/>
        <w:jc w:val="left"/>
      </w:pPr>
      <w:r>
        <w:t xml:space="preserve"> </w:t>
      </w:r>
    </w:p>
    <w:p w:rsidR="00DA121A" w:rsidRDefault="00904DD6">
      <w:pPr>
        <w:ind w:left="288" w:right="146"/>
      </w:pPr>
      <w:r>
        <w:t xml:space="preserve">El concejal del Grupo Popular, Don Jacobo López Fariña. </w:t>
      </w:r>
    </w:p>
    <w:p w:rsidR="00DA121A" w:rsidRDefault="00904DD6">
      <w:pPr>
        <w:spacing w:after="0" w:line="259" w:lineRule="auto"/>
        <w:ind w:left="284" w:firstLine="0"/>
        <w:jc w:val="left"/>
      </w:pPr>
      <w:r>
        <w:t xml:space="preserve"> </w:t>
      </w:r>
    </w:p>
    <w:p w:rsidR="00DA121A" w:rsidRDefault="00904DD6">
      <w:pPr>
        <w:ind w:left="288" w:right="146"/>
      </w:pPr>
      <w:r>
        <w:t>La concejal del Grupo Mixto (SSP), Doña Lourdes del Carmen Mondejar Rondón.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La concejal del Grupo Mixto (CC-PNC): Doña Ángela Cruz Perera.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3344"/>
      </w:pPr>
      <w:r>
        <w:rPr>
          <w:b/>
        </w:rPr>
        <w:t xml:space="preserve"> JUNTA</w:t>
      </w:r>
      <w:r>
        <w:rPr>
          <w:b/>
        </w:rPr>
        <w:t xml:space="preserve"> DE PORTAVOCES DE 27 DE MARZO DE 2023.  </w:t>
      </w:r>
      <w:r>
        <w:t xml:space="preserve">Quedó oída.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TOMA DE CONOCIMIENTO EN EL PLENO DE 30 DE MARZO DE 2023. </w:t>
      </w:r>
    </w:p>
    <w:p w:rsidR="00DA121A" w:rsidRDefault="00904DD6">
      <w:pPr>
        <w:spacing w:after="0" w:line="259" w:lineRule="auto"/>
        <w:ind w:left="284" w:firstLine="0"/>
        <w:jc w:val="left"/>
      </w:pPr>
      <w:r>
        <w:t xml:space="preserve"> </w:t>
      </w:r>
    </w:p>
    <w:p w:rsidR="00DA121A" w:rsidRDefault="00904DD6">
      <w:pPr>
        <w:ind w:left="288" w:right="146"/>
      </w:pPr>
      <w:r>
        <w:t xml:space="preserve">La unanimidad de los 19 concejales presentes quedaron enterados: </w:t>
      </w:r>
    </w:p>
    <w:p w:rsidR="00DA121A" w:rsidRDefault="00904DD6">
      <w:pPr>
        <w:spacing w:after="0" w:line="259" w:lineRule="auto"/>
        <w:ind w:left="284" w:firstLine="0"/>
        <w:jc w:val="left"/>
      </w:pPr>
      <w:r>
        <w:t xml:space="preserve"> </w:t>
      </w:r>
    </w:p>
    <w:p w:rsidR="00DA121A" w:rsidRDefault="00904DD6">
      <w:pPr>
        <w:ind w:left="288" w:right="146"/>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DA121A" w:rsidRDefault="00904DD6">
      <w:pPr>
        <w:spacing w:after="0" w:line="259" w:lineRule="auto"/>
        <w:ind w:left="284" w:firstLine="0"/>
        <w:jc w:val="left"/>
      </w:pPr>
      <w:r>
        <w:t xml:space="preserve"> </w:t>
      </w:r>
    </w:p>
    <w:p w:rsidR="00DA121A" w:rsidRDefault="00904DD6">
      <w:pPr>
        <w:ind w:left="288" w:right="146"/>
      </w:pPr>
      <w:r>
        <w:t>4 concejales del Grupo Popular: Don Andrés Rodríguez Delgado, Don Jacobo López Fariña, Doña Raque</w:t>
      </w:r>
      <w:r>
        <w:t xml:space="preserve">l Martín Castro y Don David Crego Cháves.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111"/>
        <w:ind w:left="288" w:right="146"/>
      </w:pPr>
      <w:r>
        <w:t xml:space="preserve">2 de los concejales del Grupo Mixto (CC-PNC): Doña Ángela Cruz Perera y Don Emilio Jesús Atiénzar Armas.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(Cs), Doña Marta Plasencia Gutiérrez.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w:t>
      </w:r>
      <w:r>
        <w:t xml:space="preserve">Mixto (VxC): Doña Alicia Mercedes Marrero Meneses.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62" w:lineRule="auto"/>
        <w:ind w:left="1228" w:right="2451"/>
        <w:jc w:val="center"/>
      </w:pPr>
      <w:r>
        <w:rPr>
          <w:b/>
        </w:rPr>
        <w:t xml:space="preserve"> ACUERDO DEL PLENO DE 30 DE MARZO DE 2023. </w:t>
      </w:r>
    </w:p>
    <w:p w:rsidR="00DA121A" w:rsidRDefault="00904DD6">
      <w:pPr>
        <w:spacing w:after="274" w:line="259" w:lineRule="auto"/>
        <w:ind w:left="284" w:firstLine="0"/>
        <w:jc w:val="left"/>
      </w:pPr>
      <w:r>
        <w:rPr>
          <w:b/>
        </w:rPr>
        <w:t xml:space="preserve"> </w:t>
      </w:r>
    </w:p>
    <w:p w:rsidR="00DA121A" w:rsidRDefault="00904DD6">
      <w:pPr>
        <w:spacing w:after="4" w:line="344" w:lineRule="auto"/>
        <w:ind w:left="279" w:right="1291"/>
      </w:pPr>
      <w:r>
        <w:rPr>
          <w:b/>
        </w:rPr>
        <w:t>Punto único: Dar cuenta al Pleno de la Liquidación del Presupuesto del</w:t>
      </w:r>
      <w:r>
        <w:rPr>
          <w:sz w:val="28"/>
        </w:rPr>
        <w:t xml:space="preserve"> </w:t>
      </w:r>
      <w:r>
        <w:rPr>
          <w:b/>
        </w:rPr>
        <w:t>ejercicio 2022, conforme el art. 90.2 del Real Decreto 500/1990 de 20 de abril.</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90" w:line="250" w:lineRule="auto"/>
        <w:ind w:left="279" w:right="149"/>
      </w:pPr>
      <w:r>
        <w:rPr>
          <w:b/>
          <w:sz w:val="24"/>
        </w:rPr>
        <w:t xml:space="preserve">3.- </w:t>
      </w:r>
      <w:r>
        <w:rPr>
          <w:b/>
          <w:sz w:val="24"/>
        </w:rPr>
        <w:t xml:space="preserve">Expediente 13415/2022. Propuesta del Concejal delegado de Hacienda de fecha 27 de marzo de 2023 relativa a la aprobación definitiva del Presupuesto General del año 2023. </w:t>
      </w:r>
    </w:p>
    <w:p w:rsidR="00DA121A" w:rsidRDefault="00904DD6">
      <w:pPr>
        <w:spacing w:after="79" w:line="259" w:lineRule="auto"/>
        <w:ind w:left="284" w:firstLine="0"/>
        <w:jc w:val="left"/>
      </w:pPr>
      <w:r>
        <w:rPr>
          <w:b/>
          <w:sz w:val="24"/>
        </w:rPr>
        <w:t xml:space="preserve"> </w:t>
      </w:r>
    </w:p>
    <w:p w:rsidR="00DA121A" w:rsidRDefault="00904DD6">
      <w:pPr>
        <w:spacing w:after="128"/>
        <w:ind w:left="279" w:right="144"/>
      </w:pPr>
      <w:r>
        <w:rPr>
          <w:b/>
        </w:rPr>
        <w:t>Consta en el expediente Informe de Intervención emitido por Don Nicolás Rojo Garnic</w:t>
      </w:r>
      <w:r>
        <w:rPr>
          <w:b/>
        </w:rPr>
        <w:t>a, que desempeña el puesto de trabajo de Interventor Municipal, de 27 de marzo de 2023, del siguiente tenor literal:</w:t>
      </w:r>
      <w:r>
        <w:t xml:space="preserve"> </w:t>
      </w:r>
    </w:p>
    <w:p w:rsidR="00DA121A" w:rsidRDefault="00904DD6">
      <w:pPr>
        <w:spacing w:after="232" w:line="259" w:lineRule="auto"/>
        <w:ind w:left="284" w:firstLine="0"/>
        <w:jc w:val="left"/>
      </w:pPr>
      <w:r>
        <w:rPr>
          <w:rFonts w:ascii="Times New Roman" w:eastAsia="Times New Roman" w:hAnsi="Times New Roman" w:cs="Times New Roman"/>
          <w:sz w:val="24"/>
        </w:rPr>
        <w:t xml:space="preserve"> </w:t>
      </w:r>
    </w:p>
    <w:p w:rsidR="00DA121A" w:rsidRDefault="00904DD6">
      <w:pPr>
        <w:pStyle w:val="Ttulo2"/>
        <w:ind w:right="1650"/>
      </w:pPr>
      <w:r>
        <w:t xml:space="preserve">“INFORME DE INTERVENCIÓN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Asunto: Reclamaciones contra el Presupuesto General del Ejercicio 2023</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67861" name="Group 267861"/>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0996" name="Shape 10996"/>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7861" style="width:477.1pt;height:2.04pt;mso-position-horizontal-relative:char;mso-position-vertical-relative:line" coordsize="60591,259">
                <v:shape id="Shape 10996" style="position:absolute;width:60591;height:0;left:0;top:0;" coordsize="6059170,0" path="m0,0l6059170,0">
                  <v:stroke weight="2.04pt" endcap="square" joinstyle="miter" miterlimit="10" on="true" color="#993366"/>
                  <v:fill on="false" color="#000000" opacity="0"/>
                </v:shape>
              </v:group>
            </w:pict>
          </mc:Fallback>
        </mc:AlternateContent>
      </w:r>
    </w:p>
    <w:p w:rsidR="00DA121A" w:rsidRDefault="00904DD6">
      <w:pPr>
        <w:spacing w:after="0" w:line="259" w:lineRule="auto"/>
        <w:ind w:left="284" w:firstLine="0"/>
        <w:jc w:val="left"/>
      </w:pPr>
      <w:r>
        <w:t xml:space="preserve"> </w:t>
      </w:r>
      <w:r>
        <w:tab/>
      </w:r>
      <w:r>
        <w:rPr>
          <w:rFonts w:ascii="Times New Roman" w:eastAsia="Times New Roman" w:hAnsi="Times New Roman" w:cs="Times New Roman"/>
          <w:sz w:val="24"/>
        </w:rPr>
        <w:t xml:space="preserve"> </w:t>
      </w:r>
    </w:p>
    <w:p w:rsidR="00DA121A" w:rsidRDefault="00904DD6">
      <w:pPr>
        <w:ind w:left="288" w:right="440"/>
      </w:pPr>
      <w:r>
        <w:t xml:space="preserve"> </w:t>
      </w:r>
      <w:r>
        <w:t>Vistas las reclamaciones del Partido Popular de Candelaria y Coalición Canaria de Candelaria, contra el Presupuesto General del ejercicio 2023, aprobada inicialmente en sesión plenaria ordinaria de fecha 23 de febrero de 2023 y publicada en el BOP de fecha</w:t>
      </w:r>
      <w:r>
        <w:t xml:space="preserve"> 3 de marzo de 2022, finalizando el plazo de presentar alegaciones el 24 de marzo de 2023, este Interventor INFORMA: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78"/>
        <w:ind w:left="288" w:right="146"/>
      </w:pPr>
      <w:r>
        <w:rPr>
          <w:b/>
        </w:rPr>
        <w:t>Primero</w:t>
      </w:r>
      <w:r>
        <w:t>: Que tienen la consideración de interesados, para reclamar contra el Presupuesto General:</w:t>
      </w:r>
      <w:r>
        <w:rPr>
          <w:rFonts w:ascii="Times New Roman" w:eastAsia="Times New Roman" w:hAnsi="Times New Roman" w:cs="Times New Roman"/>
          <w:sz w:val="24"/>
        </w:rPr>
        <w:t xml:space="preserve"> </w:t>
      </w:r>
    </w:p>
    <w:p w:rsidR="00DA121A" w:rsidRDefault="00904DD6">
      <w:pPr>
        <w:numPr>
          <w:ilvl w:val="0"/>
          <w:numId w:val="14"/>
        </w:numPr>
        <w:ind w:right="146" w:hanging="137"/>
      </w:pPr>
      <w:r>
        <w:t xml:space="preserve">Los habitantes en el territorio de </w:t>
      </w:r>
      <w:r>
        <w:t xml:space="preserve">la respectiva entidad local. </w:t>
      </w:r>
    </w:p>
    <w:p w:rsidR="00DA121A" w:rsidRDefault="00904DD6">
      <w:pPr>
        <w:numPr>
          <w:ilvl w:val="0"/>
          <w:numId w:val="14"/>
        </w:numPr>
        <w:ind w:right="146" w:hanging="137"/>
      </w:pPr>
      <w:r>
        <w:t xml:space="preserve">Los que resulten directamente afectados, aunque no habiten en el territorio de la entidad local. </w:t>
      </w:r>
    </w:p>
    <w:p w:rsidR="00DA121A" w:rsidRDefault="00904DD6">
      <w:pPr>
        <w:numPr>
          <w:ilvl w:val="0"/>
          <w:numId w:val="14"/>
        </w:numPr>
        <w:spacing w:after="99" w:line="242" w:lineRule="auto"/>
        <w:ind w:right="146" w:hanging="137"/>
      </w:pPr>
      <w:r>
        <w:t>Los colegios oficiales, cámaras oficiales, sindicatos, asociaciones y demás entidades legalmente constituidas para velar por int</w:t>
      </w:r>
      <w:r>
        <w:t>ereses profesionales o económicos y vecinales, cuando actúen en defensa de los que les son propios.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79" w:line="242" w:lineRule="auto"/>
        <w:ind w:left="279" w:right="368"/>
        <w:jc w:val="left"/>
      </w:pPr>
      <w:r>
        <w:rPr>
          <w:b/>
        </w:rPr>
        <w:t>Segundo</w:t>
      </w:r>
      <w:r>
        <w:t xml:space="preserve">: Que únicamente podrán entablarse reclamaciones contra el presupuesto, de conformidad con el artículo 170.2 del Real Decreto Legislativo 2/2004, </w:t>
      </w:r>
      <w:r>
        <w:t>de 5 de marzo, por el que se aprueba el Texto Refundido de la Ley reguladora de las Haciendas Locales:</w:t>
      </w:r>
      <w:r>
        <w:rPr>
          <w:rFonts w:ascii="Times New Roman" w:eastAsia="Times New Roman" w:hAnsi="Times New Roman" w:cs="Times New Roman"/>
          <w:sz w:val="24"/>
        </w:rPr>
        <w:t xml:space="preserve"> </w:t>
      </w:r>
    </w:p>
    <w:p w:rsidR="00DA121A" w:rsidRDefault="00904DD6">
      <w:pPr>
        <w:ind w:left="288" w:right="285"/>
      </w:pPr>
      <w:r>
        <w:t xml:space="preserve">1.- Por no haberse ajustado su elaboración y aprobación a los trámites establecidos en esta Ley. </w:t>
      </w:r>
    </w:p>
    <w:p w:rsidR="00DA121A" w:rsidRDefault="00904DD6">
      <w:pPr>
        <w:ind w:left="288" w:right="146"/>
      </w:pPr>
      <w:r>
        <w:t>2.- Por omitir el crédito necesario para el cumplimien</w:t>
      </w:r>
      <w:r>
        <w:t xml:space="preserve">to de obligaciones exigibles a la entidad local, en virtud de precepto legal o de cualquier otro título legítimo. </w:t>
      </w:r>
    </w:p>
    <w:p w:rsidR="00DA121A" w:rsidRDefault="00904DD6">
      <w:pPr>
        <w:spacing w:after="114"/>
        <w:ind w:left="288" w:right="146"/>
      </w:pPr>
      <w:r>
        <w:t>3.- Por ser de manifiesta insuficiencia los ingresos con relación a los gastos presupuestados o bien de estos respecto a las necesidades para</w:t>
      </w:r>
      <w:r>
        <w:t xml:space="preserve"> las que esté previsto. </w:t>
      </w:r>
    </w:p>
    <w:p w:rsidR="00DA121A" w:rsidRDefault="00904DD6">
      <w:pPr>
        <w:spacing w:after="94" w:line="242" w:lineRule="auto"/>
        <w:ind w:left="279" w:right="99"/>
        <w:jc w:val="left"/>
      </w:pPr>
      <w:r>
        <w:t xml:space="preserve"> </w:t>
      </w:r>
      <w:r>
        <w:tab/>
        <w:t>Debe hacerse hincapié en que los motivos de reclamación están tasados. Es decir, la reclamación puede presentarse exclusivamente por alguno de ellos (lo deja claro el artículo considerado al señalar que “</w:t>
      </w:r>
      <w:r>
        <w:rPr>
          <w:i/>
        </w:rPr>
        <w:t>Únicamente podrán entabla</w:t>
      </w:r>
      <w:r>
        <w:rPr>
          <w:i/>
        </w:rPr>
        <w:t>rse reclamaciones contra el presupuesto (…)</w:t>
      </w:r>
      <w:r>
        <w:t>”).</w:t>
      </w:r>
      <w:r>
        <w:rPr>
          <w:rFonts w:ascii="Times New Roman" w:eastAsia="Times New Roman" w:hAnsi="Times New Roman" w:cs="Times New Roman"/>
          <w:sz w:val="24"/>
        </w:rPr>
        <w:t xml:space="preserve"> </w:t>
      </w:r>
    </w:p>
    <w:p w:rsidR="00DA121A" w:rsidRDefault="00904DD6">
      <w:pPr>
        <w:ind w:left="288" w:right="146"/>
      </w:pPr>
      <w:r>
        <w:t xml:space="preserve">Desarrollando cada una de las citadas reclamaciones: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a.- Por no haberse ajustado su elaboración y aprobación a los trámites establecidos en esta Ley. </w:t>
      </w:r>
    </w:p>
    <w:p w:rsidR="00DA121A" w:rsidRDefault="00904DD6">
      <w:pPr>
        <w:spacing w:after="0" w:line="259" w:lineRule="auto"/>
        <w:ind w:left="284" w:firstLine="0"/>
        <w:jc w:val="left"/>
      </w:pPr>
      <w:r>
        <w:rPr>
          <w:b/>
        </w:rPr>
        <w:t xml:space="preserve"> </w:t>
      </w:r>
    </w:p>
    <w:p w:rsidR="00DA121A" w:rsidRDefault="00904DD6">
      <w:pPr>
        <w:ind w:left="278" w:right="436" w:firstLine="708"/>
      </w:pPr>
      <w:r>
        <w:t>Deberá entenderse en este punto la omisión de alguno de los documentos (que pueden ser los propios Presupuestos o de los estados de previsión de ingresos y gastos de las Entidades Públicas Empresariales y Sociedades Mercantiles –artículo 164 TRLRHL-, los A</w:t>
      </w:r>
      <w:r>
        <w:t xml:space="preserve">nexos que deben acompañar al Presupuesto de la Entidad Local –artículo 168 TRLRHL- y los Anexos que deberán incorporarse al Presupuesto General –artículo 167 TRLRHL-.). </w:t>
      </w:r>
    </w:p>
    <w:p w:rsidR="00DA121A" w:rsidRDefault="00904DD6">
      <w:pPr>
        <w:spacing w:after="0" w:line="259" w:lineRule="auto"/>
        <w:ind w:left="284" w:firstLine="0"/>
        <w:jc w:val="left"/>
      </w:pPr>
      <w:r>
        <w:t xml:space="preserve"> </w:t>
      </w:r>
    </w:p>
    <w:p w:rsidR="00DA121A" w:rsidRDefault="00904DD6">
      <w:pPr>
        <w:tabs>
          <w:tab w:val="center" w:pos="406"/>
          <w:tab w:val="center" w:pos="1473"/>
          <w:tab w:val="center" w:pos="2561"/>
          <w:tab w:val="center" w:pos="3358"/>
          <w:tab w:val="center" w:pos="4458"/>
          <w:tab w:val="center" w:pos="5466"/>
          <w:tab w:val="center" w:pos="6206"/>
          <w:tab w:val="center" w:pos="7435"/>
          <w:tab w:val="center" w:pos="9026"/>
        </w:tabs>
        <w:ind w:left="0" w:firstLine="0"/>
        <w:jc w:val="left"/>
      </w:pPr>
      <w:r>
        <w:rPr>
          <w:rFonts w:ascii="Calibri" w:eastAsia="Calibri" w:hAnsi="Calibri" w:cs="Calibri"/>
        </w:rPr>
        <w:tab/>
      </w:r>
      <w:r>
        <w:t xml:space="preserve">La </w:t>
      </w:r>
      <w:r>
        <w:tab/>
        <w:t xml:space="preserve">jurisprudencia </w:t>
      </w:r>
      <w:r>
        <w:tab/>
        <w:t xml:space="preserve">del </w:t>
      </w:r>
      <w:r>
        <w:tab/>
        <w:t xml:space="preserve">Tribunal </w:t>
      </w:r>
      <w:r>
        <w:tab/>
        <w:t xml:space="preserve">Supremo </w:t>
      </w:r>
      <w:r>
        <w:tab/>
        <w:t xml:space="preserve">ofrece </w:t>
      </w:r>
      <w:r>
        <w:tab/>
        <w:t xml:space="preserve">dos </w:t>
      </w:r>
      <w:r>
        <w:tab/>
        <w:t xml:space="preserve">consideraciones </w:t>
      </w:r>
      <w:r>
        <w:tab/>
        <w:t>relevante</w:t>
      </w:r>
      <w:r>
        <w:t xml:space="preserve">s: </w:t>
      </w:r>
    </w:p>
    <w:p w:rsidR="00DA121A" w:rsidRDefault="00904DD6">
      <w:pPr>
        <w:spacing w:after="0" w:line="259" w:lineRule="auto"/>
        <w:ind w:left="284" w:firstLine="0"/>
        <w:jc w:val="left"/>
      </w:pPr>
      <w:r>
        <w:t xml:space="preserve"> </w:t>
      </w:r>
    </w:p>
    <w:p w:rsidR="00DA121A" w:rsidRDefault="00904DD6">
      <w:pPr>
        <w:numPr>
          <w:ilvl w:val="0"/>
          <w:numId w:val="15"/>
        </w:numPr>
        <w:ind w:right="437"/>
      </w:pPr>
      <w:r>
        <w:t>La omisión de documentación e informes debe ponerse en relación con la fase de tramitación del Presupuesto. En su fase de aprobación inicial tendrá la consideración de irregularidad no invalidante, siempre que las omisiones observadas sean subsanadas</w:t>
      </w:r>
      <w:r>
        <w:t xml:space="preserve"> entre el momento de la aprobación inicial y la definitiva, y de este modo los Concejales vean cumplido su derecho a obtener la información exigida por la Ley (STS de 4 de marzo de 1992 –RJ 1992/2132-) y tendrá la naturaleza de vicio de legalidad que deter</w:t>
      </w:r>
      <w:r>
        <w:t xml:space="preserve">minará la anulación del Presupuesto cuando la omisión se produzca en la aprobación definitiva (STS de 13 de mayo de 1998 –RJ 1998/3674-). </w:t>
      </w:r>
    </w:p>
    <w:p w:rsidR="00DA121A" w:rsidRDefault="00904DD6">
      <w:pPr>
        <w:spacing w:after="0" w:line="259" w:lineRule="auto"/>
        <w:ind w:left="284" w:firstLine="0"/>
        <w:jc w:val="left"/>
      </w:pPr>
      <w:r>
        <w:t xml:space="preserve"> </w:t>
      </w:r>
    </w:p>
    <w:p w:rsidR="00DA121A" w:rsidRDefault="00904DD6">
      <w:pPr>
        <w:numPr>
          <w:ilvl w:val="0"/>
          <w:numId w:val="15"/>
        </w:numPr>
        <w:ind w:right="437"/>
      </w:pPr>
      <w:r>
        <w:t>Debe tenerse en cuenta, adicionalmente, la relevancia de la documentación omitida. En este sentido, el Tribunal Sup</w:t>
      </w:r>
      <w:r>
        <w:t>remo, aplicando la doctrina “favor acti”, entiende que no cualquier omisión debe ser sancionada con la anulación del Presupuesto. Es motivo de anulación la omisión del informe del Interventor (STS de 13 de mayo de 1998 –RJ 1998/3874-), pero no la existenci</w:t>
      </w:r>
      <w:r>
        <w:t xml:space="preserve">a de irregularidades en el Anexo de Inversiones o de Personal (STS de 22 de mayo de 2000 –RJ 2000/4314-).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b.- Por omitir el crédito necesario para el cumplimiento de obligaciones atribuibles a la Entidad. </w:t>
      </w:r>
    </w:p>
    <w:p w:rsidR="00DA121A" w:rsidRDefault="00904DD6">
      <w:pPr>
        <w:spacing w:after="0" w:line="259" w:lineRule="auto"/>
        <w:ind w:left="284" w:firstLine="0"/>
        <w:jc w:val="left"/>
      </w:pPr>
      <w:r>
        <w:t xml:space="preserve"> </w:t>
      </w:r>
    </w:p>
    <w:p w:rsidR="00DA121A" w:rsidRDefault="00904DD6">
      <w:pPr>
        <w:ind w:left="278" w:right="438" w:firstLine="708"/>
      </w:pPr>
      <w:r>
        <w:t>En caso de ser cierta, obligaría a practica</w:t>
      </w:r>
      <w:r>
        <w:t xml:space="preserve">r la correspondiente rectificación, bien a costa de reducir las consignaciones de gastos voluntarios, bien mediante la búsqueda de nuevas fuentes de ingresos. </w:t>
      </w:r>
    </w:p>
    <w:p w:rsidR="00DA121A" w:rsidRDefault="00904DD6">
      <w:pPr>
        <w:spacing w:after="0" w:line="259" w:lineRule="auto"/>
        <w:ind w:left="284" w:firstLine="0"/>
        <w:jc w:val="left"/>
      </w:pPr>
      <w:r>
        <w:t xml:space="preserve"> </w:t>
      </w:r>
    </w:p>
    <w:p w:rsidR="00DA121A" w:rsidRDefault="00904DD6">
      <w:pPr>
        <w:ind w:left="288" w:right="146"/>
      </w:pPr>
      <w:r>
        <w:t xml:space="preserve"> </w:t>
      </w:r>
      <w:r>
        <w:t xml:space="preserve">Conforme el artículo 173 del TRLRHL, señala que las obligaciones serán exigibles cuando resulten de la ejecución del presupuesto y las derivadas de la  </w:t>
      </w:r>
    </w:p>
    <w:p w:rsidR="00DA121A" w:rsidRDefault="00904DD6">
      <w:pPr>
        <w:spacing w:after="0" w:line="259" w:lineRule="auto"/>
        <w:ind w:left="284" w:firstLine="0"/>
        <w:jc w:val="left"/>
      </w:pPr>
      <w:r>
        <w:t xml:space="preserve"> </w:t>
      </w:r>
    </w:p>
    <w:p w:rsidR="00DA121A" w:rsidRDefault="00904DD6">
      <w:pPr>
        <w:ind w:left="288" w:right="442"/>
      </w:pPr>
      <w:r>
        <w:t>ejecución de sentencia judicial firme. La exigibilidad de las obligaciones es diferente del nacimient</w:t>
      </w:r>
      <w:r>
        <w:t xml:space="preserve">o de las mismas. Las obligaciones nacen de la Ley, de los negocios jurídicos, de los actos o hechos que, según la Ley las generan </w:t>
      </w:r>
    </w:p>
    <w:p w:rsidR="00DA121A" w:rsidRDefault="00904DD6">
      <w:pPr>
        <w:spacing w:after="0" w:line="259" w:lineRule="auto"/>
        <w:ind w:left="284" w:firstLine="0"/>
        <w:jc w:val="left"/>
      </w:pPr>
      <w:r>
        <w:t xml:space="preserve"> </w:t>
      </w:r>
    </w:p>
    <w:p w:rsidR="00DA121A" w:rsidRDefault="00904DD6">
      <w:pPr>
        <w:ind w:left="278" w:right="438" w:firstLine="708"/>
      </w:pPr>
      <w:r>
        <w:t>En este supuesto resulta relevante considerar los supuestos en los que la falta de inclusión del crédito necesario se produ</w:t>
      </w:r>
      <w:r>
        <w:t>ce como consecuencia de la existencia de una deuda abultada o de una situación financiera precaria (Remanente de Tesorería negativo). La jurisprudencia considera en este punto la necesidad de que el Ayuntamiento siga prestando los servicios. En este sentid</w:t>
      </w:r>
      <w:r>
        <w:t>o, y aunque el Tribunal Supremo no desciende al detalle sobre esta cuestión, se entiende que los servicios que el Ayuntamiento debe prestar son los obligatorios establecidos en el artículo 26 de la Ley 7/1985 de 2 de abril, reguladora de las bases del Régi</w:t>
      </w:r>
      <w:r>
        <w:t xml:space="preserve">men Local (LBRL).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c.- Por ser de manifiesta insuficiencia los ingresos con relación a los gastos presupuestados o bien de estos respecto a las necesidades para las que esté previsto. </w:t>
      </w:r>
    </w:p>
    <w:p w:rsidR="00DA121A" w:rsidRDefault="00904DD6">
      <w:pPr>
        <w:spacing w:after="0" w:line="259" w:lineRule="auto"/>
        <w:ind w:left="284" w:firstLine="0"/>
        <w:jc w:val="left"/>
      </w:pPr>
      <w:r>
        <w:t xml:space="preserve"> </w:t>
      </w:r>
    </w:p>
    <w:p w:rsidR="00DA121A" w:rsidRDefault="00904DD6">
      <w:pPr>
        <w:ind w:left="288" w:right="146"/>
      </w:pPr>
      <w:r>
        <w:t xml:space="preserve">          Dos son los supuestos que aquí se tratan: el de la niv</w:t>
      </w:r>
      <w:r>
        <w:t>elación presupuestaria y el de la insuficiencia de los créditos para atender las necesidades públicas del territorio de la entidad.</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438"/>
      </w:pPr>
      <w:r>
        <w:t xml:space="preserve"> La suficiencia de los ingresos se justifica en el informe económico financiero que se une al presupuesto, en la que se e</w:t>
      </w:r>
      <w:r>
        <w:t xml:space="preserve">xponen las bases utilizadas para la evaluación de los ingresos y la efectiva nivelación presupuestaria. </w:t>
      </w:r>
    </w:p>
    <w:p w:rsidR="00DA121A" w:rsidRDefault="00904DD6">
      <w:pPr>
        <w:spacing w:after="0" w:line="259" w:lineRule="auto"/>
        <w:ind w:left="284" w:firstLine="0"/>
        <w:jc w:val="left"/>
      </w:pPr>
      <w:r>
        <w:t xml:space="preserve"> </w:t>
      </w:r>
    </w:p>
    <w:p w:rsidR="00DA121A" w:rsidRDefault="00904DD6">
      <w:pPr>
        <w:ind w:left="278" w:right="440" w:firstLine="708"/>
      </w:pPr>
      <w:r>
        <w:t>Dentro de este apartado deben considerarse los supuestos en los que, pese a que la nivelación presupuestaria nominalmente existe (el Presupuesto se a</w:t>
      </w:r>
      <w:r>
        <w:t xml:space="preserve">prueba sin déficit inicial, de acuerdo con lo que determina el TRLRHL) existe un inadecuado cálculo de los ingresos o una insuficiencia dotación de los créditos para gastos necesarios.  </w:t>
      </w:r>
    </w:p>
    <w:p w:rsidR="00DA121A" w:rsidRDefault="00904DD6">
      <w:pPr>
        <w:spacing w:after="0" w:line="259" w:lineRule="auto"/>
        <w:ind w:left="284" w:firstLine="0"/>
        <w:jc w:val="left"/>
      </w:pPr>
      <w:r>
        <w:t xml:space="preserve"> </w:t>
      </w:r>
    </w:p>
    <w:p w:rsidR="00DA121A" w:rsidRDefault="00904DD6">
      <w:pPr>
        <w:ind w:left="278" w:right="435" w:firstLine="708"/>
      </w:pPr>
      <w:r>
        <w:t>En general, los Tribunales Superiores de Justicia se han manifestad</w:t>
      </w:r>
      <w:r>
        <w:t xml:space="preserve">o reacios a entrar en estas cuestiones. Es paradigmática, en este sentido, la Sentencia del Tribunal Superior de Justicia de la Comunidad Valenciana de 30 de junio de 2010 (JUR 2010/397851) que elude considerar en profundidad la alegación formulada de que </w:t>
      </w:r>
      <w:r>
        <w:t>los ingresos por la actividad urbanística del Municipio habían sido sobrevalorados, señalando que “</w:t>
      </w:r>
      <w:r>
        <w:rPr>
          <w:i/>
        </w:rPr>
        <w:t>por ser de manifiesta insuficiencia los ingresos con relación a los gastos presupuestados o bien de estos respecto a las necesidades para las que esté previs</w:t>
      </w:r>
      <w:r>
        <w:rPr>
          <w:i/>
        </w:rPr>
        <w:t>to) los desastrosos resultados de los ingresos previstos no constituyeron en ningún momento "déficit inicial" en la ya referida atmosfera social de imparable progreso y de confianza en un efecto multiplicador que se venía produciendo en los últimos años</w:t>
      </w:r>
      <w:r>
        <w:t>”.</w:t>
      </w:r>
      <w:r>
        <w:rPr>
          <w:rFonts w:ascii="Times New Roman" w:eastAsia="Times New Roman" w:hAnsi="Times New Roman" w:cs="Times New Roman"/>
          <w:sz w:val="24"/>
        </w:rPr>
        <w:t xml:space="preserve"> </w:t>
      </w:r>
    </w:p>
    <w:p w:rsidR="00DA121A" w:rsidRDefault="00904DD6">
      <w:pPr>
        <w:spacing w:after="0" w:line="259" w:lineRule="auto"/>
        <w:ind w:left="992" w:firstLine="0"/>
        <w:jc w:val="left"/>
      </w:pPr>
      <w:r>
        <w:t xml:space="preserve"> </w:t>
      </w:r>
    </w:p>
    <w:p w:rsidR="00DA121A" w:rsidRDefault="00904DD6">
      <w:pPr>
        <w:spacing w:after="0" w:line="259" w:lineRule="auto"/>
        <w:ind w:left="284" w:firstLine="0"/>
        <w:jc w:val="left"/>
      </w:pPr>
      <w:r>
        <w:t xml:space="preserve"> </w:t>
      </w:r>
    </w:p>
    <w:p w:rsidR="00DA121A" w:rsidRDefault="00904DD6">
      <w:pPr>
        <w:ind w:left="288" w:right="440"/>
      </w:pPr>
      <w:r>
        <w:t xml:space="preserve"> En cuanto a la suficiencia de los gastos para atender las necesidades previstas, también se acredita en el informe económico financiero mencionado, que ha de justificar la suficiencia de los créditos para el </w:t>
      </w:r>
      <w:r>
        <w:t xml:space="preserve">cumplimiento de las obligaciones exigibles y los gastos de funcionamiento de los servicios. </w:t>
      </w:r>
    </w:p>
    <w:p w:rsidR="00DA121A" w:rsidRDefault="00904DD6">
      <w:pPr>
        <w:spacing w:after="0" w:line="259" w:lineRule="auto"/>
        <w:ind w:left="284" w:firstLine="0"/>
        <w:jc w:val="left"/>
      </w:pPr>
      <w:r>
        <w:t xml:space="preserve"> </w:t>
      </w:r>
    </w:p>
    <w:p w:rsidR="00DA121A" w:rsidRDefault="00904DD6">
      <w:pPr>
        <w:ind w:left="278" w:right="435" w:firstLine="708"/>
      </w:pPr>
      <w:r>
        <w:t>En este aspecto, se debe prestar especial atención a los compromisos de gastos plurianuales, de la plantilla de personal, de la prestación de los servicios mínim</w:t>
      </w:r>
      <w:r>
        <w:t xml:space="preserve">os previstos en el artículo 26 de la LRBRL y de otros gastos fijos y corrientes necesarios para el funcionamiento normal de la entidad local, de forma que el crédito presupuestado sea suficiente para atender tales compromisos. </w:t>
      </w:r>
    </w:p>
    <w:p w:rsidR="00DA121A" w:rsidRDefault="00904DD6">
      <w:pPr>
        <w:spacing w:after="0" w:line="259" w:lineRule="auto"/>
        <w:ind w:left="284" w:firstLine="0"/>
        <w:jc w:val="left"/>
      </w:pPr>
      <w:r>
        <w:t xml:space="preserve"> </w:t>
      </w:r>
    </w:p>
    <w:p w:rsidR="00DA121A" w:rsidRDefault="00904DD6">
      <w:pPr>
        <w:ind w:left="288" w:right="441"/>
      </w:pPr>
      <w:r>
        <w:t xml:space="preserve"> </w:t>
      </w:r>
      <w:r>
        <w:t>Conforme la STSJ de Baleares, de 1 de diciembre de 2000, para que prospere la reclamación, tanto la insuficiencia de los ingresos como la de los créditos, ha de ser “manifiesta”, debe acreditarse mediante informe pericial u otro medio de pruebas suficiente</w:t>
      </w:r>
      <w:r>
        <w:t xml:space="preserve">, no bastando que sea posible.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2" w:line="242" w:lineRule="auto"/>
        <w:ind w:left="279" w:right="99"/>
        <w:jc w:val="left"/>
      </w:pPr>
      <w:r>
        <w:rPr>
          <w:b/>
        </w:rPr>
        <w:t>Tercero</w:t>
      </w:r>
      <w:r>
        <w:t>: Que contra la aprobación definitiva del presupuesto podrá interponerse directamente recurso contencioso-administrativo, en la forma y plazos que establecen las normas de dicha jurisdicción. La interposición de r</w:t>
      </w:r>
      <w:r>
        <w:t>ecursos no suspenderá por sí sola la aplicación del presupuesto definitivamente aprobado por la corporación.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ind w:left="288" w:right="380"/>
      </w:pPr>
      <w:r>
        <w:rPr>
          <w:b/>
        </w:rPr>
        <w:t>Cuarto:</w:t>
      </w:r>
      <w:r>
        <w:t xml:space="preserve"> Conforme al artículo 168.4 del Texto Refundido de la Ley Reguladora de las Haciendas Locales, aprobado por el Real Decreto Legislativo</w:t>
      </w:r>
      <w:r>
        <w:t xml:space="preserve"> 2/2004, de 5 de marzo, el presupuesto general se formulará por el presidente de la entidad con los documentos expuestos en el apartado 1 del citado artículo que, deberá ser informado por Intervención y remitido al Pleno para su aprobación, </w:t>
      </w:r>
      <w:r>
        <w:rPr>
          <w:b/>
        </w:rPr>
        <w:t xml:space="preserve">enmienda </w:t>
      </w:r>
      <w:r>
        <w:t>o devo</w:t>
      </w:r>
      <w:r>
        <w:t>lución.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78" w:right="146" w:firstLine="708"/>
      </w:pPr>
      <w:r>
        <w:t xml:space="preserve">El artículo 169 del TRLHL, en su apartado 1, establece que las reclamaciones al presupuesto se presentan durante el periodo de exposición al público, esto es, una vez que este ya ha sido aprobado inicialmente por el Pleno de la Corporación. </w:t>
      </w:r>
    </w:p>
    <w:p w:rsidR="00DA121A" w:rsidRDefault="00904DD6">
      <w:pPr>
        <w:spacing w:after="0" w:line="259" w:lineRule="auto"/>
        <w:ind w:left="284" w:firstLine="0"/>
        <w:jc w:val="left"/>
      </w:pPr>
      <w:r>
        <w:t xml:space="preserve"> </w:t>
      </w:r>
    </w:p>
    <w:p w:rsidR="00DA121A" w:rsidRDefault="00904DD6">
      <w:pPr>
        <w:ind w:left="278" w:right="146" w:firstLine="708"/>
      </w:pPr>
      <w:r>
        <w:t xml:space="preserve">Por el contrario, las enmiendas presentadas por los concejales durante el procedimiento de aprobación del presupuesto deben resolverse antes de que el Pleno adopte el acuerdo de aprobación inicial del presupuesto. Y en el periodo de exposición al público, </w:t>
      </w:r>
      <w:r>
        <w:t>se resuelven las alegaciones/reclamaciones que los interesados han presentado al presupuesto.</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ind w:left="288" w:right="440"/>
      </w:pPr>
      <w:r>
        <w:rPr>
          <w:b/>
        </w:rPr>
        <w:t>Quinto:</w:t>
      </w:r>
      <w:r>
        <w:t xml:space="preserve"> Que las enmiendas y alegaciones presentadas por parte del grupo político Popular, el día 21 de marzo de 2023, que tiene la consideración de interesad</w:t>
      </w:r>
      <w:r>
        <w:t xml:space="preserve">o, han sido presentadas en plazo y las fundamentaciones se basan en los siguientes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supuestos: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i/>
        </w:rPr>
        <w:t xml:space="preserve"> </w:t>
      </w:r>
    </w:p>
    <w:p w:rsidR="00DA121A" w:rsidRDefault="00904DD6">
      <w:pPr>
        <w:spacing w:after="0" w:line="259" w:lineRule="auto"/>
        <w:ind w:left="284" w:firstLine="0"/>
        <w:jc w:val="left"/>
      </w:pPr>
      <w:r>
        <w:rPr>
          <w:b/>
          <w:i/>
        </w:rPr>
        <w:t xml:space="preserve"> </w:t>
      </w:r>
    </w:p>
    <w:p w:rsidR="00DA121A" w:rsidRDefault="00904DD6">
      <w:pPr>
        <w:spacing w:after="6" w:line="248" w:lineRule="auto"/>
        <w:ind w:left="279" w:right="424"/>
      </w:pPr>
      <w:r>
        <w:rPr>
          <w:b/>
          <w:i/>
        </w:rPr>
        <w:t>- Alegación 1º.-</w:t>
      </w:r>
      <w:r>
        <w:t xml:space="preserve">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992" w:firstLine="0"/>
        <w:jc w:val="left"/>
      </w:pPr>
      <w:r>
        <w:rPr>
          <w:b/>
          <w:i/>
        </w:rPr>
        <w:t xml:space="preserve"> </w:t>
      </w:r>
    </w:p>
    <w:p w:rsidR="00DA121A" w:rsidRDefault="00904DD6">
      <w:pPr>
        <w:spacing w:after="6" w:line="248" w:lineRule="auto"/>
        <w:ind w:left="269" w:right="424" w:firstLine="708"/>
      </w:pPr>
      <w:r>
        <w:rPr>
          <w:b/>
          <w:i/>
        </w:rPr>
        <w:t>El presupuesto para el año 2023, se va a aprobar finalmente con 3 meses de demora respecto a lo establecido al art. 112.4 de la Le</w:t>
      </w:r>
      <w:r>
        <w:rPr>
          <w:b/>
          <w:i/>
        </w:rPr>
        <w:t xml:space="preserve">y 7/1985 de 2 de abril, Reguladora de las bases de régimen local. Se insta a la corporación a traer el documento a su discusión antes de la finalización del año.  </w:t>
      </w:r>
    </w:p>
    <w:p w:rsidR="00DA121A" w:rsidRDefault="00904DD6">
      <w:pPr>
        <w:spacing w:after="0" w:line="259" w:lineRule="auto"/>
        <w:ind w:left="992" w:firstLine="0"/>
        <w:jc w:val="left"/>
      </w:pPr>
      <w:r>
        <w:rPr>
          <w:b/>
          <w:i/>
        </w:rPr>
        <w:t xml:space="preserve"> </w:t>
      </w:r>
    </w:p>
    <w:p w:rsidR="00DA121A" w:rsidRDefault="00904DD6">
      <w:pPr>
        <w:spacing w:after="6" w:line="248" w:lineRule="auto"/>
        <w:ind w:left="269" w:right="424" w:firstLine="708"/>
      </w:pPr>
      <w:r>
        <w:rPr>
          <w:b/>
          <w:i/>
        </w:rPr>
        <w:t>Las consecuencias del retraso es la prórroga del presupuesto 2022, por lo que nos dificult</w:t>
      </w:r>
      <w:r>
        <w:rPr>
          <w:b/>
          <w:i/>
        </w:rPr>
        <w:t xml:space="preserve">a la fiscalización de las partidas económicas en el primer trimestre del año, ya que se incorporan al nuevo presupuesto sin especificar periodo. </w:t>
      </w:r>
    </w:p>
    <w:p w:rsidR="00DA121A" w:rsidRDefault="00904DD6">
      <w:pPr>
        <w:spacing w:after="0" w:line="259" w:lineRule="auto"/>
        <w:ind w:left="284" w:firstLine="0"/>
        <w:jc w:val="left"/>
      </w:pPr>
      <w:r>
        <w:t xml:space="preserve"> </w:t>
      </w:r>
    </w:p>
    <w:p w:rsidR="00DA121A" w:rsidRDefault="00904DD6">
      <w:pPr>
        <w:spacing w:after="112"/>
        <w:ind w:left="278" w:right="438" w:firstLine="708"/>
      </w:pPr>
      <w:r>
        <w:t>La norma establece unos plazos para la elaboración y aprobación del Presupuesto General, para su entrada en vigor al comienzo del ejercicio. SI no se cumplen, las normas vigentes, arbitran una serie de medidas que permitan el funcionamiento de la entidad y</w:t>
      </w:r>
      <w:r>
        <w:t xml:space="preserve"> la prestación de servicios públicos básicos. Ello explica que el apartado 6 del artículo 169 del TRLRHL, regule que: </w:t>
      </w:r>
    </w:p>
    <w:p w:rsidR="00DA121A" w:rsidRDefault="00904DD6">
      <w:pPr>
        <w:spacing w:after="0" w:line="259" w:lineRule="auto"/>
        <w:ind w:left="992" w:firstLine="0"/>
        <w:jc w:val="left"/>
      </w:pPr>
      <w:r>
        <w:t xml:space="preserve"> </w:t>
      </w:r>
    </w:p>
    <w:p w:rsidR="00DA121A" w:rsidRDefault="00904DD6">
      <w:pPr>
        <w:spacing w:after="114"/>
        <w:ind w:left="278" w:right="441" w:firstLine="708"/>
      </w:pPr>
      <w:r>
        <w:t>“Si al iniciarse el ejercicio económico no hubiese entrado en vigor el presupuesto correspondiente, se considerará automáticamente pror</w:t>
      </w:r>
      <w:r>
        <w:t>rogado el del anterior, con sus créditos iniciales, sin perjuicio de las modificaciones que se realicen conforme a lo dispuesto en los artículos 177, 178 y 179 de esta ley y hasta la entrada en vigor del nuevo presupuesto. La prórroga no afectará a los cré</w:t>
      </w:r>
      <w:r>
        <w:t xml:space="preserve">ditos para servicios o programas que deban concluir en el ejercicio anterior o que estén financiados con crédito u otros ingresos específicos o afectados”. </w:t>
      </w:r>
    </w:p>
    <w:p w:rsidR="00DA121A" w:rsidRDefault="00904DD6">
      <w:pPr>
        <w:spacing w:after="98" w:line="259" w:lineRule="auto"/>
        <w:ind w:left="992" w:firstLine="0"/>
        <w:jc w:val="left"/>
      </w:pPr>
      <w:r>
        <w:t xml:space="preserve"> </w:t>
      </w:r>
    </w:p>
    <w:p w:rsidR="00DA121A" w:rsidRDefault="00904DD6">
      <w:pPr>
        <w:spacing w:after="96"/>
        <w:ind w:left="278" w:right="439" w:firstLine="708"/>
      </w:pPr>
      <w:r>
        <w:t>Asimismo, el artículo 48 de la Ley 39/2015 de 1 de octubre, del Procedimiento Administrativo Comú</w:t>
      </w:r>
      <w:r>
        <w:t>n de las Administraciones Públicas, regula que los defectos de forma, sólo determinará la anulabilidad cuando el acto carezca de los requisitos formales indispensables para alcanzar su fin o dé lugar a la indefensión de los interesados. La realización de a</w:t>
      </w:r>
      <w:r>
        <w:t>ctuaciones administrativas fuera del tiempo establecido para ellas sólo implicará la anulabilidad del acto cuando así lo imponga la naturaleza del término o plazo.</w:t>
      </w:r>
      <w:r>
        <w:rPr>
          <w:rFonts w:ascii="Times New Roman" w:eastAsia="Times New Roman" w:hAnsi="Times New Roman" w:cs="Times New Roman"/>
          <w:sz w:val="24"/>
        </w:rPr>
        <w:t xml:space="preserve"> </w:t>
      </w:r>
    </w:p>
    <w:p w:rsidR="00DA121A" w:rsidRDefault="00904DD6">
      <w:pPr>
        <w:spacing w:after="98" w:line="259" w:lineRule="auto"/>
        <w:ind w:left="992" w:firstLine="0"/>
        <w:jc w:val="left"/>
      </w:pPr>
      <w:r>
        <w:t xml:space="preserve"> </w:t>
      </w:r>
    </w:p>
    <w:p w:rsidR="00DA121A" w:rsidRDefault="00904DD6">
      <w:pPr>
        <w:spacing w:after="114"/>
        <w:ind w:left="278" w:right="146" w:firstLine="708"/>
      </w:pPr>
      <w:r>
        <w:t>Por tanto, se trata de una irregularidad no invalidante, por lo que se informa negativame</w:t>
      </w:r>
      <w:r>
        <w:t xml:space="preserve">nte la presente alegación. </w:t>
      </w:r>
    </w:p>
    <w:p w:rsidR="00DA121A" w:rsidRDefault="00904DD6">
      <w:pPr>
        <w:spacing w:after="0" w:line="259" w:lineRule="auto"/>
        <w:ind w:left="992" w:firstLine="0"/>
        <w:jc w:val="left"/>
      </w:pPr>
      <w:r>
        <w:t xml:space="preserve"> </w:t>
      </w:r>
    </w:p>
    <w:p w:rsidR="00DA121A" w:rsidRDefault="00904DD6">
      <w:pPr>
        <w:spacing w:after="0" w:line="259" w:lineRule="auto"/>
        <w:ind w:left="284" w:firstLine="0"/>
        <w:jc w:val="left"/>
      </w:pPr>
      <w:r>
        <w:t xml:space="preserve"> </w:t>
      </w:r>
      <w:r>
        <w:tab/>
        <w:t xml:space="preserve"> </w:t>
      </w:r>
    </w:p>
    <w:p w:rsidR="00DA121A" w:rsidRDefault="00904DD6">
      <w:pPr>
        <w:spacing w:after="0" w:line="259" w:lineRule="auto"/>
        <w:ind w:left="284" w:firstLine="0"/>
        <w:jc w:val="left"/>
      </w:pPr>
      <w:r>
        <w:rPr>
          <w:b/>
          <w:i/>
        </w:rPr>
        <w:t xml:space="preserve"> </w:t>
      </w:r>
    </w:p>
    <w:p w:rsidR="00DA121A" w:rsidRDefault="00904DD6">
      <w:pPr>
        <w:spacing w:after="6" w:line="248" w:lineRule="auto"/>
        <w:ind w:left="279" w:right="424"/>
      </w:pPr>
      <w:r>
        <w:rPr>
          <w:b/>
          <w:i/>
        </w:rPr>
        <w:t xml:space="preserve">- Alegación 2º.-  </w:t>
      </w:r>
    </w:p>
    <w:p w:rsidR="00DA121A" w:rsidRDefault="00904DD6">
      <w:pPr>
        <w:spacing w:after="0" w:line="259" w:lineRule="auto"/>
        <w:ind w:left="284" w:firstLine="0"/>
        <w:jc w:val="left"/>
      </w:pPr>
      <w:r>
        <w:rPr>
          <w:b/>
          <w:i/>
        </w:rPr>
        <w:t xml:space="preserve"> </w:t>
      </w:r>
    </w:p>
    <w:p w:rsidR="00DA121A" w:rsidRDefault="00904DD6">
      <w:pPr>
        <w:spacing w:after="146"/>
        <w:ind w:left="279" w:right="144"/>
      </w:pPr>
      <w:r>
        <w:rPr>
          <w:b/>
        </w:rPr>
        <w:t xml:space="preserve">Según el documento de bases de ejecución, con carácter general se establece como nivel de vinculación jurídica para los créditos del estado de gastos:  </w:t>
      </w:r>
    </w:p>
    <w:p w:rsidR="00DA121A" w:rsidRDefault="00904DD6">
      <w:pPr>
        <w:numPr>
          <w:ilvl w:val="0"/>
          <w:numId w:val="16"/>
        </w:numPr>
        <w:spacing w:after="102"/>
        <w:ind w:left="435" w:right="144" w:hanging="166"/>
      </w:pPr>
      <w:r>
        <w:rPr>
          <w:b/>
        </w:rPr>
        <w:t xml:space="preserve">Respecto a la clasificación por programas, subprogramas. </w:t>
      </w:r>
      <w:r>
        <w:rPr>
          <w:rFonts w:ascii="Times New Roman" w:eastAsia="Times New Roman" w:hAnsi="Times New Roman" w:cs="Times New Roman"/>
          <w:sz w:val="24"/>
        </w:rPr>
        <w:t xml:space="preserve"> </w:t>
      </w:r>
    </w:p>
    <w:p w:rsidR="00DA121A" w:rsidRDefault="00904DD6">
      <w:pPr>
        <w:numPr>
          <w:ilvl w:val="0"/>
          <w:numId w:val="16"/>
        </w:numPr>
        <w:spacing w:after="71"/>
        <w:ind w:left="435" w:right="144" w:hanging="166"/>
      </w:pPr>
      <w:r>
        <w:rPr>
          <w:b/>
        </w:rPr>
        <w:t xml:space="preserve">Respecto a la clasificación por categorías por categorías económicas, el capítulo. </w:t>
      </w:r>
      <w:r>
        <w:rPr>
          <w:rFonts w:ascii="Times New Roman" w:eastAsia="Times New Roman" w:hAnsi="Times New Roman" w:cs="Times New Roman"/>
          <w:sz w:val="24"/>
        </w:rPr>
        <w:t xml:space="preserve"> </w:t>
      </w:r>
    </w:p>
    <w:p w:rsidR="00DA121A" w:rsidRDefault="00904DD6">
      <w:pPr>
        <w:spacing w:after="100" w:line="259" w:lineRule="auto"/>
        <w:ind w:left="284" w:firstLine="0"/>
        <w:jc w:val="left"/>
      </w:pPr>
      <w:r>
        <w:rPr>
          <w:b/>
        </w:rPr>
        <w:t xml:space="preserve"> </w:t>
      </w:r>
    </w:p>
    <w:p w:rsidR="00DA121A" w:rsidRDefault="00904DD6">
      <w:pPr>
        <w:spacing w:after="109"/>
        <w:ind w:left="279" w:right="144"/>
      </w:pPr>
      <w:r>
        <w:rPr>
          <w:b/>
        </w:rPr>
        <w:t xml:space="preserve">Con carácter especial se establecen los siguientes niveles de vinculación:  </w:t>
      </w:r>
    </w:p>
    <w:p w:rsidR="00DA121A" w:rsidRDefault="00904DD6">
      <w:pPr>
        <w:spacing w:after="116" w:line="259" w:lineRule="auto"/>
        <w:ind w:left="284" w:firstLine="0"/>
        <w:jc w:val="left"/>
      </w:pPr>
      <w:r>
        <w:rPr>
          <w:b/>
        </w:rPr>
        <w:t xml:space="preserve"> </w:t>
      </w:r>
    </w:p>
    <w:p w:rsidR="00DA121A" w:rsidRDefault="00904DD6">
      <w:pPr>
        <w:numPr>
          <w:ilvl w:val="0"/>
          <w:numId w:val="16"/>
        </w:numPr>
        <w:spacing w:after="112"/>
        <w:ind w:left="435" w:right="144" w:hanging="166"/>
      </w:pPr>
      <w:r>
        <w:rPr>
          <w:b/>
        </w:rPr>
        <w:t>Los créditos extraordinarios ap</w:t>
      </w:r>
      <w:r>
        <w:rPr>
          <w:b/>
        </w:rPr>
        <w:t xml:space="preserve">robados durante el ejercicio se vincularán a nivel de aplicación presupuestario. </w:t>
      </w:r>
      <w:r>
        <w:rPr>
          <w:rFonts w:ascii="Times New Roman" w:eastAsia="Times New Roman" w:hAnsi="Times New Roman" w:cs="Times New Roman"/>
          <w:sz w:val="24"/>
        </w:rPr>
        <w:t xml:space="preserve"> </w:t>
      </w:r>
    </w:p>
    <w:p w:rsidR="00DA121A" w:rsidRDefault="00904DD6">
      <w:pPr>
        <w:numPr>
          <w:ilvl w:val="0"/>
          <w:numId w:val="16"/>
        </w:numPr>
        <w:spacing w:after="114"/>
        <w:ind w:left="435" w:right="144" w:hanging="166"/>
      </w:pPr>
      <w:r>
        <w:rPr>
          <w:b/>
        </w:rPr>
        <w:t xml:space="preserve">Los remanentes de crédito incorporados al presupuesto del ejercicio se vincularán a nivel de aplicación presupuestaria. </w:t>
      </w:r>
      <w:r>
        <w:rPr>
          <w:rFonts w:ascii="Times New Roman" w:eastAsia="Times New Roman" w:hAnsi="Times New Roman" w:cs="Times New Roman"/>
          <w:sz w:val="24"/>
        </w:rPr>
        <w:t xml:space="preserve"> </w:t>
      </w:r>
    </w:p>
    <w:p w:rsidR="00DA121A" w:rsidRDefault="00904DD6">
      <w:pPr>
        <w:numPr>
          <w:ilvl w:val="0"/>
          <w:numId w:val="16"/>
        </w:numPr>
        <w:spacing w:after="128"/>
        <w:ind w:left="435" w:right="144" w:hanging="166"/>
      </w:pPr>
      <w:r>
        <w:rPr>
          <w:b/>
        </w:rPr>
        <w:t>Los créditos referidos a gastos plurianuales autori</w:t>
      </w:r>
      <w:r>
        <w:rPr>
          <w:b/>
        </w:rPr>
        <w:t>zados en ejercicios precedentes, se vincularán a nivel de aplicación presupuestaria.</w:t>
      </w:r>
      <w:r>
        <w:rPr>
          <w:rFonts w:ascii="Times New Roman" w:eastAsia="Times New Roman" w:hAnsi="Times New Roman" w:cs="Times New Roman"/>
          <w:sz w:val="24"/>
        </w:rPr>
        <w:t xml:space="preserve"> </w:t>
      </w:r>
    </w:p>
    <w:p w:rsidR="00DA121A" w:rsidRDefault="00904DD6">
      <w:pPr>
        <w:numPr>
          <w:ilvl w:val="0"/>
          <w:numId w:val="16"/>
        </w:numPr>
        <w:spacing w:after="71"/>
        <w:ind w:left="435" w:right="144" w:hanging="166"/>
      </w:pPr>
      <w:r>
        <w:rPr>
          <w:b/>
        </w:rPr>
        <w:t xml:space="preserve">Los créditos correspondientes a gratificaciones se vincularán a nivel de subprograma. </w:t>
      </w:r>
      <w:r>
        <w:rPr>
          <w:rFonts w:ascii="Times New Roman" w:eastAsia="Times New Roman" w:hAnsi="Times New Roman" w:cs="Times New Roman"/>
          <w:sz w:val="24"/>
        </w:rPr>
        <w:t xml:space="preserve"> </w:t>
      </w:r>
    </w:p>
    <w:p w:rsidR="00DA121A" w:rsidRDefault="00904DD6">
      <w:pPr>
        <w:spacing w:after="98" w:line="259" w:lineRule="auto"/>
        <w:ind w:left="284" w:firstLine="0"/>
        <w:jc w:val="left"/>
      </w:pPr>
      <w:r>
        <w:rPr>
          <w:b/>
        </w:rPr>
        <w:t xml:space="preserve"> </w:t>
      </w:r>
    </w:p>
    <w:p w:rsidR="00DA121A" w:rsidRDefault="00904DD6">
      <w:pPr>
        <w:spacing w:after="98"/>
        <w:ind w:left="279" w:right="440"/>
      </w:pPr>
      <w:r>
        <w:rPr>
          <w:b/>
        </w:rPr>
        <w:t>Es por ello que consideramos que el presupuesto está muy abierto dejando la posibilidad de utilizar partidas en otros apartados que inicialmente no fueron presupuestados dentro del capítulo</w:t>
      </w:r>
      <w:r>
        <w:rPr>
          <w:rFonts w:ascii="Times New Roman" w:eastAsia="Times New Roman" w:hAnsi="Times New Roman" w:cs="Times New Roman"/>
          <w:sz w:val="24"/>
        </w:rPr>
        <w:t xml:space="preserve"> </w:t>
      </w:r>
    </w:p>
    <w:p w:rsidR="00DA121A" w:rsidRDefault="00904DD6">
      <w:pPr>
        <w:spacing w:after="0" w:line="259" w:lineRule="auto"/>
        <w:ind w:left="992" w:firstLine="0"/>
        <w:jc w:val="left"/>
      </w:pPr>
      <w:r>
        <w:t xml:space="preserve"> </w:t>
      </w:r>
    </w:p>
    <w:p w:rsidR="00DA121A" w:rsidRDefault="00904DD6">
      <w:pPr>
        <w:spacing w:after="93"/>
        <w:ind w:left="278" w:right="437" w:firstLine="708"/>
      </w:pPr>
      <w:r>
        <w:t>El nivel de vinculación jurídica hace referencia al nivel de ag</w:t>
      </w:r>
      <w:r>
        <w:t>rupación entre los distintos créditos que se establecen en los presupuestos, según la clasificación u ordenación del gasto; es decir, el nivel en el que los créditos asignados podrán ver alterado su destino inicial, siempre y cuando dichos créditos se dest</w:t>
      </w:r>
      <w:r>
        <w:t>inen a otros objetivos incluidos dentro de la bolsa de vinculación jurídica</w:t>
      </w:r>
      <w:r>
        <w:rPr>
          <w:u w:val="single" w:color="000000"/>
        </w:rPr>
        <w:t>,</w:t>
      </w:r>
      <w:r>
        <w:t xml:space="preserve"> en otras palabras, dentro del nivel de vinculación jurídica establecido.</w:t>
      </w:r>
      <w:r>
        <w:rPr>
          <w:rFonts w:ascii="Times New Roman" w:eastAsia="Times New Roman" w:hAnsi="Times New Roman" w:cs="Times New Roman"/>
          <w:sz w:val="24"/>
        </w:rPr>
        <w:t xml:space="preserve"> </w:t>
      </w:r>
    </w:p>
    <w:p w:rsidR="00DA121A" w:rsidRDefault="00904DD6">
      <w:pPr>
        <w:spacing w:after="100" w:line="259" w:lineRule="auto"/>
        <w:ind w:left="992" w:firstLine="0"/>
        <w:jc w:val="left"/>
      </w:pPr>
      <w:r>
        <w:t xml:space="preserve"> </w:t>
      </w:r>
    </w:p>
    <w:p w:rsidR="00DA121A" w:rsidRDefault="00904DD6">
      <w:pPr>
        <w:spacing w:after="93"/>
        <w:ind w:left="278" w:right="438" w:firstLine="708"/>
      </w:pPr>
      <w:r>
        <w:t>El respaldo legal de la posibilidad de gastar crédito de una aplicación presupuestaria por encima de su</w:t>
      </w:r>
      <w:r>
        <w:t xml:space="preserve"> consignación se encuentra en el artículo 172.2 del Texto Refundido de la Ley Reguladora de las Haciendas Locales aprobado por Real Decreto Legislativo 2/2004, de 5 de marzo (TRLRHL) cuando señala que </w:t>
      </w:r>
      <w:r>
        <w:rPr>
          <w:i/>
        </w:rPr>
        <w:t xml:space="preserve">«Los créditos autorizados tienen carácter limitativo y </w:t>
      </w:r>
      <w:r>
        <w:rPr>
          <w:i/>
        </w:rPr>
        <w:t>vinculante.</w:t>
      </w:r>
      <w:r>
        <w:rPr>
          <w:b/>
          <w:i/>
        </w:rPr>
        <w:t xml:space="preserve"> </w:t>
      </w:r>
      <w:r>
        <w:t>Los niveles de vinculación serán los que vengan establecidos en cada momento por la legislación presupuestaria del Estado, salvo que reglamentariamente se disponga otra cosa, esto es, las Bases de Ejecución del Presupuesto del Ayuntamiento de C</w:t>
      </w:r>
      <w:r>
        <w:t>andelaria, que ha establecido unos niveles de vinculación muy estrictos.</w:t>
      </w:r>
      <w:r>
        <w:rPr>
          <w:rFonts w:ascii="Times New Roman" w:eastAsia="Times New Roman" w:hAnsi="Times New Roman" w:cs="Times New Roman"/>
          <w:sz w:val="24"/>
        </w:rPr>
        <w:t xml:space="preserve"> </w:t>
      </w:r>
    </w:p>
    <w:p w:rsidR="00DA121A" w:rsidRDefault="00904DD6">
      <w:pPr>
        <w:spacing w:after="94"/>
        <w:ind w:left="278" w:right="439" w:firstLine="708"/>
      </w:pPr>
      <w:r>
        <w:t>No obstante, no se encuadra dicha alegación dentro de los tres supuestos de reclamación, tal como dispone el artículo 170.2 del Real Decreto Legislativo 2/2004, de 5 de marzo, por el</w:t>
      </w:r>
      <w:r>
        <w:t xml:space="preserve"> que se aprueba el Texto Refundido de la Ley reguladora de las Haciendas Locales.</w:t>
      </w:r>
      <w:r>
        <w:rPr>
          <w:rFonts w:ascii="Times New Roman" w:eastAsia="Times New Roman" w:hAnsi="Times New Roman" w:cs="Times New Roman"/>
          <w:sz w:val="24"/>
        </w:rPr>
        <w:t xml:space="preserve"> </w:t>
      </w:r>
    </w:p>
    <w:p w:rsidR="00DA121A" w:rsidRDefault="00904DD6">
      <w:pPr>
        <w:spacing w:after="101" w:line="259" w:lineRule="auto"/>
        <w:ind w:left="992" w:firstLine="0"/>
        <w:jc w:val="left"/>
      </w:pPr>
      <w:r>
        <w:t xml:space="preserve"> </w:t>
      </w:r>
    </w:p>
    <w:p w:rsidR="00DA121A" w:rsidRDefault="00904DD6">
      <w:pPr>
        <w:spacing w:after="98" w:line="259" w:lineRule="auto"/>
        <w:ind w:left="992" w:firstLine="0"/>
        <w:jc w:val="left"/>
      </w:pPr>
      <w:r>
        <w:t xml:space="preserve"> </w:t>
      </w:r>
    </w:p>
    <w:p w:rsidR="00DA121A" w:rsidRDefault="00904DD6">
      <w:pPr>
        <w:spacing w:after="109"/>
        <w:ind w:left="1002" w:right="146"/>
      </w:pPr>
      <w:r>
        <w:t xml:space="preserve">Se informa negativamente la presente alegación. </w:t>
      </w:r>
    </w:p>
    <w:p w:rsidR="00DA121A" w:rsidRDefault="00904DD6">
      <w:pPr>
        <w:spacing w:after="111" w:line="259" w:lineRule="auto"/>
        <w:ind w:left="284" w:firstLine="0"/>
        <w:jc w:val="left"/>
      </w:pPr>
      <w:r>
        <w:t xml:space="preserve"> </w:t>
      </w:r>
    </w:p>
    <w:p w:rsidR="00DA121A" w:rsidRDefault="00904DD6">
      <w:pPr>
        <w:numPr>
          <w:ilvl w:val="0"/>
          <w:numId w:val="17"/>
        </w:numPr>
        <w:spacing w:after="88" w:line="248" w:lineRule="auto"/>
        <w:ind w:left="406" w:right="144" w:hanging="137"/>
      </w:pPr>
      <w:r>
        <w:rPr>
          <w:b/>
          <w:i/>
        </w:rPr>
        <w:t xml:space="preserve">Alegación </w:t>
      </w:r>
      <w:r>
        <w:rPr>
          <w:b/>
        </w:rPr>
        <w:t xml:space="preserve">3º.- </w:t>
      </w:r>
      <w:r>
        <w:rPr>
          <w:rFonts w:ascii="Times New Roman" w:eastAsia="Times New Roman" w:hAnsi="Times New Roman" w:cs="Times New Roman"/>
          <w:sz w:val="24"/>
        </w:rPr>
        <w:t xml:space="preserve"> </w:t>
      </w:r>
    </w:p>
    <w:p w:rsidR="00DA121A" w:rsidRDefault="00904DD6">
      <w:pPr>
        <w:spacing w:after="103" w:line="259" w:lineRule="auto"/>
        <w:ind w:left="284" w:firstLine="0"/>
        <w:jc w:val="left"/>
      </w:pPr>
      <w:r>
        <w:rPr>
          <w:b/>
        </w:rPr>
        <w:t xml:space="preserve"> </w:t>
      </w:r>
    </w:p>
    <w:p w:rsidR="00DA121A" w:rsidRDefault="00904DD6">
      <w:pPr>
        <w:spacing w:after="107" w:line="248" w:lineRule="auto"/>
        <w:ind w:left="279" w:right="424"/>
      </w:pPr>
      <w:r>
        <w:rPr>
          <w:b/>
          <w:i/>
        </w:rPr>
        <w:t xml:space="preserve">Mejor gestión en las operaciones corrientes en el apartado de transferencias corrientes donde se destinan 35.000€ a intereses de demora, que se podrían ahorrar y reinvertir. </w:t>
      </w:r>
    </w:p>
    <w:p w:rsidR="00DA121A" w:rsidRDefault="00904DD6">
      <w:pPr>
        <w:spacing w:after="103" w:line="259" w:lineRule="auto"/>
        <w:ind w:left="284" w:firstLine="0"/>
        <w:jc w:val="left"/>
      </w:pPr>
      <w:r>
        <w:rPr>
          <w:b/>
        </w:rPr>
        <w:t xml:space="preserve"> </w:t>
      </w:r>
    </w:p>
    <w:p w:rsidR="00DA121A" w:rsidRDefault="00904DD6">
      <w:pPr>
        <w:spacing w:after="94"/>
        <w:ind w:left="278" w:right="437" w:firstLine="708"/>
      </w:pPr>
      <w:r>
        <w:t xml:space="preserve">La solicitud de una mejor gestión de las operaciones corrientes no se encuadra </w:t>
      </w:r>
      <w:r>
        <w:t>dentro de los tres supuestos de reclamación, tal como dispone el artículo 170.2 del Real Decreto Legislativo 2/2004, de 5 de marzo, por el que se aprueba el Texto Refundido de la Ley reguladora de las Haciendas Locales.</w:t>
      </w:r>
      <w:r>
        <w:rPr>
          <w:rFonts w:ascii="Times New Roman" w:eastAsia="Times New Roman" w:hAnsi="Times New Roman" w:cs="Times New Roman"/>
          <w:sz w:val="24"/>
        </w:rPr>
        <w:t xml:space="preserve"> </w:t>
      </w:r>
    </w:p>
    <w:p w:rsidR="00DA121A" w:rsidRDefault="00904DD6">
      <w:pPr>
        <w:spacing w:line="354" w:lineRule="auto"/>
        <w:ind w:left="1002" w:right="8892"/>
      </w:pPr>
      <w:r>
        <w:t xml:space="preserve">.  </w:t>
      </w:r>
    </w:p>
    <w:p w:rsidR="00DA121A" w:rsidRDefault="00904DD6">
      <w:pPr>
        <w:spacing w:after="109"/>
        <w:ind w:left="1002" w:right="146"/>
      </w:pPr>
      <w:r>
        <w:t>Se informa negativamente la pre</w:t>
      </w:r>
      <w:r>
        <w:t xml:space="preserve">sente alegación. </w:t>
      </w:r>
    </w:p>
    <w:p w:rsidR="00DA121A" w:rsidRDefault="00904DD6">
      <w:pPr>
        <w:spacing w:after="98" w:line="259" w:lineRule="auto"/>
        <w:ind w:left="284" w:firstLine="0"/>
        <w:jc w:val="left"/>
      </w:pPr>
      <w:r>
        <w:rPr>
          <w:b/>
        </w:rPr>
        <w:t xml:space="preserve"> </w:t>
      </w:r>
    </w:p>
    <w:p w:rsidR="00DA121A" w:rsidRDefault="00904DD6">
      <w:pPr>
        <w:spacing w:after="100" w:line="259" w:lineRule="auto"/>
        <w:ind w:left="284" w:firstLine="0"/>
        <w:jc w:val="left"/>
      </w:pPr>
      <w:r>
        <w:rPr>
          <w:b/>
        </w:rPr>
        <w:t xml:space="preserve"> </w:t>
      </w:r>
    </w:p>
    <w:p w:rsidR="00DA121A" w:rsidRDefault="00904DD6">
      <w:pPr>
        <w:numPr>
          <w:ilvl w:val="0"/>
          <w:numId w:val="17"/>
        </w:numPr>
        <w:spacing w:after="109"/>
        <w:ind w:left="406" w:right="144" w:hanging="137"/>
      </w:pPr>
      <w:r>
        <w:rPr>
          <w:b/>
        </w:rPr>
        <w:t xml:space="preserve">Propuesta de Enmienda 1º.-  </w:t>
      </w:r>
    </w:p>
    <w:p w:rsidR="00DA121A" w:rsidRDefault="00904DD6">
      <w:pPr>
        <w:spacing w:after="0" w:line="259" w:lineRule="auto"/>
        <w:ind w:left="284" w:firstLine="0"/>
        <w:jc w:val="left"/>
      </w:pPr>
      <w:r>
        <w:rPr>
          <w:b/>
        </w:rPr>
        <w:t xml:space="preserve"> </w:t>
      </w:r>
    </w:p>
    <w:p w:rsidR="00DA121A" w:rsidRDefault="00904DD6">
      <w:pPr>
        <w:spacing w:after="96" w:line="259" w:lineRule="auto"/>
        <w:ind w:left="10" w:right="874"/>
        <w:jc w:val="right"/>
      </w:pPr>
      <w:r>
        <w:rPr>
          <w:noProof/>
        </w:rPr>
        <w:drawing>
          <wp:inline distT="0" distB="0" distL="0" distR="0">
            <wp:extent cx="5129784" cy="5442204"/>
            <wp:effectExtent l="0" t="0" r="0" b="0"/>
            <wp:docPr id="11579" name="Picture 11579"/>
            <wp:cNvGraphicFramePr/>
            <a:graphic xmlns:a="http://schemas.openxmlformats.org/drawingml/2006/main">
              <a:graphicData uri="http://schemas.openxmlformats.org/drawingml/2006/picture">
                <pic:pic xmlns:pic="http://schemas.openxmlformats.org/drawingml/2006/picture">
                  <pic:nvPicPr>
                    <pic:cNvPr id="11579" name="Picture 11579"/>
                    <pic:cNvPicPr/>
                  </pic:nvPicPr>
                  <pic:blipFill>
                    <a:blip r:embed="rId35"/>
                    <a:stretch>
                      <a:fillRect/>
                    </a:stretch>
                  </pic:blipFill>
                  <pic:spPr>
                    <a:xfrm>
                      <a:off x="0" y="0"/>
                      <a:ext cx="5129784" cy="5442204"/>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84" w:line="259" w:lineRule="auto"/>
        <w:ind w:left="992" w:firstLine="0"/>
        <w:jc w:val="left"/>
      </w:pPr>
      <w:r>
        <w:rPr>
          <w:rFonts w:ascii="Times New Roman" w:eastAsia="Times New Roman" w:hAnsi="Times New Roman" w:cs="Times New Roman"/>
          <w:sz w:val="24"/>
        </w:rPr>
        <w:t xml:space="preserve"> </w:t>
      </w:r>
    </w:p>
    <w:p w:rsidR="00DA121A" w:rsidRDefault="00904DD6">
      <w:pPr>
        <w:spacing w:after="112"/>
        <w:ind w:left="278" w:right="146" w:firstLine="708"/>
      </w:pPr>
      <w:r>
        <w:t xml:space="preserve">Se informa negativamente la presente Enmienda, que no tiene la consideración de reclamación y no se encuadra dentro de los supuestos para reclamar contra el presupuesto </w:t>
      </w:r>
    </w:p>
    <w:p w:rsidR="00DA121A" w:rsidRDefault="00904DD6">
      <w:pPr>
        <w:spacing w:after="98" w:line="259" w:lineRule="auto"/>
        <w:ind w:left="284" w:firstLine="0"/>
        <w:jc w:val="left"/>
      </w:pPr>
      <w:r>
        <w:rPr>
          <w:b/>
        </w:rPr>
        <w:t xml:space="preserve"> </w:t>
      </w:r>
    </w:p>
    <w:p w:rsidR="00DA121A" w:rsidRDefault="00904DD6">
      <w:pPr>
        <w:spacing w:after="98" w:line="259" w:lineRule="auto"/>
        <w:ind w:left="284" w:firstLine="0"/>
        <w:jc w:val="left"/>
      </w:pPr>
      <w:r>
        <w:rPr>
          <w:b/>
        </w:rPr>
        <w:t xml:space="preserve"> </w:t>
      </w:r>
    </w:p>
    <w:p w:rsidR="00DA121A" w:rsidRDefault="00904DD6">
      <w:pPr>
        <w:spacing w:after="100" w:line="259" w:lineRule="auto"/>
        <w:ind w:left="284" w:firstLine="0"/>
        <w:jc w:val="left"/>
      </w:pPr>
      <w:r>
        <w:rPr>
          <w:b/>
        </w:rPr>
        <w:t xml:space="preserve"> </w:t>
      </w:r>
    </w:p>
    <w:p w:rsidR="00DA121A" w:rsidRDefault="00904DD6">
      <w:pPr>
        <w:numPr>
          <w:ilvl w:val="0"/>
          <w:numId w:val="17"/>
        </w:numPr>
        <w:spacing w:after="128"/>
        <w:ind w:left="406" w:right="144" w:hanging="137"/>
      </w:pPr>
      <w:r>
        <w:rPr>
          <w:b/>
        </w:rPr>
        <w:t xml:space="preserve">Propuesta de Enmienda 2º.-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36" w:line="259" w:lineRule="auto"/>
        <w:ind w:left="0" w:right="624" w:firstLine="0"/>
        <w:jc w:val="right"/>
      </w:pPr>
      <w:r>
        <w:rPr>
          <w:noProof/>
        </w:rPr>
        <w:drawing>
          <wp:inline distT="0" distB="0" distL="0" distR="0">
            <wp:extent cx="5737860" cy="4160520"/>
            <wp:effectExtent l="0" t="0" r="0" b="0"/>
            <wp:docPr id="11622" name="Picture 11622"/>
            <wp:cNvGraphicFramePr/>
            <a:graphic xmlns:a="http://schemas.openxmlformats.org/drawingml/2006/main">
              <a:graphicData uri="http://schemas.openxmlformats.org/drawingml/2006/picture">
                <pic:pic xmlns:pic="http://schemas.openxmlformats.org/drawingml/2006/picture">
                  <pic:nvPicPr>
                    <pic:cNvPr id="11622" name="Picture 11622"/>
                    <pic:cNvPicPr/>
                  </pic:nvPicPr>
                  <pic:blipFill>
                    <a:blip r:embed="rId36"/>
                    <a:stretch>
                      <a:fillRect/>
                    </a:stretch>
                  </pic:blipFill>
                  <pic:spPr>
                    <a:xfrm>
                      <a:off x="0" y="0"/>
                      <a:ext cx="5737860" cy="4160520"/>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84" w:line="259" w:lineRule="auto"/>
        <w:ind w:left="992" w:firstLine="0"/>
        <w:jc w:val="left"/>
      </w:pPr>
      <w:r>
        <w:rPr>
          <w:rFonts w:ascii="Times New Roman" w:eastAsia="Times New Roman" w:hAnsi="Times New Roman" w:cs="Times New Roman"/>
          <w:sz w:val="24"/>
        </w:rPr>
        <w:t xml:space="preserve"> </w:t>
      </w:r>
    </w:p>
    <w:p w:rsidR="00DA121A" w:rsidRDefault="00904DD6">
      <w:pPr>
        <w:spacing w:after="109"/>
        <w:ind w:left="278" w:right="146" w:firstLine="708"/>
      </w:pPr>
      <w:r>
        <w:t xml:space="preserve">Se informa negativamente la presente Enmienda, que no tiene la consideración de reclamación y no se encuadra dentro de los supuestos para reclamar contra el Presupuesto. </w:t>
      </w:r>
    </w:p>
    <w:p w:rsidR="00DA121A" w:rsidRDefault="00904DD6">
      <w:pPr>
        <w:spacing w:after="98" w:line="259" w:lineRule="auto"/>
        <w:ind w:left="284" w:firstLine="0"/>
        <w:jc w:val="left"/>
      </w:pPr>
      <w:r>
        <w:rPr>
          <w:b/>
        </w:rPr>
        <w:t xml:space="preserve"> </w:t>
      </w:r>
    </w:p>
    <w:p w:rsidR="00DA121A" w:rsidRDefault="00904DD6">
      <w:pPr>
        <w:spacing w:after="101" w:line="259" w:lineRule="auto"/>
        <w:ind w:left="284" w:firstLine="0"/>
        <w:jc w:val="left"/>
      </w:pPr>
      <w:r>
        <w:rPr>
          <w:b/>
        </w:rPr>
        <w:t xml:space="preserve"> </w:t>
      </w:r>
    </w:p>
    <w:p w:rsidR="00DA121A" w:rsidRDefault="00904DD6">
      <w:pPr>
        <w:numPr>
          <w:ilvl w:val="0"/>
          <w:numId w:val="17"/>
        </w:numPr>
        <w:spacing w:after="128"/>
        <w:ind w:left="406" w:right="144" w:hanging="137"/>
      </w:pPr>
      <w:r>
        <w:rPr>
          <w:b/>
        </w:rPr>
        <w:t xml:space="preserve">Propuesta de Enmienda 3º.-  </w:t>
      </w:r>
    </w:p>
    <w:p w:rsidR="00DA121A" w:rsidRDefault="00904DD6">
      <w:pPr>
        <w:spacing w:after="96"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96"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96"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96"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96"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96"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96"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96"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88"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36" w:line="259" w:lineRule="auto"/>
        <w:ind w:left="0" w:right="444" w:firstLine="0"/>
        <w:jc w:val="right"/>
      </w:pPr>
      <w:r>
        <w:rPr>
          <w:noProof/>
        </w:rPr>
        <w:drawing>
          <wp:inline distT="0" distB="0" distL="0" distR="0">
            <wp:extent cx="5852160" cy="6141720"/>
            <wp:effectExtent l="0" t="0" r="0" b="0"/>
            <wp:docPr id="11657" name="Picture 11657"/>
            <wp:cNvGraphicFramePr/>
            <a:graphic xmlns:a="http://schemas.openxmlformats.org/drawingml/2006/main">
              <a:graphicData uri="http://schemas.openxmlformats.org/drawingml/2006/picture">
                <pic:pic xmlns:pic="http://schemas.openxmlformats.org/drawingml/2006/picture">
                  <pic:nvPicPr>
                    <pic:cNvPr id="11657" name="Picture 11657"/>
                    <pic:cNvPicPr/>
                  </pic:nvPicPr>
                  <pic:blipFill>
                    <a:blip r:embed="rId37"/>
                    <a:stretch>
                      <a:fillRect/>
                    </a:stretch>
                  </pic:blipFill>
                  <pic:spPr>
                    <a:xfrm>
                      <a:off x="0" y="0"/>
                      <a:ext cx="5852160" cy="6141720"/>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84" w:line="259" w:lineRule="auto"/>
        <w:ind w:left="992" w:firstLine="0"/>
        <w:jc w:val="left"/>
      </w:pPr>
      <w:r>
        <w:rPr>
          <w:rFonts w:ascii="Times New Roman" w:eastAsia="Times New Roman" w:hAnsi="Times New Roman" w:cs="Times New Roman"/>
          <w:sz w:val="24"/>
        </w:rPr>
        <w:t xml:space="preserve"> </w:t>
      </w:r>
    </w:p>
    <w:p w:rsidR="00DA121A" w:rsidRDefault="00904DD6">
      <w:pPr>
        <w:spacing w:after="109"/>
        <w:ind w:left="278" w:right="146" w:firstLine="708"/>
      </w:pPr>
      <w:r>
        <w:t xml:space="preserve">Se informa negativamente la presente Enmienda, que no tiene la consideración de reclamación y no se encuadra dentro de los supuestos para reclamar contra el Presupuesto. </w:t>
      </w:r>
    </w:p>
    <w:p w:rsidR="00DA121A" w:rsidRDefault="00904DD6">
      <w:pPr>
        <w:spacing w:after="98" w:line="259" w:lineRule="auto"/>
        <w:ind w:left="284" w:firstLine="0"/>
        <w:jc w:val="left"/>
      </w:pPr>
      <w:r>
        <w:rPr>
          <w:b/>
        </w:rPr>
        <w:t xml:space="preserve"> </w:t>
      </w:r>
    </w:p>
    <w:p w:rsidR="00DA121A" w:rsidRDefault="00904DD6">
      <w:pPr>
        <w:spacing w:after="100" w:line="259" w:lineRule="auto"/>
        <w:ind w:left="284" w:firstLine="0"/>
        <w:jc w:val="left"/>
      </w:pPr>
      <w:r>
        <w:rPr>
          <w:b/>
        </w:rPr>
        <w:t xml:space="preserve"> </w:t>
      </w:r>
    </w:p>
    <w:p w:rsidR="00DA121A" w:rsidRDefault="00904DD6">
      <w:pPr>
        <w:numPr>
          <w:ilvl w:val="0"/>
          <w:numId w:val="17"/>
        </w:numPr>
        <w:spacing w:after="4"/>
        <w:ind w:left="406" w:right="144" w:hanging="137"/>
      </w:pPr>
      <w:r>
        <w:rPr>
          <w:b/>
        </w:rPr>
        <w:t xml:space="preserve">Propuesta de Enmienda 4º.-  </w:t>
      </w:r>
    </w:p>
    <w:p w:rsidR="00DA121A" w:rsidRDefault="00904DD6">
      <w:pPr>
        <w:spacing w:after="88"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38" w:line="259" w:lineRule="auto"/>
        <w:ind w:left="0" w:right="482" w:firstLine="0"/>
        <w:jc w:val="right"/>
      </w:pPr>
      <w:r>
        <w:rPr>
          <w:noProof/>
        </w:rPr>
        <w:drawing>
          <wp:inline distT="0" distB="0" distL="0" distR="0">
            <wp:extent cx="5820157" cy="4305300"/>
            <wp:effectExtent l="0" t="0" r="0" b="0"/>
            <wp:docPr id="11693" name="Picture 11693"/>
            <wp:cNvGraphicFramePr/>
            <a:graphic xmlns:a="http://schemas.openxmlformats.org/drawingml/2006/main">
              <a:graphicData uri="http://schemas.openxmlformats.org/drawingml/2006/picture">
                <pic:pic xmlns:pic="http://schemas.openxmlformats.org/drawingml/2006/picture">
                  <pic:nvPicPr>
                    <pic:cNvPr id="11693" name="Picture 11693"/>
                    <pic:cNvPicPr/>
                  </pic:nvPicPr>
                  <pic:blipFill>
                    <a:blip r:embed="rId38"/>
                    <a:stretch>
                      <a:fillRect/>
                    </a:stretch>
                  </pic:blipFill>
                  <pic:spPr>
                    <a:xfrm>
                      <a:off x="0" y="0"/>
                      <a:ext cx="5820157" cy="4305300"/>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84" w:line="259" w:lineRule="auto"/>
        <w:ind w:left="992" w:firstLine="0"/>
        <w:jc w:val="left"/>
      </w:pPr>
      <w:r>
        <w:rPr>
          <w:rFonts w:ascii="Times New Roman" w:eastAsia="Times New Roman" w:hAnsi="Times New Roman" w:cs="Times New Roman"/>
          <w:sz w:val="24"/>
        </w:rPr>
        <w:t xml:space="preserve"> </w:t>
      </w:r>
    </w:p>
    <w:p w:rsidR="00DA121A" w:rsidRDefault="00904DD6">
      <w:pPr>
        <w:spacing w:after="112"/>
        <w:ind w:left="278" w:right="146" w:firstLine="708"/>
      </w:pPr>
      <w:r>
        <w:t xml:space="preserve">Se informa negativamente la presente Enmienda, que no tiene la consideración de reclamación y no se encuadra dentro de los supuestos para reclamar contra el Presupuesto. </w:t>
      </w:r>
    </w:p>
    <w:p w:rsidR="00DA121A" w:rsidRDefault="00904DD6">
      <w:pPr>
        <w:spacing w:after="98" w:line="259" w:lineRule="auto"/>
        <w:ind w:left="284" w:firstLine="0"/>
        <w:jc w:val="left"/>
      </w:pPr>
      <w:r>
        <w:rPr>
          <w:b/>
        </w:rPr>
        <w:t xml:space="preserve"> </w:t>
      </w:r>
    </w:p>
    <w:p w:rsidR="00DA121A" w:rsidRDefault="00904DD6">
      <w:pPr>
        <w:numPr>
          <w:ilvl w:val="0"/>
          <w:numId w:val="17"/>
        </w:numPr>
        <w:spacing w:after="111"/>
        <w:ind w:left="406" w:right="144" w:hanging="137"/>
      </w:pPr>
      <w:r>
        <w:rPr>
          <w:b/>
        </w:rPr>
        <w:t xml:space="preserve">Propuesta de Enmienda 5º.-  </w:t>
      </w:r>
    </w:p>
    <w:p w:rsidR="00DA121A" w:rsidRDefault="00904DD6">
      <w:pPr>
        <w:spacing w:after="112" w:line="259" w:lineRule="auto"/>
        <w:ind w:left="992" w:firstLine="0"/>
        <w:jc w:val="left"/>
      </w:pPr>
      <w:r>
        <w:t xml:space="preserve"> </w:t>
      </w:r>
    </w:p>
    <w:p w:rsidR="00DA121A" w:rsidRDefault="00904DD6">
      <w:pPr>
        <w:spacing w:after="96" w:line="259" w:lineRule="auto"/>
        <w:ind w:left="992" w:firstLine="0"/>
        <w:jc w:val="left"/>
      </w:pPr>
      <w:r>
        <w:rPr>
          <w:rFonts w:ascii="Times New Roman" w:eastAsia="Times New Roman" w:hAnsi="Times New Roman" w:cs="Times New Roman"/>
          <w:sz w:val="24"/>
        </w:rPr>
        <w:t xml:space="preserve"> </w:t>
      </w:r>
    </w:p>
    <w:p w:rsidR="00DA121A" w:rsidRDefault="00904DD6">
      <w:pPr>
        <w:spacing w:after="0" w:line="259" w:lineRule="auto"/>
        <w:ind w:left="992" w:firstLine="0"/>
        <w:jc w:val="left"/>
      </w:pPr>
      <w:r>
        <w:rPr>
          <w:rFonts w:ascii="Times New Roman" w:eastAsia="Times New Roman" w:hAnsi="Times New Roman" w:cs="Times New Roman"/>
          <w:sz w:val="24"/>
        </w:rPr>
        <w:t xml:space="preserve"> </w:t>
      </w:r>
    </w:p>
    <w:p w:rsidR="00DA121A" w:rsidRDefault="00904DD6">
      <w:pPr>
        <w:spacing w:after="24" w:line="259" w:lineRule="auto"/>
        <w:ind w:left="0" w:firstLine="0"/>
        <w:jc w:val="right"/>
      </w:pPr>
      <w:r>
        <w:rPr>
          <w:noProof/>
        </w:rPr>
        <w:drawing>
          <wp:inline distT="0" distB="0" distL="0" distR="0">
            <wp:extent cx="5684520" cy="6400800"/>
            <wp:effectExtent l="0" t="0" r="0" b="0"/>
            <wp:docPr id="11725" name="Picture 11725"/>
            <wp:cNvGraphicFramePr/>
            <a:graphic xmlns:a="http://schemas.openxmlformats.org/drawingml/2006/main">
              <a:graphicData uri="http://schemas.openxmlformats.org/drawingml/2006/picture">
                <pic:pic xmlns:pic="http://schemas.openxmlformats.org/drawingml/2006/picture">
                  <pic:nvPicPr>
                    <pic:cNvPr id="11725" name="Picture 11725"/>
                    <pic:cNvPicPr/>
                  </pic:nvPicPr>
                  <pic:blipFill>
                    <a:blip r:embed="rId39"/>
                    <a:stretch>
                      <a:fillRect/>
                    </a:stretch>
                  </pic:blipFill>
                  <pic:spPr>
                    <a:xfrm>
                      <a:off x="0" y="0"/>
                      <a:ext cx="5684520" cy="6400800"/>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109"/>
        <w:ind w:left="278" w:right="146" w:firstLine="708"/>
      </w:pPr>
      <w:r>
        <w:t xml:space="preserve">Se informa negativamente la presente Enmienda, que no tiene la consideración de reclamación y no se encuadra dentro de los supuestos para reclamar contra el Presupuesto. </w:t>
      </w:r>
    </w:p>
    <w:p w:rsidR="00DA121A" w:rsidRDefault="00904DD6">
      <w:pPr>
        <w:spacing w:after="98" w:line="259" w:lineRule="auto"/>
        <w:ind w:left="284" w:firstLine="0"/>
        <w:jc w:val="left"/>
      </w:pPr>
      <w:r>
        <w:rPr>
          <w:b/>
        </w:rPr>
        <w:t xml:space="preserve"> </w:t>
      </w:r>
    </w:p>
    <w:p w:rsidR="00DA121A" w:rsidRDefault="00904DD6">
      <w:pPr>
        <w:numPr>
          <w:ilvl w:val="0"/>
          <w:numId w:val="17"/>
        </w:numPr>
        <w:spacing w:after="4"/>
        <w:ind w:left="406" w:right="144" w:hanging="137"/>
      </w:pPr>
      <w:r>
        <w:rPr>
          <w:b/>
        </w:rPr>
        <w:t xml:space="preserve">Propuesta de Enmienda 6º.-  </w:t>
      </w:r>
    </w:p>
    <w:p w:rsidR="00DA121A" w:rsidRDefault="00904DD6">
      <w:pPr>
        <w:spacing w:after="26" w:line="259" w:lineRule="auto"/>
        <w:ind w:left="0" w:right="588" w:firstLine="0"/>
        <w:jc w:val="right"/>
      </w:pPr>
      <w:r>
        <w:rPr>
          <w:noProof/>
        </w:rPr>
        <w:drawing>
          <wp:inline distT="0" distB="0" distL="0" distR="0">
            <wp:extent cx="5759197" cy="6316980"/>
            <wp:effectExtent l="0" t="0" r="0" b="0"/>
            <wp:docPr id="11757" name="Picture 11757"/>
            <wp:cNvGraphicFramePr/>
            <a:graphic xmlns:a="http://schemas.openxmlformats.org/drawingml/2006/main">
              <a:graphicData uri="http://schemas.openxmlformats.org/drawingml/2006/picture">
                <pic:pic xmlns:pic="http://schemas.openxmlformats.org/drawingml/2006/picture">
                  <pic:nvPicPr>
                    <pic:cNvPr id="11757" name="Picture 11757"/>
                    <pic:cNvPicPr/>
                  </pic:nvPicPr>
                  <pic:blipFill>
                    <a:blip r:embed="rId40"/>
                    <a:stretch>
                      <a:fillRect/>
                    </a:stretch>
                  </pic:blipFill>
                  <pic:spPr>
                    <a:xfrm>
                      <a:off x="0" y="0"/>
                      <a:ext cx="5759197" cy="6316980"/>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112"/>
        <w:ind w:left="288" w:right="340"/>
      </w:pPr>
      <w:r>
        <w:t xml:space="preserve">Se informa negativamente la presente Enmienda, que </w:t>
      </w:r>
      <w:r>
        <w:t xml:space="preserve">no tiene la consideración de reclamación y no se encuadra dentro de los supuestos para reclamar contra el Presupuesto. </w:t>
      </w:r>
    </w:p>
    <w:p w:rsidR="00DA121A" w:rsidRDefault="00904DD6">
      <w:pPr>
        <w:spacing w:after="100" w:line="259" w:lineRule="auto"/>
        <w:ind w:left="284" w:firstLine="0"/>
        <w:jc w:val="left"/>
      </w:pPr>
      <w:r>
        <w:rPr>
          <w:b/>
        </w:rPr>
        <w:t xml:space="preserve"> </w:t>
      </w:r>
    </w:p>
    <w:p w:rsidR="00DA121A" w:rsidRDefault="00904DD6">
      <w:pPr>
        <w:spacing w:after="95" w:line="259" w:lineRule="auto"/>
        <w:ind w:left="284" w:firstLine="0"/>
        <w:jc w:val="left"/>
      </w:pPr>
      <w:r>
        <w:t xml:space="preserve"> </w:t>
      </w:r>
    </w:p>
    <w:p w:rsidR="00DA121A" w:rsidRDefault="00904DD6">
      <w:pPr>
        <w:ind w:left="288" w:right="439"/>
      </w:pPr>
      <w:r>
        <w:rPr>
          <w:b/>
        </w:rPr>
        <w:t xml:space="preserve">Sexto: </w:t>
      </w:r>
      <w:r>
        <w:t>Que las reclamaciones presentadas por parte del partido político Coalición Canaria de Candelaria, encuadrado dentro del Grupo</w:t>
      </w:r>
      <w:r>
        <w:t xml:space="preserve"> Mixto, el día 21 de marzo de 2023, que tiene la consideración de interesado, han sido presentadas en plazo y las fundamentaciones se basan en los siguientes supuestos: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i/>
        </w:rPr>
        <w:t xml:space="preserve"> </w:t>
      </w:r>
    </w:p>
    <w:p w:rsidR="00DA121A" w:rsidRDefault="00904DD6">
      <w:pPr>
        <w:numPr>
          <w:ilvl w:val="0"/>
          <w:numId w:val="17"/>
        </w:numPr>
        <w:spacing w:after="6" w:line="248" w:lineRule="auto"/>
        <w:ind w:left="406" w:right="144" w:hanging="137"/>
      </w:pPr>
      <w:r>
        <w:rPr>
          <w:b/>
          <w:i/>
        </w:rPr>
        <w:t>Reclamación 1º.-</w:t>
      </w:r>
      <w:r>
        <w:t xml:space="preserve">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6" w:line="248" w:lineRule="auto"/>
        <w:ind w:left="279" w:right="424"/>
      </w:pPr>
      <w:r>
        <w:rPr>
          <w:b/>
          <w:i/>
        </w:rPr>
        <w:t>Por no haberse ajustado su elaboración y aprobación a los trámites establecidos en la Ley Reguladora de Haciendas Locales. Se ha incumplido en la elaboración del Presupuesto Municipal de Candelaria 2022, con los plazos legales establecidos en los artículos</w:t>
      </w:r>
      <w:r>
        <w:rPr>
          <w:b/>
          <w:i/>
        </w:rPr>
        <w:t xml:space="preserve"> 168 y 169 del Texto Refundido de la Ley Reguladora de Haciendas Locales TRLRHL para la adecuada aprobación, publicación y entrada en vigor de los presupuestos. </w:t>
      </w:r>
    </w:p>
    <w:p w:rsidR="00DA121A" w:rsidRDefault="00904DD6">
      <w:pPr>
        <w:spacing w:after="0" w:line="259" w:lineRule="auto"/>
        <w:ind w:left="284" w:firstLine="0"/>
        <w:jc w:val="left"/>
      </w:pPr>
      <w:r>
        <w:rPr>
          <w:b/>
          <w:i/>
        </w:rPr>
        <w:t xml:space="preserve"> </w:t>
      </w:r>
    </w:p>
    <w:p w:rsidR="00DA121A" w:rsidRDefault="00904DD6">
      <w:pPr>
        <w:spacing w:after="4"/>
        <w:ind w:left="279" w:right="434"/>
      </w:pPr>
      <w:r>
        <w:rPr>
          <w:b/>
        </w:rPr>
        <w:t>En el Pleno Ordinario celebrado el jueves 23 de febrero, se presentaron para su aprobación i</w:t>
      </w:r>
      <w:r>
        <w:rPr>
          <w:b/>
        </w:rPr>
        <w:t xml:space="preserve">nicial los Presupuestos Municipales de Candelaria para el ejercicio 2022. Unos presupuestos que tenían que haberse traído al Salón de Plenos para su aprobación, enmienda o devolución antes del 15 de octubre del pasado año, según el artículo 168.4 del Real </w:t>
      </w:r>
      <w:r>
        <w:rPr>
          <w:b/>
        </w:rPr>
        <w:t>Decreto Legislativo 2/2004, de 5 de marzo, por el que se aprueba el texto refundido de la Ley Reguladora de las Haciendas Locales, que establece: “Sobre la base de los presupuestos y estados de previsión a que se refieren los apartados anteriores, el presi</w:t>
      </w:r>
      <w:r>
        <w:rPr>
          <w:b/>
        </w:rPr>
        <w:t>dente de la entidad formará el presupuesto general y lo remitirá, informado por la Intervención y con los anexos y documentación complementaria detallados en el apartado 1 del artículo 166 y en el presente artículo, al Pleno de la corporación antes del día</w:t>
      </w:r>
      <w:r>
        <w:rPr>
          <w:b/>
        </w:rPr>
        <w:t xml:space="preserve"> 15 de octubre para su aprobación, enmienda o devolución”.  </w:t>
      </w:r>
    </w:p>
    <w:p w:rsidR="00DA121A" w:rsidRDefault="00904DD6">
      <w:pPr>
        <w:spacing w:after="13" w:line="259" w:lineRule="auto"/>
        <w:ind w:left="284" w:firstLine="0"/>
        <w:jc w:val="left"/>
      </w:pPr>
      <w:r>
        <w:rPr>
          <w:b/>
        </w:rPr>
        <w:t xml:space="preserve"> </w:t>
      </w:r>
    </w:p>
    <w:p w:rsidR="00DA121A" w:rsidRDefault="00904DD6">
      <w:pPr>
        <w:spacing w:after="4"/>
        <w:ind w:left="279" w:right="444"/>
      </w:pPr>
      <w:r>
        <w:rPr>
          <w:b/>
        </w:rPr>
        <w:t xml:space="preserve">Mientras que el art. 169.2 determina que: “La aprobación definitiva del presupuesto general por el Pleno de la corporación habrá de realizarse antes del día 31 de diciembre del año anterior al </w:t>
      </w:r>
      <w:r>
        <w:rPr>
          <w:b/>
        </w:rPr>
        <w:t xml:space="preserve">del ejercicio en que deba aplicarse. </w:t>
      </w:r>
    </w:p>
    <w:p w:rsidR="00DA121A" w:rsidRDefault="00904DD6">
      <w:pPr>
        <w:spacing w:after="0" w:line="259" w:lineRule="auto"/>
        <w:ind w:left="284" w:firstLine="0"/>
        <w:jc w:val="left"/>
      </w:pPr>
      <w:r>
        <w:rPr>
          <w:b/>
        </w:rPr>
        <w:t xml:space="preserve"> </w:t>
      </w:r>
    </w:p>
    <w:p w:rsidR="00DA121A" w:rsidRDefault="00904DD6">
      <w:pPr>
        <w:spacing w:after="4"/>
        <w:ind w:left="279" w:right="436"/>
      </w:pPr>
      <w:r>
        <w:rPr>
          <w:b/>
        </w:rPr>
        <w:t xml:space="preserve">Se trata de unos Presupuestos continuistas donde además la Participación Ciudadana ha vuelto nuevamente a brillar por su ausencia, y no digamos sobre la inexistencia, una vez más, de reuniones previas con los grupos </w:t>
      </w:r>
      <w:r>
        <w:rPr>
          <w:b/>
        </w:rPr>
        <w:t>de la oposición en la que se nos informase sobre el borrador de estos presupuestos y a los que CC hubiera deseado trasladar sus propuestas para su debate.</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i/>
        </w:rPr>
        <w:t xml:space="preserve"> </w:t>
      </w:r>
    </w:p>
    <w:p w:rsidR="00DA121A" w:rsidRDefault="00904DD6">
      <w:pPr>
        <w:ind w:left="288" w:right="438"/>
      </w:pPr>
      <w:r>
        <w:t>La norma establece unos plazos para la elaboración y aprobación del Presupuesto General, para su e</w:t>
      </w:r>
      <w:r>
        <w:t xml:space="preserve">ntrada en vigor al comienzo del ejercicio. SI no se cumplen, las normas vigentes, arbitran una serie de medidas que permitan el funcionamiento de la entidad y la prestación de servicios públicos básicos. Ello explica que el apartado 6 del artículo 169 del </w:t>
      </w:r>
      <w:r>
        <w:t xml:space="preserve">TRLRHL, regule que: </w:t>
      </w:r>
    </w:p>
    <w:p w:rsidR="00DA121A" w:rsidRDefault="00904DD6">
      <w:pPr>
        <w:spacing w:line="259" w:lineRule="auto"/>
        <w:ind w:left="284" w:firstLine="0"/>
        <w:jc w:val="left"/>
      </w:pPr>
      <w:r>
        <w:t xml:space="preserve"> </w:t>
      </w:r>
    </w:p>
    <w:p w:rsidR="00DA121A" w:rsidRDefault="00904DD6">
      <w:pPr>
        <w:ind w:left="288" w:right="438"/>
      </w:pPr>
      <w:r>
        <w:t>“Si al iniciarse el ejercicio económico no hubiese entrado en vigor el presupuesto correspondiente, se considerará automáticamente prorrogado el del anterior, con sus créditos iniciales, sin perjuicio de las modificaciones que se rea</w:t>
      </w:r>
      <w:r>
        <w:t>licen conforme a lo dispuesto en los artículos 177, 178 y 179 de esta ley y hasta la entrada en vigor del nuevo presupuesto. La prórroga no afectará a los créditos para servicios o programas que deban concluir en el ejercicio anterior o que estén financiad</w:t>
      </w:r>
      <w:r>
        <w:t xml:space="preserve">os con crédito u otros ingresos específicos o afectados”. </w:t>
      </w:r>
    </w:p>
    <w:p w:rsidR="00DA121A" w:rsidRDefault="00904DD6">
      <w:pPr>
        <w:spacing w:after="0" w:line="259" w:lineRule="auto"/>
        <w:ind w:left="284" w:firstLine="0"/>
        <w:jc w:val="left"/>
      </w:pPr>
      <w:r>
        <w:t xml:space="preserve"> </w:t>
      </w:r>
    </w:p>
    <w:p w:rsidR="00DA121A" w:rsidRDefault="00904DD6">
      <w:pPr>
        <w:ind w:left="278" w:right="146" w:firstLine="708"/>
      </w:pPr>
      <w:r>
        <w:t xml:space="preserve">Asimismo, el artículo 48 de la Ley 39/2015 de 1 de octubre, del Procedimiento Administrativo Común de las Administraciones Públicas, regula que los defectos de forma, sólo </w:t>
      </w:r>
      <w:r>
        <w:t>determinará la anulabilidad cuando el acto carezca de los requisitos formales indispensables para alcanzar su fin o dé lugar a la indefensión de los interesados. La realización de actuaciones administrativas fuera del tiempo establecido para ellas sólo imp</w:t>
      </w:r>
      <w:r>
        <w:t>licará la anulabilidad del acto cuando así lo imponga la naturaleza del término o plazo.</w:t>
      </w:r>
      <w:r>
        <w:rPr>
          <w:rFonts w:ascii="Times New Roman" w:eastAsia="Times New Roman" w:hAnsi="Times New Roman" w:cs="Times New Roman"/>
          <w:sz w:val="24"/>
        </w:rPr>
        <w:t xml:space="preserve"> </w:t>
      </w:r>
    </w:p>
    <w:p w:rsidR="00DA121A" w:rsidRDefault="00904DD6">
      <w:pPr>
        <w:spacing w:after="0" w:line="259" w:lineRule="auto"/>
        <w:ind w:left="992" w:firstLine="0"/>
        <w:jc w:val="left"/>
      </w:pPr>
      <w:r>
        <w:t xml:space="preserve"> </w:t>
      </w:r>
    </w:p>
    <w:p w:rsidR="00DA121A" w:rsidRDefault="00904DD6">
      <w:pPr>
        <w:ind w:left="278" w:right="146" w:firstLine="708"/>
      </w:pPr>
      <w:r>
        <w:t xml:space="preserve">Por tanto, se trata de una irregularidad no invalidante, por lo que se informa negativamente la presente reclamación. </w:t>
      </w:r>
    </w:p>
    <w:p w:rsidR="00DA121A" w:rsidRDefault="00904DD6">
      <w:pPr>
        <w:spacing w:after="0" w:line="259" w:lineRule="auto"/>
        <w:ind w:left="284" w:firstLine="0"/>
        <w:jc w:val="left"/>
      </w:pPr>
      <w:r>
        <w:t xml:space="preserve"> </w:t>
      </w:r>
      <w:r>
        <w:tab/>
        <w:t xml:space="preserve"> </w:t>
      </w:r>
    </w:p>
    <w:p w:rsidR="00DA121A" w:rsidRDefault="00904DD6">
      <w:pPr>
        <w:spacing w:after="4"/>
        <w:ind w:left="279" w:right="144"/>
      </w:pPr>
      <w:r>
        <w:rPr>
          <w:b/>
        </w:rPr>
        <w:t>- Reclamación</w:t>
      </w:r>
      <w:r>
        <w:t xml:space="preserve"> </w:t>
      </w:r>
      <w:r>
        <w:rPr>
          <w:b/>
        </w:rPr>
        <w:t xml:space="preserve">2º.-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6" w:line="248" w:lineRule="auto"/>
        <w:ind w:left="279" w:right="424"/>
      </w:pPr>
      <w:r>
        <w:rPr>
          <w:b/>
          <w:i/>
        </w:rPr>
        <w:t xml:space="preserve">A pesar de que el </w:t>
      </w:r>
      <w:r>
        <w:rPr>
          <w:b/>
          <w:i/>
        </w:rPr>
        <w:t xml:space="preserve">presupuesto municipal presenta un aumento del 32,7 % en inversiones reales, se trata de un aumento engañoso. Un año más las cuentas de los Presupuestos </w:t>
      </w:r>
    </w:p>
    <w:p w:rsidR="00DA121A" w:rsidRDefault="00904DD6">
      <w:pPr>
        <w:spacing w:after="6" w:line="248" w:lineRule="auto"/>
        <w:ind w:left="279" w:right="424"/>
      </w:pPr>
      <w:r>
        <w:rPr>
          <w:b/>
          <w:i/>
        </w:rPr>
        <w:t xml:space="preserve">Municipales 2023 vuelven a caracterizarse por unas ínfimas Inversiones Reales, apenas </w:t>
      </w:r>
    </w:p>
    <w:p w:rsidR="00DA121A" w:rsidRDefault="00904DD6">
      <w:pPr>
        <w:spacing w:after="6" w:line="248" w:lineRule="auto"/>
        <w:ind w:left="279" w:right="424"/>
      </w:pPr>
      <w:r>
        <w:rPr>
          <w:b/>
          <w:i/>
        </w:rPr>
        <w:t>804.373,52 € (el</w:t>
      </w:r>
      <w:r>
        <w:rPr>
          <w:b/>
          <w:i/>
        </w:rPr>
        <w:t xml:space="preserve">iminadas las inversiones en Maquinaria, instalaciones y Utillaje y de Mobiliario), frente a los 606.032,06 € presupuestados en el 2022.  </w:t>
      </w:r>
    </w:p>
    <w:p w:rsidR="00DA121A" w:rsidRDefault="00904DD6">
      <w:pPr>
        <w:spacing w:after="0" w:line="259" w:lineRule="auto"/>
        <w:ind w:left="284" w:firstLine="0"/>
        <w:jc w:val="left"/>
      </w:pPr>
      <w:r>
        <w:rPr>
          <w:b/>
          <w:i/>
        </w:rPr>
        <w:t xml:space="preserve"> </w:t>
      </w:r>
    </w:p>
    <w:p w:rsidR="00DA121A" w:rsidRDefault="00904DD6">
      <w:pPr>
        <w:spacing w:after="6" w:line="248" w:lineRule="auto"/>
        <w:ind w:left="279" w:right="424"/>
      </w:pPr>
      <w:r>
        <w:rPr>
          <w:b/>
          <w:i/>
        </w:rPr>
        <w:t>Y consideramos que se trata de un “aumento engañoso” porque este aumento en la inversión se explica al recogerse en el Presupuesto Municipal 2023 inversiones no ejecutadas en el 2021 y en el 2022, cuyos créditos además han tenido que ser modificados al alz</w:t>
      </w:r>
      <w:r>
        <w:rPr>
          <w:b/>
          <w:i/>
        </w:rPr>
        <w:t xml:space="preserve">a, como es el proyecto de “Instalación de Pantalanes en el Muelle Pesquero” (290.887,91 €) y el proyecto de “Adecuación de espacio libre y escultura de Araya” (173.366,46 €).  </w:t>
      </w:r>
    </w:p>
    <w:p w:rsidR="00DA121A" w:rsidRDefault="00904DD6">
      <w:pPr>
        <w:spacing w:after="0" w:line="259" w:lineRule="auto"/>
        <w:ind w:left="284" w:firstLine="0"/>
        <w:jc w:val="left"/>
      </w:pPr>
      <w:r>
        <w:rPr>
          <w:b/>
          <w:i/>
        </w:rPr>
        <w:t xml:space="preserve"> </w:t>
      </w:r>
    </w:p>
    <w:p w:rsidR="00DA121A" w:rsidRDefault="00904DD6">
      <w:pPr>
        <w:spacing w:after="6" w:line="248" w:lineRule="auto"/>
        <w:ind w:left="279" w:right="424"/>
      </w:pPr>
      <w:r>
        <w:rPr>
          <w:b/>
          <w:i/>
        </w:rPr>
        <w:t>Las nuevas inversiones se centran en partidas en Seguridad y Orden Público de</w:t>
      </w:r>
      <w:r>
        <w:rPr>
          <w:b/>
          <w:i/>
        </w:rPr>
        <w:t>stinadas a la Señalización de Tráfico (15.000 €); en Alcantarillado y Saneamiento para Inversiones en nuevas infraestructuras (50.000 €); en Abastecimiento de Agua Potable, partida de nueva creación (44.324 €); en Parques y Jardines para dotar de Mobiliari</w:t>
      </w:r>
      <w:r>
        <w:rPr>
          <w:b/>
          <w:i/>
        </w:rPr>
        <w:t>o y Rehabilitación Parques Infantiles (34.393,73 €); en Promoción Cultural para dotar de Aire Acondicionado al Cine Viejo (29.538,42 €), Mobiliario para Centros y Espacios Culturales (10.000 €) y la Rehabilitación Infraestructuras Culturales (10.000 €); en</w:t>
      </w:r>
      <w:r>
        <w:rPr>
          <w:b/>
          <w:i/>
        </w:rPr>
        <w:t xml:space="preserve"> Otras Infraestructuras para </w:t>
      </w:r>
    </w:p>
    <w:p w:rsidR="00DA121A" w:rsidRDefault="00904DD6">
      <w:pPr>
        <w:spacing w:after="6" w:line="248" w:lineRule="auto"/>
        <w:ind w:left="279" w:right="424"/>
      </w:pPr>
      <w:r>
        <w:rPr>
          <w:b/>
          <w:i/>
        </w:rPr>
        <w:t xml:space="preserve">Obras de Accesibilidad (20.000 €) y la Mejora del Alumbrado, Climatización del SAC, Biblioteca y Anexos (49.363 €); en Nuevas Tecnologías para Equipos Proceso de Información (30.000 €)  </w:t>
      </w:r>
    </w:p>
    <w:p w:rsidR="00DA121A" w:rsidRDefault="00904DD6">
      <w:pPr>
        <w:spacing w:after="0" w:line="259" w:lineRule="auto"/>
        <w:ind w:left="284" w:firstLine="0"/>
        <w:jc w:val="left"/>
      </w:pPr>
      <w:r>
        <w:rPr>
          <w:b/>
          <w:i/>
        </w:rPr>
        <w:t xml:space="preserve"> </w:t>
      </w:r>
    </w:p>
    <w:p w:rsidR="00DA121A" w:rsidRDefault="00904DD6">
      <w:pPr>
        <w:spacing w:after="6" w:line="248" w:lineRule="auto"/>
        <w:ind w:left="279" w:right="424"/>
      </w:pPr>
      <w:r>
        <w:rPr>
          <w:b/>
          <w:i/>
        </w:rPr>
        <w:t>Un municipio de las características d</w:t>
      </w:r>
      <w:r>
        <w:rPr>
          <w:b/>
          <w:i/>
        </w:rPr>
        <w:t xml:space="preserve">e Candelaria, con casi 30.000 habitantes necesita más Inversiones Reales, para mantener su desarrollo. Existen numerosas partidas que cuentan con créditos claramente insuficientes, o simplemente carecen de Inversión Real en este presupuesto.  </w:t>
      </w:r>
    </w:p>
    <w:p w:rsidR="00DA121A" w:rsidRDefault="00904DD6">
      <w:pPr>
        <w:spacing w:after="0" w:line="259" w:lineRule="auto"/>
        <w:ind w:left="284" w:firstLine="0"/>
        <w:jc w:val="left"/>
      </w:pPr>
      <w:r>
        <w:rPr>
          <w:b/>
          <w:i/>
        </w:rPr>
        <w:t xml:space="preserve"> </w:t>
      </w:r>
    </w:p>
    <w:p w:rsidR="00DA121A" w:rsidRDefault="00904DD6">
      <w:pPr>
        <w:spacing w:after="6" w:line="248" w:lineRule="auto"/>
        <w:ind w:left="279" w:right="424"/>
      </w:pPr>
      <w:r>
        <w:rPr>
          <w:b/>
          <w:i/>
        </w:rPr>
        <w:t>Por tanto,</w:t>
      </w:r>
      <w:r>
        <w:rPr>
          <w:b/>
          <w:i/>
        </w:rPr>
        <w:t xml:space="preserve"> estamos ante un Presupuesto 2023 continuista que no garantiza, con esta política de baja Inversión Real, el ofrecer servicios públicos de calidad. No potencia el</w:t>
      </w:r>
      <w:r>
        <w:t xml:space="preserve"> </w:t>
      </w:r>
      <w:r>
        <w:rPr>
          <w:b/>
          <w:i/>
        </w:rPr>
        <w:t>estado de bienestar vecinal, no se mejora la dinamización socio-económica y tampoco fomenta q</w:t>
      </w:r>
      <w:r>
        <w:rPr>
          <w:b/>
          <w:i/>
        </w:rPr>
        <w:t>ue nuestro municipio resulte atractivo para el vecino, el visitante y el inversor. Al igual que en el pasado ejercicio, el grupo de gobierno sigue confiando las muchas inversiones que necesita este municipio para su desarrollo y mantenimiento de los servic</w:t>
      </w:r>
      <w:r>
        <w:rPr>
          <w:b/>
          <w:i/>
        </w:rPr>
        <w:t>ios públicos, en la financiación externa de organismos supramunicipales, sin garantías de que esas inversiones realmente se ejecuten en el municipio en el presente ejercicio.</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i/>
        </w:rPr>
        <w:t xml:space="preserve"> </w:t>
      </w:r>
    </w:p>
    <w:p w:rsidR="00DA121A" w:rsidRDefault="00904DD6">
      <w:pPr>
        <w:ind w:left="288" w:right="436"/>
      </w:pPr>
      <w:r>
        <w:t>La solicitud de aumentar los créditos para gastos destinados a Inversiones Reales, no se encuadra dentro de los tres supuestos de reclamación, tal como dispone el artículo 170.2 del Real Decreto Legislativo 2/2004, de 5 de marzo, por el que se aprueba el T</w:t>
      </w:r>
      <w:r>
        <w:t xml:space="preserve">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Reclamación 3º.-</w:t>
      </w:r>
      <w:r>
        <w:t xml:space="preserve">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6" w:line="248" w:lineRule="auto"/>
        <w:ind w:left="279" w:right="424"/>
      </w:pPr>
      <w:r>
        <w:rPr>
          <w:b/>
          <w:i/>
        </w:rPr>
        <w:t>Consideramos insuficiente el crédito que se destina a la pavimentación de</w:t>
      </w:r>
      <w:r>
        <w:rPr>
          <w:b/>
          <w:i/>
        </w:rPr>
        <w:t xml:space="preserve"> vías públicas, RMC Infraestructuras y Bienes que se mantiene con una dotación de 39.000,00 €, y de otros 174.366,46 € de inversiones reales que van para Señalización y Mobiliario Urbano (1.000,00 €)</w:t>
      </w:r>
      <w:r>
        <w:t xml:space="preserve"> </w:t>
      </w:r>
      <w:r>
        <w:rPr>
          <w:b/>
          <w:i/>
        </w:rPr>
        <w:t>y la Obra de Adecuación Espacio Libre y Escultura de Ara</w:t>
      </w:r>
      <w:r>
        <w:rPr>
          <w:b/>
          <w:i/>
        </w:rPr>
        <w:t xml:space="preserve">ya (173.366,46 €). No aparecen partidas inversoras que concreten la renovación y mejora de algunas de las muchas vías municipales que se encuentran en mal estado, algunas sin ningún tipo de intervención desde hace años.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i/>
        </w:rPr>
        <w:t xml:space="preserve"> </w:t>
      </w:r>
    </w:p>
    <w:p w:rsidR="00DA121A" w:rsidRDefault="00904DD6">
      <w:pPr>
        <w:spacing w:after="6" w:line="248" w:lineRule="auto"/>
        <w:ind w:left="279" w:right="424"/>
      </w:pPr>
      <w:r>
        <w:rPr>
          <w:b/>
          <w:i/>
        </w:rPr>
        <w:t>La mejora de nuestras vías munic</w:t>
      </w:r>
      <w:r>
        <w:rPr>
          <w:b/>
          <w:i/>
        </w:rPr>
        <w:t>ipales no puede estar supeditada a la existencia de superávit o de remanente para gastos generales, para llevar a cabo las obras que se necesitan para garantizar la calidad en la movilidad de los ciudadanos de Candelaria,</w:t>
      </w:r>
      <w:r>
        <w:t xml:space="preserve"> </w:t>
      </w:r>
      <w:r>
        <w:rPr>
          <w:b/>
          <w:i/>
        </w:rPr>
        <w:t>como sigue ocurriendo en este muni</w:t>
      </w:r>
      <w:r>
        <w:rPr>
          <w:b/>
          <w:i/>
        </w:rPr>
        <w:t>cipio y siempre a escasos meses de nuevas elecciones municipales</w:t>
      </w:r>
      <w:r>
        <w:t xml:space="preserve">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6" w:line="248" w:lineRule="auto"/>
        <w:ind w:left="279" w:right="424"/>
      </w:pPr>
      <w:r>
        <w:rPr>
          <w:b/>
          <w:i/>
        </w:rPr>
        <w:t>Si bien es verdad que se han realizado dos modificaciones presupuestarias con el remanente de crédito para dos fases de reasfaltado de vías, desde Coalición Canaria consideramos imprescin</w:t>
      </w:r>
      <w:r>
        <w:rPr>
          <w:b/>
          <w:i/>
        </w:rPr>
        <w:t>dible contar con un Plan Municipal anual o plurianual de Pavimentación, con dotación presupuestaria, que garantice este servicio esencial que el Ayuntamiento está obligado a dar a nuestros ciudadanos, y no mantener nuestras vías durante años parcheadas con</w:t>
      </w:r>
      <w:r>
        <w:rPr>
          <w:b/>
          <w:i/>
        </w:rPr>
        <w:t xml:space="preserve"> los problemas de seguridad vial que ello ocasiona a los ciudadanos. </w:t>
      </w:r>
    </w:p>
    <w:p w:rsidR="00DA121A" w:rsidRDefault="00904DD6">
      <w:pPr>
        <w:spacing w:after="0" w:line="259" w:lineRule="auto"/>
        <w:ind w:left="284" w:firstLine="0"/>
        <w:jc w:val="left"/>
      </w:pPr>
      <w:r>
        <w:rPr>
          <w:b/>
          <w:i/>
        </w:rPr>
        <w:t xml:space="preserve"> </w:t>
      </w:r>
    </w:p>
    <w:p w:rsidR="00DA121A" w:rsidRDefault="00904DD6">
      <w:pPr>
        <w:ind w:left="288" w:right="438"/>
      </w:pPr>
      <w:r>
        <w:t>La solicitud de aumentar los créditos para gastos destinados a un Plan de Pavimentación de vías, no se encuadra dentro de los tres supuestos de reclamación, tal como dispone el artícul</w:t>
      </w:r>
      <w:r>
        <w:t xml:space="preserve">o 170.2 del Real Decreto Legislativo 2/2004, de 5 de marzo, por el que se aprueba el Texto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Reclamació</w:t>
      </w:r>
      <w:r>
        <w:rPr>
          <w:b/>
        </w:rPr>
        <w:t>n 4º.-</w:t>
      </w:r>
      <w:r>
        <w:t xml:space="preserve">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4"/>
        <w:ind w:left="279" w:right="436"/>
      </w:pPr>
      <w:r>
        <w:rPr>
          <w:b/>
        </w:rPr>
        <w:t xml:space="preserve">En el Capítulo 4, se mantienen casi igual los gastos para la Ayuda a Domicilio que prestan las dos entidades municipales, Epelcan y E.I. Viviendas y Servicios Municipales, que suma 452.279,92 €. Recordemos que el pasado ejercicio 2022 cayó este crédito en </w:t>
      </w:r>
      <w:r>
        <w:rPr>
          <w:b/>
        </w:rPr>
        <w:t>un 5,5%. En el ejercicio 2021 la bajada fue de un 7%, (-20.523,67€) y recordemos que también se produjo un significativo descenso en esta partida en el 2020 de un 6,34% (-31.000 €).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437"/>
      </w:pPr>
      <w:r>
        <w:rPr>
          <w:b/>
        </w:rPr>
        <w:t>Nos preocupa enormemente que los recursos económicos para el servicio d</w:t>
      </w:r>
      <w:r>
        <w:rPr>
          <w:b/>
        </w:rPr>
        <w:t>e ayuda a domicilio durante el ejercicio 2023, se mantengan casi igual pues apenas aumentan 2.164 €, cuando seguimos sufriendo esta crisis social y económica como consecuencia de la inflación, agravada actualmente por los efectos económicos negativos de la</w:t>
      </w:r>
      <w:r>
        <w:rPr>
          <w:b/>
        </w:rPr>
        <w:t xml:space="preserve"> guerra en Ucrania. Siendo notorio que las cifras de desempleo siguen siendo en Canarias de las más altas del Estado, tenemos un nivel elevado de pobreza y la gran incertidumbre que existe sobre el desarrollo económico en las Islas con empresas y sectores </w:t>
      </w:r>
      <w:r>
        <w:rPr>
          <w:b/>
        </w:rPr>
        <w:t xml:space="preserve">económicos que se han visto mermados por la crisis, es de suponer que la demanda de ayudas en este servicio en el área de Servicios Sociales aumentará considerablemente y que las previsiones del grupo de gobierno no son reales.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Por ello consideramos in</w:t>
      </w:r>
      <w:r>
        <w:rPr>
          <w:b/>
        </w:rPr>
        <w:t xml:space="preserve">suficientes los créditos destinados a cubrir las partidas destinadas a la Ayuda a Domicilio. Nuestros vecinos, sus necesidades, no pueden esperar.  </w:t>
      </w:r>
    </w:p>
    <w:p w:rsidR="00DA121A" w:rsidRDefault="00904DD6">
      <w:pPr>
        <w:spacing w:after="0" w:line="259" w:lineRule="auto"/>
        <w:ind w:left="284" w:firstLine="0"/>
        <w:jc w:val="left"/>
      </w:pPr>
      <w:r>
        <w:t xml:space="preserve"> </w:t>
      </w:r>
    </w:p>
    <w:p w:rsidR="00DA121A" w:rsidRDefault="00904DD6">
      <w:pPr>
        <w:ind w:left="288" w:right="437"/>
      </w:pPr>
      <w:r>
        <w:t>La solicitud de aumentar los créditos para gastos destinados a cubrir las partidas de la Ayuda a Domicili</w:t>
      </w:r>
      <w:r>
        <w:t>o, a través de las empresas dependientes municipales, no se encuadra dentro de los tres supuestos de reclamación, tal como dispone el artículo 170.2 del Real Decreto Legislativo 2/2004, de 5 de marzo, por el que se aprueba el Texto Refundido de la Ley regu</w:t>
      </w:r>
      <w:r>
        <w:t xml:space="preserve">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Reclamación 5º.-</w:t>
      </w:r>
      <w:r>
        <w:t xml:space="preserve">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4"/>
        <w:ind w:left="279" w:right="438"/>
      </w:pPr>
      <w:r>
        <w:rPr>
          <w:b/>
        </w:rPr>
        <w:t>Denunciamos en el Capítulo 4 que se sigue manteniendo el mismo crédito para la partida a Prestaciones Económicas, destinada a la emergencia social, a la que se ha consignado sólo 150.000 €, igual que en el pasado ejercicio. Al igual que ha pasado con la Ay</w:t>
      </w:r>
      <w:r>
        <w:rPr>
          <w:b/>
        </w:rPr>
        <w:t>uda a Domicilio, esta partida disminuyó con respecto al ejercicio 2021 que contó con un crédito de 200.000 €, y queda muy lejos de los 386.476€ con los que estuvo dotada en los ejercicios 2018 y 2019, antes de la pandemia y sus consecuencias socioeconómica</w:t>
      </w:r>
      <w:r>
        <w:rPr>
          <w:b/>
        </w:rPr>
        <w:t xml:space="preserve">s.  </w:t>
      </w:r>
    </w:p>
    <w:p w:rsidR="00DA121A" w:rsidRDefault="00904DD6">
      <w:pPr>
        <w:spacing w:after="0" w:line="259" w:lineRule="auto"/>
        <w:ind w:left="284" w:firstLine="0"/>
        <w:jc w:val="left"/>
      </w:pPr>
      <w:r>
        <w:rPr>
          <w:b/>
        </w:rPr>
        <w:t xml:space="preserve"> </w:t>
      </w:r>
    </w:p>
    <w:p w:rsidR="00DA121A" w:rsidRDefault="00904DD6">
      <w:pPr>
        <w:spacing w:after="4"/>
        <w:ind w:left="279" w:right="436"/>
      </w:pPr>
      <w:r>
        <w:rPr>
          <w:b/>
        </w:rPr>
        <w:t>Nos preocupa enormemente la disminución de recursos económicos para políticas sociales para el ejercicio 2023, cuando seguimos sufriendo esta crisis social y económica como consecuencia del corona-virus, agravada por los efectos económicos negativos</w:t>
      </w:r>
      <w:r>
        <w:rPr>
          <w:b/>
        </w:rPr>
        <w:t xml:space="preserve"> de la guerra en Ucrania. Siendo notorio que las cifras de desempleo siguen siendo en Canarias de las más altas del Estado, tenemos un nivel elevado de pobreza y la gran incertidumbre que existe sobre el desarrollo económico en las Islas con empresas y sec</w:t>
      </w:r>
      <w:r>
        <w:rPr>
          <w:b/>
        </w:rPr>
        <w:t xml:space="preserve">tores económicos que se han visto mermados por la crisis, es de suponer que la demanda de ayudas en el área de Servicios Sociales aumentará considerablemente, ya que muchas familias y con trabajo tienen problemas para llegar a final de mes, por lo que las </w:t>
      </w:r>
      <w:r>
        <w:rPr>
          <w:b/>
        </w:rPr>
        <w:t xml:space="preserve">previsiones del grupo de gobierno no son reales.  </w:t>
      </w:r>
    </w:p>
    <w:p w:rsidR="00DA121A" w:rsidRDefault="00904DD6">
      <w:pPr>
        <w:spacing w:after="0" w:line="259" w:lineRule="auto"/>
        <w:ind w:left="284" w:firstLine="0"/>
        <w:jc w:val="left"/>
      </w:pPr>
      <w:r>
        <w:rPr>
          <w:b/>
        </w:rPr>
        <w:t xml:space="preserve"> </w:t>
      </w:r>
    </w:p>
    <w:p w:rsidR="00DA121A" w:rsidRDefault="00904DD6">
      <w:pPr>
        <w:spacing w:after="4"/>
        <w:ind w:left="279" w:right="436"/>
      </w:pPr>
      <w:r>
        <w:rPr>
          <w:b/>
        </w:rPr>
        <w:t>Por ello estimamos erróneas las previsiones realizadas e insuficientes los créditos destinados a cubrir la partida de Prestaciones Económicas. Nuestros vecinos, sus necesidades, no pueden esperar.</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t xml:space="preserve"> </w:t>
      </w:r>
    </w:p>
    <w:p w:rsidR="00DA121A" w:rsidRDefault="00904DD6">
      <w:pPr>
        <w:ind w:left="288" w:right="441"/>
      </w:pPr>
      <w:r>
        <w:t>La solicitud de aumentar los créditos para gastos destinados a cubrir las partidas de Prestaciones Económicas, no se encuadra dentro de los tres supuestos de reclamación, tal como dispone el artículo 170.2 del Real Decreto Legislativo 2/2004, de 5 de marzo</w:t>
      </w:r>
      <w:r>
        <w:t xml:space="preserve">, por el que se aprueba el Texto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Reclamación 6º.-</w:t>
      </w:r>
      <w:r>
        <w:t xml:space="preserve">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4"/>
        <w:ind w:left="279" w:right="437"/>
      </w:pPr>
      <w:r>
        <w:rPr>
          <w:b/>
        </w:rPr>
        <w:t>Teniendo en cuenta los efectos que la pandemi</w:t>
      </w:r>
      <w:r>
        <w:rPr>
          <w:b/>
        </w:rPr>
        <w:t>a, la inflación y las secuelas económicas causadas por la guerra de Ucrania ha causado en la salud mental de los ciudadanos, consideramos imprescindible que se cree nuevamente la aplicación “Gabinete Psicosocial” y se dote financieramente este servicio psi</w:t>
      </w:r>
      <w:r>
        <w:rPr>
          <w:b/>
        </w:rPr>
        <w:t xml:space="preserve">coterapéutico al ciudadano en el Presupuesto 2023.  </w:t>
      </w:r>
    </w:p>
    <w:p w:rsidR="00DA121A" w:rsidRDefault="00904DD6">
      <w:pPr>
        <w:spacing w:after="0" w:line="259" w:lineRule="auto"/>
        <w:ind w:left="284" w:firstLine="0"/>
        <w:jc w:val="left"/>
      </w:pPr>
      <w:r>
        <w:rPr>
          <w:b/>
        </w:rPr>
        <w:t xml:space="preserve"> </w:t>
      </w:r>
    </w:p>
    <w:p w:rsidR="00DA121A" w:rsidRDefault="00904DD6">
      <w:pPr>
        <w:spacing w:after="4"/>
        <w:ind w:left="279" w:right="436"/>
      </w:pPr>
      <w:r>
        <w:rPr>
          <w:b/>
        </w:rPr>
        <w:t>En el ejercicio 2020 se eliminó la prestación del servicio terapéutico que se venía ofreciendo en la Concejalía de Servicios Sociales a través del Gabinete Psicosocial. Este servicio especializado ofre</w:t>
      </w:r>
      <w:r>
        <w:rPr>
          <w:b/>
        </w:rPr>
        <w:t>cía a los vecinos actividades y técnicas de intervención, practicadas por diferentes profesionales, con las que se intentaba aliviar o curar determinados trastornos de la persona de base emocional. Somos conocedores de las secuelas mentales que la pandemia</w:t>
      </w:r>
      <w:r>
        <w:rPr>
          <w:b/>
        </w:rPr>
        <w:t xml:space="preserve"> y la crisis han ocasionado en la población y especialmente en nuestros jóvenes, por lo que consideramos imprescindible que el Ayuntamiento de Candelaria cuente con esta prestación de servicio.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t xml:space="preserve"> </w:t>
      </w:r>
    </w:p>
    <w:p w:rsidR="00DA121A" w:rsidRDefault="00904DD6">
      <w:pPr>
        <w:ind w:left="278" w:right="436" w:firstLine="708"/>
      </w:pPr>
      <w:r>
        <w:t>La solicitud de crear una aplicación presupuestaria con l</w:t>
      </w:r>
      <w:r>
        <w:t>a dotación de créditos para la prestación de un Gabinete Psicosocial por las secuelas mentales de la pandemia, no se encuadra dentro de los tres supuestos de reclamación, tal como dispone el artículo 170.2 del Real Decreto Legislativo 2/2004, de 5 de marzo</w:t>
      </w:r>
      <w:r>
        <w:t xml:space="preserve">, por el que se aprueba el Texto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Reclamación 7º.-</w:t>
      </w:r>
      <w:r>
        <w:t xml:space="preserve">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437"/>
      </w:pPr>
      <w:r>
        <w:rPr>
          <w:b/>
        </w:rPr>
        <w:t>A pesar de que se produce un aumento de los créditos con destino a Alcantarillado: Saneamiento y Pluviales con respecto al pasado ejercicio, esta subida se atribuye a la transferencia de crédito del Ayuntamiento al Cabildo Insular de Tenerife por importe d</w:t>
      </w:r>
      <w:r>
        <w:rPr>
          <w:b/>
        </w:rPr>
        <w:t xml:space="preserve">e 100.000,00€ para la gestión del saneamiento de la EDARI del Polígono Industrial de Güímar a la que se suma otra transferencia para el Plan de Etapas Emisario Submarino con un crédito de 20.000 €.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En definitiva, el presupuesto 2023 destina a la mejora</w:t>
      </w:r>
      <w:r>
        <w:rPr>
          <w:b/>
        </w:rPr>
        <w:t xml:space="preserve"> y ampliación de la red de saneamiento municipal, que recordemos es una competencia municipal y uno de los problemas prioritarios de Candelaria al que urge dar soluciones, la cantidad de 75.000,00€ (mismo crédito que en el ejercicio 2021 y en el 2022), de </w:t>
      </w:r>
      <w:r>
        <w:rPr>
          <w:b/>
        </w:rPr>
        <w:t xml:space="preserve">los cuales para R.M.C. Red de </w:t>
      </w:r>
    </w:p>
    <w:p w:rsidR="00DA121A" w:rsidRDefault="00904DD6">
      <w:pPr>
        <w:spacing w:after="4"/>
        <w:ind w:left="279" w:right="144"/>
      </w:pPr>
      <w:r>
        <w:rPr>
          <w:b/>
        </w:rPr>
        <w:t xml:space="preserve">Saneamiento van 25.000,00€ y los otros 50.000,00€ son para inversiones en Instalaciones de Saneamiento, que en ningún momento se especifican.  </w:t>
      </w:r>
    </w:p>
    <w:p w:rsidR="00DA121A" w:rsidRDefault="00904DD6">
      <w:pPr>
        <w:spacing w:after="0" w:line="259" w:lineRule="auto"/>
        <w:ind w:left="284" w:firstLine="0"/>
        <w:jc w:val="left"/>
      </w:pPr>
      <w:r>
        <w:rPr>
          <w:b/>
        </w:rPr>
        <w:t xml:space="preserve"> </w:t>
      </w:r>
    </w:p>
    <w:p w:rsidR="00DA121A" w:rsidRDefault="00904DD6">
      <w:pPr>
        <w:spacing w:after="4"/>
        <w:ind w:left="279" w:right="438"/>
      </w:pPr>
      <w:r>
        <w:rPr>
          <w:b/>
        </w:rPr>
        <w:t>Candelaria, cuenta con una obsoleta red de saneamiento que no alcanza al 50% de</w:t>
      </w:r>
      <w:r>
        <w:rPr>
          <w:b/>
        </w:rPr>
        <w:t xml:space="preserve">l territorio. El municipio necesita más de 20 millones de euros de inversión sólo para conectar el saneamiento del litoral candelariero con la EDARU del Valle de Güímar, actualmente en prácticas y que entró en funcionamiento a finales de 2021.  </w:t>
      </w:r>
    </w:p>
    <w:p w:rsidR="00DA121A" w:rsidRDefault="00904DD6">
      <w:pPr>
        <w:spacing w:after="0" w:line="259" w:lineRule="auto"/>
        <w:ind w:left="284" w:firstLine="0"/>
        <w:jc w:val="left"/>
      </w:pPr>
      <w:r>
        <w:rPr>
          <w:b/>
        </w:rPr>
        <w:t xml:space="preserve"> </w:t>
      </w:r>
    </w:p>
    <w:p w:rsidR="00DA121A" w:rsidRDefault="00904DD6">
      <w:pPr>
        <w:spacing w:after="4"/>
        <w:ind w:left="279" w:right="437"/>
      </w:pPr>
      <w:r>
        <w:rPr>
          <w:b/>
        </w:rPr>
        <w:t>Queda po</w:t>
      </w:r>
      <w:r>
        <w:rPr>
          <w:b/>
        </w:rPr>
        <w:t>r tanto mucha infraestructura de alcantarillado por modernizar en el litoral de Candelaria, para poder trasladar todas sus aguas residuales hasta la depuradora comarcal (EDARU), a lo que se suma la inexistencia de red de saneamiento y ni tansiquiera redacc</w:t>
      </w:r>
      <w:r>
        <w:rPr>
          <w:b/>
        </w:rPr>
        <w:t xml:space="preserve">ión de proyectos en las medianías -salvo un tramo pequeño en el pueblo de Igueste.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Llevamos escuchando desde el inicio de este mandato, por parte del equipo de gobierno, de la existencia de grandes proyectos de saneamiento que no acaban de ejecutarse, retardándose la solución a este enquistado problema. Lo único cierto es que ahora mismo</w:t>
      </w:r>
      <w:r>
        <w:rPr>
          <w:b/>
        </w:rPr>
        <w:t xml:space="preserve"> en Candelaria se sigue manteniendo su obsoleta red de saneamiento, que nuestras medianías carecen de este servicio y que seguimos vertiendo nuestras aguas residuales al mar, con el consiguiente problema de contaminación medioambiental. </w:t>
      </w:r>
    </w:p>
    <w:p w:rsidR="00DA121A" w:rsidRDefault="00904DD6">
      <w:pPr>
        <w:spacing w:after="0" w:line="259" w:lineRule="auto"/>
        <w:ind w:left="284" w:firstLine="0"/>
        <w:jc w:val="left"/>
      </w:pPr>
      <w:r>
        <w:rPr>
          <w:b/>
        </w:rPr>
        <w:t xml:space="preserve"> </w:t>
      </w:r>
    </w:p>
    <w:p w:rsidR="00DA121A" w:rsidRDefault="00904DD6">
      <w:pPr>
        <w:spacing w:after="4"/>
        <w:ind w:left="279" w:right="443"/>
      </w:pPr>
      <w:r>
        <w:rPr>
          <w:b/>
        </w:rPr>
        <w:t xml:space="preserve"> Por ello es nec</w:t>
      </w:r>
      <w:r>
        <w:rPr>
          <w:b/>
        </w:rPr>
        <w:t xml:space="preserve">esario que se recoja en el Presupuesto 2023 proyectos de Inversión Real en saneamiento para Candelaria, aunque ya se llegue tarde al objetivo de tener enganchada la red municipal a la EDARU del Valle de Güímar.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ind w:left="288" w:right="440"/>
      </w:pPr>
      <w:r>
        <w:t xml:space="preserve">La solicitud de aumentar la dotación de </w:t>
      </w:r>
      <w:r>
        <w:t>créditos para proyectos de Inversión Real en saneamiento para Candelaria, no se encuadra dentro de los tres supuestos de reclamación, tal como dispone el artículo 170.2 del Real Decreto Legislativo 2/2004, de 5 de marzo, por el que se aprueba el Texto Refu</w:t>
      </w:r>
      <w:r>
        <w:t xml:space="preserve">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Reclamación 8º.-  </w:t>
      </w:r>
    </w:p>
    <w:p w:rsidR="00DA121A" w:rsidRDefault="00904DD6">
      <w:pPr>
        <w:spacing w:after="0" w:line="259" w:lineRule="auto"/>
        <w:ind w:left="284" w:firstLine="0"/>
        <w:jc w:val="left"/>
      </w:pPr>
      <w:r>
        <w:rPr>
          <w:b/>
        </w:rPr>
        <w:t xml:space="preserve"> </w:t>
      </w:r>
    </w:p>
    <w:p w:rsidR="00DA121A" w:rsidRDefault="00904DD6">
      <w:pPr>
        <w:spacing w:after="28"/>
        <w:ind w:left="279" w:right="144"/>
      </w:pPr>
      <w:r>
        <w:rPr>
          <w:b/>
        </w:rPr>
        <w:t xml:space="preserve">Insuficiente crédito en el Capítulo 6 de Inversiones Reales para Alumbrado Público, al que se destina un crédito, al igual que en pasados ejercicios, de apenas 6.000,00€.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 xml:space="preserve">Es evidente y muchas quejas vecinales así lo demuestran, el mal estado en que se </w:t>
      </w:r>
      <w:r>
        <w:rPr>
          <w:b/>
        </w:rPr>
        <w:t>encuentra la iluminación vial en el municipio, especialmente en aquellas zonas en las que los efectos de la cercanía del mar y la falta de mantenimiento, han hecho mella en los báculos y luminarias. Alumbrado en mal estado y obsoleto, falta de tapas, falta</w:t>
      </w:r>
      <w:r>
        <w:rPr>
          <w:b/>
        </w:rPr>
        <w:t xml:space="preserve"> de mantenimiento, a lo que se une la ausencia de iluminación en algunos puntos del municipio hacen obligatorio una gran inversión en este servicio esencial, de competencia municipal, que el Ayuntamiento está obligado a dar a nuestros ciudadanos.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La úl</w:t>
      </w:r>
      <w:r>
        <w:rPr>
          <w:b/>
        </w:rPr>
        <w:t>tima auditoría energética realizada en el municipio muestra un informe bastante demoledor del estado general de las instalaciones de alumbrado público del municipio de Candelaria que considera “muy deficientes, ya que a pesar de que la mayor parte de las i</w:t>
      </w:r>
      <w:r>
        <w:rPr>
          <w:b/>
        </w:rPr>
        <w:t>nstalaciones se encuentran en servicio, la mayoría de ellas presentan deficiencias graves y muy graves como son la falta de protecciones contra contactos indirectos (diferenciales) de los circuitos de alumbrado y el mal estado de la instalación de puesta a</w:t>
      </w:r>
      <w:r>
        <w:rPr>
          <w:b/>
        </w:rPr>
        <w:t xml:space="preserve"> tierra de los mismos, entre otras deficiencias. Estos riesgos constituyen un peligro inmediato para la seguridad de las personas y los bienes”, concluye la auditoría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Por otro lado, existe la necesidad de acometer la legalización de las instalaciones e</w:t>
      </w:r>
      <w:r>
        <w:rPr>
          <w:b/>
        </w:rPr>
        <w:t>xistentes, al no constar actualmente, la preceptiva documentación técnica y de puesta en marcha en los organismos competentes de dichas instalaciones. Los valores lumínicos de los viales del municipio de Candelaria presentan resultados dispares debido a la</w:t>
      </w:r>
      <w:r>
        <w:rPr>
          <w:b/>
        </w:rPr>
        <w:t xml:space="preserve"> falta de homogeneidad de las instalaciones, lo que repercute especialmente en la uniformidad de la iluminación de los viales a los que dan servicio.  </w:t>
      </w:r>
    </w:p>
    <w:p w:rsidR="00DA121A" w:rsidRDefault="00904DD6">
      <w:pPr>
        <w:spacing w:after="0" w:line="259" w:lineRule="auto"/>
        <w:ind w:left="284" w:firstLine="0"/>
        <w:jc w:val="left"/>
      </w:pPr>
      <w:r>
        <w:rPr>
          <w:b/>
        </w:rPr>
        <w:t xml:space="preserve"> </w:t>
      </w:r>
    </w:p>
    <w:p w:rsidR="00DA121A" w:rsidRDefault="00904DD6">
      <w:pPr>
        <w:spacing w:after="4"/>
        <w:ind w:left="279" w:right="440"/>
      </w:pPr>
      <w:r>
        <w:rPr>
          <w:b/>
        </w:rPr>
        <w:t>Existe un potencial de mejora considerable en la facturación de gran parte de los suministros actuales</w:t>
      </w:r>
      <w:r>
        <w:rPr>
          <w:b/>
        </w:rPr>
        <w:t xml:space="preserve">, ya que muchos de ellos no se encuentran ajustados a las necesidades energéticas de las instalaciones existentes, lo que conlleva al pago de sobrecostes por penalizaciones o por exceso de potencia contratada.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Además, es necesario optimizar energéticam</w:t>
      </w:r>
      <w:r>
        <w:rPr>
          <w:b/>
        </w:rPr>
        <w:t xml:space="preserve">ente en función de las necesidades del municipio atendiendo a lo establecido en las normativas vigentes de aplicación, lo que se traducirá en un ahorro tanto energético como económico. </w:t>
      </w:r>
    </w:p>
    <w:p w:rsidR="00DA121A" w:rsidRDefault="00904DD6">
      <w:pPr>
        <w:spacing w:after="0" w:line="259" w:lineRule="auto"/>
        <w:ind w:left="284" w:firstLine="0"/>
        <w:jc w:val="left"/>
      </w:pPr>
      <w:r>
        <w:rPr>
          <w:b/>
        </w:rPr>
        <w:t xml:space="preserve"> </w:t>
      </w:r>
    </w:p>
    <w:p w:rsidR="00DA121A" w:rsidRDefault="00904DD6">
      <w:pPr>
        <w:spacing w:after="4"/>
        <w:ind w:left="279" w:right="437"/>
      </w:pPr>
      <w:r>
        <w:rPr>
          <w:b/>
        </w:rPr>
        <w:t xml:space="preserve"> Si bien es verdad que se ha realizado una modificación presupuestar</w:t>
      </w:r>
      <w:r>
        <w:rPr>
          <w:b/>
        </w:rPr>
        <w:t>ia aprobada en el pleno de marzo de 2022, para la Reforma del alumbrado público en las calles La Puntita, Batayola y Las Caletillas con un crédito de 1.348.216,10 €, que continúa sin ejecutarse, desde Coalición Canaria consideramos imprescindible contar co</w:t>
      </w:r>
      <w:r>
        <w:rPr>
          <w:b/>
        </w:rPr>
        <w:t xml:space="preserve">n un Plan Municipal plurianual de Inversiones en Alumbrado Público, con fuerte dotación presupuestaria, que garantice este servicio esencial.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ind w:left="288" w:right="438"/>
      </w:pPr>
      <w:r>
        <w:t>La solicitud de aumentar la dotación de créditos para Inversión en alumbrado público, no se encuadra dentro de los tres supuestos de reclamación, tal como dispone el artículo 170.2 del Real Decreto Legislativo 2/2004, de 5 de marzo, por el que se aprueba e</w:t>
      </w:r>
      <w:r>
        <w:t xml:space="preserve">l Texto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Reclamación 9º.-  </w:t>
      </w:r>
    </w:p>
    <w:p w:rsidR="00DA121A" w:rsidRDefault="00904DD6">
      <w:pPr>
        <w:spacing w:after="0" w:line="259" w:lineRule="auto"/>
        <w:ind w:left="284" w:firstLine="0"/>
        <w:jc w:val="left"/>
      </w:pPr>
      <w:r>
        <w:rPr>
          <w:b/>
        </w:rPr>
        <w:t xml:space="preserve"> </w:t>
      </w:r>
    </w:p>
    <w:p w:rsidR="00DA121A" w:rsidRDefault="00904DD6">
      <w:pPr>
        <w:spacing w:after="4"/>
        <w:ind w:left="279" w:right="441"/>
      </w:pPr>
      <w:r>
        <w:rPr>
          <w:b/>
        </w:rPr>
        <w:t>Insuficiente crédito para el Subprograma 924.00 de Participación Ciuda</w:t>
      </w:r>
      <w:r>
        <w:rPr>
          <w:b/>
        </w:rPr>
        <w:t xml:space="preserve">dana, al que se destina 10.000,00€ ya que los Gastos de Personal de esta área se han asignado al Subprograma de Administración General.  </w:t>
      </w:r>
    </w:p>
    <w:p w:rsidR="00DA121A" w:rsidRDefault="00904DD6">
      <w:pPr>
        <w:spacing w:after="4"/>
        <w:ind w:left="279" w:right="437"/>
      </w:pPr>
      <w:r>
        <w:rPr>
          <w:b/>
        </w:rPr>
        <w:t>Continúa un ejercicio más, sin crearse ficha financiera en este Subprograma destinada a actualizar y adaptar la Partic</w:t>
      </w:r>
      <w:r>
        <w:rPr>
          <w:b/>
        </w:rPr>
        <w:t xml:space="preserve">ipación Ciudadana del municipio de Candelaria a la actual normativa y potenciar el empoderamiento del ciudadano en la actividad pública, con la elaboración del Reglamento de Participación Ciudadana.  </w:t>
      </w:r>
    </w:p>
    <w:p w:rsidR="00DA121A" w:rsidRDefault="00904DD6">
      <w:pPr>
        <w:spacing w:after="0" w:line="259" w:lineRule="auto"/>
        <w:ind w:left="284" w:firstLine="0"/>
        <w:jc w:val="left"/>
      </w:pPr>
      <w:r>
        <w:rPr>
          <w:b/>
        </w:rPr>
        <w:t xml:space="preserve"> </w:t>
      </w:r>
    </w:p>
    <w:p w:rsidR="00DA121A" w:rsidRDefault="00904DD6">
      <w:pPr>
        <w:spacing w:after="4"/>
        <w:ind w:left="279" w:right="441"/>
      </w:pPr>
      <w:r>
        <w:rPr>
          <w:b/>
        </w:rPr>
        <w:t>Señalar que de la elaboración de los Presupuestos Mun</w:t>
      </w:r>
      <w:r>
        <w:rPr>
          <w:b/>
        </w:rPr>
        <w:t xml:space="preserve">icipales 2023, aprobados inicialmente y en solitario por el grupo de gobierno socialista, se ha eliminado nuevamente la participación ciudadana y de los grupos políticos de la oposición.  </w:t>
      </w:r>
    </w:p>
    <w:p w:rsidR="00DA121A" w:rsidRDefault="00904DD6">
      <w:pPr>
        <w:spacing w:after="0" w:line="259" w:lineRule="auto"/>
        <w:ind w:left="284" w:firstLine="0"/>
        <w:jc w:val="left"/>
      </w:pPr>
      <w:r>
        <w:rPr>
          <w:b/>
        </w:rPr>
        <w:t xml:space="preserve"> </w:t>
      </w:r>
    </w:p>
    <w:p w:rsidR="00DA121A" w:rsidRDefault="00904DD6">
      <w:pPr>
        <w:spacing w:after="4"/>
        <w:ind w:left="279" w:right="437"/>
      </w:pPr>
      <w:r>
        <w:rPr>
          <w:b/>
        </w:rPr>
        <w:t>No ha existido compromiso por parte del equipo de gobierno munici</w:t>
      </w:r>
      <w:r>
        <w:rPr>
          <w:b/>
        </w:rPr>
        <w:t>pal con la realidad de un presupuesto que mantiene frenado el desarrollo que, según la nueva legislación, se le debe dar a la participación de la ciudadanía</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ind w:left="288" w:right="436"/>
      </w:pPr>
      <w:r>
        <w:t>La solicitud de aumentar la dotación de créditos para participación ciudadana, no se encuadra de</w:t>
      </w:r>
      <w:r>
        <w:t>ntro de los tres supuestos de reclamación, tal como dispone el artículo 170.2 del Real Decreto Legislativo 2/2004, de 5 de marzo, por el que se aprueba el Texto Refundido de la Ley reguladora de las Haciendas Locales. No existe, por tanto, obligación legal</w:t>
      </w:r>
      <w: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Reclamación 10º.-  </w:t>
      </w:r>
    </w:p>
    <w:p w:rsidR="00DA121A" w:rsidRDefault="00904DD6">
      <w:pPr>
        <w:spacing w:after="0" w:line="259" w:lineRule="auto"/>
        <w:ind w:left="284" w:firstLine="0"/>
        <w:jc w:val="left"/>
      </w:pPr>
      <w:r>
        <w:rPr>
          <w:b/>
        </w:rPr>
        <w:t xml:space="preserve"> </w:t>
      </w:r>
    </w:p>
    <w:p w:rsidR="00DA121A" w:rsidRDefault="00904DD6">
      <w:pPr>
        <w:spacing w:after="4"/>
        <w:ind w:left="279" w:right="438"/>
      </w:pPr>
      <w:r>
        <w:rPr>
          <w:b/>
        </w:rPr>
        <w:t>Insuficiente crédito al no crearse la ficha financiera para Accesibilidad Universal, según establece el acuerdo tomado en el Pleno Ordinario celebrado el 26 de diciembre de 2019, de la Moción presentada por los concejales de CC-PNC sobre Accesibilidad Univ</w:t>
      </w:r>
      <w:r>
        <w:rPr>
          <w:b/>
        </w:rPr>
        <w:t xml:space="preserve">ersal, que fue aprobada por unanimidad y que en su punto Tercero refiere literalmente: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“TERCERO. Se dote a los futuros Presupuestos Municipales de partida presupuestaria para insertar plenamente la Accesibilidad Universal en la actividad local, y super</w:t>
      </w:r>
      <w:r>
        <w:rPr>
          <w:b/>
        </w:rPr>
        <w:t>ar de este modo el modelo de meras intervenciones puntuales sobre el medio urbano para suprimir barreras, como así se manifiesta en la partida destinada a Inversiones Reales/Otras Infraestructuras con destino a Obras de Accesibilidad con una financiación d</w:t>
      </w:r>
      <w:r>
        <w:rPr>
          <w:b/>
        </w:rPr>
        <w:t>e 20.000 €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ind w:left="278" w:right="439" w:firstLine="708"/>
      </w:pPr>
      <w:r>
        <w:t>La solicitud de aumento de los créditos para gastos destinados a Accesibilidad Universal, no se encuadra dentro de los tres supuestos de reclamación, tal como dispone el artículo 170.2 del Real Decreto Legislativo 2/2004, de 5 de marzo, por e</w:t>
      </w:r>
      <w:r>
        <w:t xml:space="preserve">l que se aprueba el Texto Refundido de la Ley reguladora de las Haciendas Locales. No existe, por tanto, obligación legal. </w:t>
      </w:r>
    </w:p>
    <w:p w:rsidR="00DA121A" w:rsidRDefault="00904DD6">
      <w:pPr>
        <w:spacing w:after="0" w:line="259" w:lineRule="auto"/>
        <w:ind w:left="992"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Reclamación 11º.-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Insuficiente crédito en el Subprograma 326.00 de S</w:t>
      </w:r>
      <w:r>
        <w:rPr>
          <w:b/>
        </w:rPr>
        <w:t xml:space="preserve">ervicios Complementarios de </w:t>
      </w:r>
    </w:p>
    <w:p w:rsidR="00DA121A" w:rsidRDefault="00904DD6">
      <w:pPr>
        <w:spacing w:after="27"/>
        <w:ind w:left="279" w:right="144"/>
      </w:pPr>
      <w:r>
        <w:rPr>
          <w:b/>
        </w:rPr>
        <w:t>Educación, en la aplicación para Ayudas al estudio para material de primaria, secundaria y bachiller al que destinan 70.000,00€, mismo crédito que en el Presupuesto 2022 y de un -46%, con respecto al ejercicio 2021, en el que e</w:t>
      </w:r>
      <w:r>
        <w:rPr>
          <w:b/>
        </w:rPr>
        <w:t xml:space="preserve">stuvo dotada esta partida con 130.000,00€.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Consideramos que el crédito destinado a esta ayuda es insuficiente ante la grave situación económica que sufrimos por las secuelas de la pandemia, la alta inflación y las consecuencias de la guerra de Ucrania, que han provocado un aumento de la pobreza y l</w:t>
      </w:r>
      <w:r>
        <w:rPr>
          <w:b/>
        </w:rPr>
        <w:t>a pérdida de poder adquisitivo de las familias canarias. Vienen años complejos y para muchas familias desfavorecidas del municipio, estas ayudas suponen un alivio económico para cubrir las necesidades de material de estudio de sus hijos, además de eliminar</w:t>
      </w:r>
      <w:r>
        <w:rPr>
          <w:b/>
        </w:rPr>
        <w:t xml:space="preserve"> o paliar la brecha digital que las sucesivas crisis económicas han provocado en nuestra sociedad.  </w:t>
      </w:r>
    </w:p>
    <w:p w:rsidR="00DA121A" w:rsidRDefault="00904DD6">
      <w:pPr>
        <w:spacing w:after="0" w:line="259" w:lineRule="auto"/>
        <w:ind w:left="284" w:firstLine="0"/>
        <w:jc w:val="left"/>
      </w:pPr>
      <w:r>
        <w:rPr>
          <w:b/>
        </w:rPr>
        <w:t xml:space="preserve"> </w:t>
      </w:r>
    </w:p>
    <w:p w:rsidR="00DA121A" w:rsidRDefault="00904DD6">
      <w:pPr>
        <w:spacing w:after="4"/>
        <w:ind w:left="279" w:right="440"/>
      </w:pPr>
      <w:r>
        <w:rPr>
          <w:b/>
        </w:rPr>
        <w:t>Proponemos aumentar el importe de estas Ayudas al estudio, dado el incremento de los costes en material educativo que está sufriendo la población escolar</w:t>
      </w:r>
      <w:r>
        <w:rPr>
          <w:b/>
        </w:rPr>
        <w:t xml:space="preserve"> junto a la fuerte pérdida generalizada de poder adquisitivo de las familias.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ind w:left="278" w:right="438" w:firstLine="708"/>
      </w:pPr>
      <w:r>
        <w:t>La solicitud de insuficiencia de crédito para gastos destinados a Educación, no se encuadra dentro de los tres supuestos de reclamación, tal como dispone el artículo 170.2 d</w:t>
      </w:r>
      <w:r>
        <w:t xml:space="preserve">el Real Decreto Legislativo 2/2004, de 5 de marzo, por el que se aprueba el Texto Refundido de la Ley reguladora de las Haciendas Locales. No existe, por tanto, obligación legal. </w:t>
      </w:r>
    </w:p>
    <w:p w:rsidR="00DA121A" w:rsidRDefault="00904DD6">
      <w:pPr>
        <w:spacing w:after="0" w:line="259" w:lineRule="auto"/>
        <w:ind w:left="992"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Reclamación 12º.-</w:t>
      </w: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441"/>
      </w:pPr>
      <w:r>
        <w:rPr>
          <w:b/>
        </w:rPr>
        <w:t>Consideramos desproporcionado en el Capítulo 2 de Gastos Corrientes en Bienes y Servicios/Promoción Cultural el aumento en un 45,95%, con respecto al ejercicio presupuestario 2022, de la aplicación Trabajos realizados por otras empresas, a la que des</w:t>
      </w:r>
      <w:r>
        <w:rPr>
          <w:b/>
        </w:rPr>
        <w:t>tinan 158.000,00€.</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440"/>
      </w:pPr>
      <w:r>
        <w:rPr>
          <w:b/>
        </w:rPr>
        <w:t>Exigimos que se iguale el crédito de esta aplicación al que tenía en el ejercicio 2022, y que se destinen los 49.000,00€ que se le ha aumentado a cubrir partidas que consideramos deficitarias en las áreas de Servicios Sociales y Educa</w:t>
      </w:r>
      <w:r>
        <w:rPr>
          <w:b/>
        </w:rPr>
        <w:t>ción.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ind w:left="288" w:right="440"/>
      </w:pPr>
      <w:r>
        <w:t>La exigencia de reducir el exceso de créditos en Cultura para destinarlo a incrementar los créditos destinados a Educación y Servicios Sociales, no se encuadra dentro de los tres supuestos de reclamación, tal como dispone el artículo 170.2 del Real Decreto</w:t>
      </w:r>
      <w:r>
        <w:t xml:space="preserve"> Legislativo 2/2004, de 5 de marzo, por el que se aprueba el Texto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Reclamación 13º.-   </w:t>
      </w:r>
    </w:p>
    <w:p w:rsidR="00DA121A" w:rsidRDefault="00904DD6">
      <w:pPr>
        <w:spacing w:after="0" w:line="259" w:lineRule="auto"/>
        <w:ind w:left="284" w:firstLine="0"/>
        <w:jc w:val="left"/>
      </w:pPr>
      <w:r>
        <w:rPr>
          <w:b/>
        </w:rPr>
        <w:t xml:space="preserve"> </w:t>
      </w:r>
    </w:p>
    <w:p w:rsidR="00DA121A" w:rsidRDefault="00904DD6">
      <w:pPr>
        <w:spacing w:after="4"/>
        <w:ind w:left="279" w:right="440"/>
      </w:pPr>
      <w:r>
        <w:rPr>
          <w:b/>
        </w:rPr>
        <w:t>Considera</w:t>
      </w:r>
      <w:r>
        <w:rPr>
          <w:b/>
        </w:rPr>
        <w:t xml:space="preserve">mos desproporcionado en el Capítulo 2 de Gastos Corrientes en Bienes y Servicios/Promoción y Fomento del Deporte que la partida Trabajos realizados por otras empresas, a la que destinan 64.194 €, mantenga el mismo crédito que en el ejercicio. </w:t>
      </w:r>
    </w:p>
    <w:p w:rsidR="00DA121A" w:rsidRDefault="00904DD6">
      <w:pPr>
        <w:spacing w:after="0" w:line="259" w:lineRule="auto"/>
        <w:ind w:left="284" w:firstLine="0"/>
        <w:jc w:val="left"/>
      </w:pPr>
      <w:r>
        <w:rPr>
          <w:b/>
        </w:rPr>
        <w:t xml:space="preserve"> </w:t>
      </w:r>
    </w:p>
    <w:p w:rsidR="00DA121A" w:rsidRDefault="00904DD6">
      <w:pPr>
        <w:spacing w:after="4"/>
        <w:ind w:left="279" w:right="440"/>
      </w:pPr>
      <w:r>
        <w:rPr>
          <w:b/>
        </w:rPr>
        <w:t xml:space="preserve"> Exigimos </w:t>
      </w:r>
      <w:r>
        <w:rPr>
          <w:b/>
        </w:rPr>
        <w:t xml:space="preserve">que se iguale el crédito de esta aplicación al que tenía en el ejercicio 2021, y que se destinen los 40.000,00€ que se le ha aumentado a cubrir partidas que consideramos deficitarias en las áreas de Servicios Sociales y Educación. </w:t>
      </w:r>
    </w:p>
    <w:p w:rsidR="00DA121A" w:rsidRDefault="00904DD6">
      <w:pPr>
        <w:spacing w:after="0" w:line="259" w:lineRule="auto"/>
        <w:ind w:left="284" w:firstLine="0"/>
        <w:jc w:val="left"/>
      </w:pPr>
      <w:r>
        <w:rPr>
          <w:b/>
        </w:rPr>
        <w:t xml:space="preserve"> </w:t>
      </w:r>
    </w:p>
    <w:p w:rsidR="00DA121A" w:rsidRDefault="00904DD6">
      <w:pPr>
        <w:ind w:left="288" w:right="439"/>
      </w:pPr>
      <w:r>
        <w:t>La exigencia de reducir el exceso de créditos en Deportes para destinarlo a incrementar los créditos destinados a Educación y Servicios Sociales, no se encuadra dentro de los tres supuestos de reclamación, tal como dispone el artículo 170.2 del Real Decret</w:t>
      </w:r>
      <w:r>
        <w:t xml:space="preserve">o Legislativo 2/2004, de 5 de marzo, por el que se aprueba el Texto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Reclamación 14º.-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437"/>
      </w:pPr>
      <w:r>
        <w:rPr>
          <w:b/>
        </w:rPr>
        <w:t xml:space="preserve">Dotar de crédito en el Capítulo 6 de Inversiones Reales/Otras Infraestructuras una partida para financiar la construcción de parquin/párquines o nuevas zonas de aparcamientos en el municipio.  </w:t>
      </w:r>
    </w:p>
    <w:p w:rsidR="00DA121A" w:rsidRDefault="00904DD6">
      <w:pPr>
        <w:spacing w:after="0" w:line="259" w:lineRule="auto"/>
        <w:ind w:left="284" w:firstLine="0"/>
        <w:jc w:val="left"/>
      </w:pPr>
      <w:r>
        <w:rPr>
          <w:b/>
        </w:rPr>
        <w:t xml:space="preserve"> </w:t>
      </w:r>
    </w:p>
    <w:p w:rsidR="00DA121A" w:rsidRDefault="00904DD6">
      <w:pPr>
        <w:spacing w:after="4"/>
        <w:ind w:left="279" w:right="436"/>
      </w:pPr>
      <w:r>
        <w:rPr>
          <w:b/>
        </w:rPr>
        <w:t>Estamos ante otro grave problema de Candelaria junto al de s</w:t>
      </w:r>
      <w:r>
        <w:rPr>
          <w:b/>
        </w:rPr>
        <w:t>aneamiento, al que se lleva décadas sin darle una solución. Es urgente acometer la construcción de estas infraestructuras, cuya ausencia no sólo provoca en momentos puntuales, festivos y vacacionales, colapso en el tráfico, sino que además está ya coartand</w:t>
      </w:r>
      <w:r>
        <w:rPr>
          <w:b/>
        </w:rPr>
        <w:t xml:space="preserve">o el desarrollo económico del municipio.  </w:t>
      </w:r>
    </w:p>
    <w:p w:rsidR="00DA121A" w:rsidRDefault="00904DD6">
      <w:pPr>
        <w:spacing w:after="0" w:line="259" w:lineRule="auto"/>
        <w:ind w:left="284" w:firstLine="0"/>
        <w:jc w:val="left"/>
      </w:pPr>
      <w:r>
        <w:rPr>
          <w:b/>
        </w:rPr>
        <w:t xml:space="preserve"> </w:t>
      </w:r>
    </w:p>
    <w:p w:rsidR="00DA121A" w:rsidRDefault="00904DD6">
      <w:pPr>
        <w:spacing w:after="4"/>
        <w:ind w:left="279" w:right="436"/>
      </w:pPr>
      <w:r>
        <w:rPr>
          <w:b/>
        </w:rPr>
        <w:t>Muchos ciudadanos que visitan nuestro municipio para hacer sus compras, atraídos por los servicios de nuestros restaurantes, bares y tascas o para simplemente darse un baño o pasear por nuestras avenidas, tienen</w:t>
      </w:r>
      <w:r>
        <w:rPr>
          <w:b/>
        </w:rPr>
        <w:t xml:space="preserve"> que abandonar el municipio ante la imposibilidad de poder estacionar su vehículo por la falta de aparcamientos y párquines.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ind w:left="288" w:right="439"/>
      </w:pPr>
      <w:r>
        <w:t>La solicitud de dotación de crédito para gastos destinados a construcción de párquines, no se encuadra dentro de los tres supu</w:t>
      </w:r>
      <w:r>
        <w:t xml:space="preserve">estos de reclamación, tal como dispone el artículo 170.2 del Real Decreto Legislativo 2/2004, de 5 de marzo, por el que se aprueba el Texto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Se informa negat</w:t>
      </w:r>
      <w:r>
        <w:t xml:space="preserve">ivamente la presente reclamación.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Reclamación 15º.-   </w:t>
      </w:r>
    </w:p>
    <w:p w:rsidR="00DA121A" w:rsidRDefault="00904DD6">
      <w:pPr>
        <w:spacing w:after="0" w:line="259" w:lineRule="auto"/>
        <w:ind w:left="284" w:firstLine="0"/>
        <w:jc w:val="left"/>
      </w:pPr>
      <w:r>
        <w:rPr>
          <w:b/>
        </w:rPr>
        <w:t xml:space="preserve"> </w:t>
      </w:r>
    </w:p>
    <w:p w:rsidR="00DA121A" w:rsidRDefault="00904DD6">
      <w:pPr>
        <w:spacing w:after="4"/>
        <w:ind w:left="279" w:right="440"/>
      </w:pPr>
      <w:r>
        <w:rPr>
          <w:b/>
        </w:rPr>
        <w:t xml:space="preserve">Dotar de crédito en el Capítulo 6 de Inversiones Reales/Otras Infraestructuras una partida para financiar el Mantenimiento, rehabilitación y nueva construcción de Aceras en el municipio.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E</w:t>
      </w:r>
      <w:r>
        <w:rPr>
          <w:b/>
        </w:rPr>
        <w:t>stamos ante otro grave problema en Candelaria, por las deficiencias que presenta el acerado en muchos puntos del municipio, que suponen un problema de seguridad para los viandantes. La construcción de aceras es también una demanda ciudadana, por su ausenci</w:t>
      </w:r>
      <w:r>
        <w:rPr>
          <w:b/>
        </w:rPr>
        <w:t>a en muchas de las carreteras y caminos municipales, lo que complica la movilidad y seguridad de peatones.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ind w:left="288" w:right="440"/>
      </w:pPr>
      <w:r>
        <w:t>La solicitud de dotación de crédito para gastos destinados a construcción y mantenimiento de aceras, no se encuadra dentro de los tres supuestos de reclamación, tal como dispone el artículo 170.2 del Real Decreto Legislativo 2/2004, de 5 de marzo, por el q</w:t>
      </w:r>
      <w:r>
        <w:t xml:space="preserve">ue se aprueba el Texto </w:t>
      </w:r>
    </w:p>
    <w:p w:rsidR="00DA121A" w:rsidRDefault="00904DD6">
      <w:pPr>
        <w:ind w:left="288" w:right="146"/>
      </w:pPr>
      <w:r>
        <w:t xml:space="preserve">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 Reclamación 16º.-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438"/>
      </w:pPr>
      <w:r>
        <w:rPr>
          <w:b/>
        </w:rPr>
        <w:t xml:space="preserve">La población joven de Candelaria supone más del 15% </w:t>
      </w:r>
      <w:r>
        <w:rPr>
          <w:b/>
        </w:rPr>
        <w:t>del total del municipio. En el pleno de julio de 2020 se aprobó una Moción de Coalición Canaria para instar al Ayuntamiento a elaborar un Plan Municipal de Juventud, llevándose a cabo un análisis DAFO y un planteamiento inicial de dicho Plan enfocado en lo</w:t>
      </w:r>
      <w:r>
        <w:rPr>
          <w:b/>
        </w:rPr>
        <w:t>s objetivos ODS. Desde entonces la elaboración y desarrollo de ese Plan se encuentra paralizado y no se han dado pasos para la creación de acciones directas desde el área de Juventud y transversales desde el resto de áreas del gobierno municipal (vivienda,</w:t>
      </w:r>
      <w:r>
        <w:rPr>
          <w:b/>
        </w:rPr>
        <w:t xml:space="preserve"> empleo, formación, educación, deporte, cultura, salud), dotadas con sus respectivas partidas financieras y destinadas a garantizar la atención que demanda este grupo de población.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En el Presupuesto Municipal para el 2023 aparece en Gastos Corrientes e</w:t>
      </w:r>
      <w:r>
        <w:rPr>
          <w:b/>
        </w:rPr>
        <w:t xml:space="preserve">n bienes y servicios para la Promoción Cultural un crédito de 20.000 € para el Plan Juventud, sin especificar si esa partida será destinada a actividades juveniles o a finalizar la redacción del Plan Municipal de Juventud.  </w:t>
      </w:r>
    </w:p>
    <w:p w:rsidR="00DA121A" w:rsidRDefault="00904DD6">
      <w:pPr>
        <w:spacing w:after="0" w:line="259" w:lineRule="auto"/>
        <w:ind w:left="284" w:firstLine="0"/>
        <w:jc w:val="left"/>
      </w:pPr>
      <w:r>
        <w:rPr>
          <w:b/>
        </w:rPr>
        <w:t xml:space="preserve"> </w:t>
      </w:r>
    </w:p>
    <w:p w:rsidR="00DA121A" w:rsidRDefault="00904DD6">
      <w:pPr>
        <w:spacing w:after="4"/>
        <w:ind w:left="279" w:right="438"/>
      </w:pPr>
      <w:r>
        <w:rPr>
          <w:b/>
        </w:rPr>
        <w:t>Se hace por tanto necesario a</w:t>
      </w:r>
      <w:r>
        <w:rPr>
          <w:b/>
        </w:rPr>
        <w:t xml:space="preserve">umentar la partida destinada a Plan Juventud con el objetivo de dotar de financiación tanto al programa de actividades juveniles como para finalizar la redacción del Plan Municipal de Juventud.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t xml:space="preserve"> </w:t>
      </w:r>
    </w:p>
    <w:p w:rsidR="00DA121A" w:rsidRDefault="00904DD6">
      <w:pPr>
        <w:ind w:left="288" w:right="441"/>
      </w:pPr>
      <w:r>
        <w:t>La solicitud de aumentar la dotación de crédito para gastos destinados a un Plan Municipal de Juventud y para la realización de actividades juveniles, no se encuadra dentro de los tres supuestos de reclamación, tal como dispone el artículo 170.2 del Real D</w:t>
      </w:r>
      <w:r>
        <w:t xml:space="preserve">ecreto Legislativo 2/2004, de 5 de marzo, por el que se aprueba el Texto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rPr>
          <w:b/>
        </w:rPr>
        <w:t xml:space="preserve"> </w:t>
      </w:r>
    </w:p>
    <w:p w:rsidR="00DA121A" w:rsidRDefault="00904DD6">
      <w:pPr>
        <w:numPr>
          <w:ilvl w:val="0"/>
          <w:numId w:val="18"/>
        </w:numPr>
        <w:spacing w:after="4"/>
        <w:ind w:left="406" w:right="144" w:hanging="137"/>
      </w:pPr>
      <w:r>
        <w:rPr>
          <w:b/>
        </w:rPr>
        <w:t xml:space="preserve">Reclamación 17º.-   </w:t>
      </w:r>
    </w:p>
    <w:p w:rsidR="00DA121A" w:rsidRDefault="00904DD6">
      <w:pPr>
        <w:spacing w:after="0" w:line="259" w:lineRule="auto"/>
        <w:ind w:left="284" w:firstLine="0"/>
        <w:jc w:val="left"/>
      </w:pPr>
      <w:r>
        <w:rPr>
          <w:b/>
        </w:rPr>
        <w:t xml:space="preserve"> </w:t>
      </w:r>
    </w:p>
    <w:p w:rsidR="00DA121A" w:rsidRDefault="00904DD6">
      <w:pPr>
        <w:spacing w:after="4"/>
        <w:ind w:left="279" w:right="438"/>
      </w:pPr>
      <w:r>
        <w:rPr>
          <w:b/>
        </w:rPr>
        <w:t xml:space="preserve">Insuficiente crédito en el subprograma 231.01 de Mujer, Menor y Familia que al igual que en el ejercicio presupuestario 2022 asciende a la cantidad de 66.000 €. Teniendo en cuenta que el gasto realmente comprometido en el pasado ejercicio fue de 81.728,13 </w:t>
      </w:r>
      <w:r>
        <w:rPr>
          <w:b/>
        </w:rPr>
        <w:t xml:space="preserve">euros, concluimos la necesidad de aumentar en 20.000 € más las partidas destinadas a Igualdad; Protección a la Infancia; Actuaciones sensibilización en igualdad y contra la violencia de género; Plan de Igualdad y Proyecto apoyo tareas: Club de Tarea. </w:t>
      </w:r>
    </w:p>
    <w:p w:rsidR="00DA121A" w:rsidRDefault="00904DD6">
      <w:pPr>
        <w:ind w:left="288" w:right="439"/>
      </w:pPr>
      <w:r>
        <w:t>La s</w:t>
      </w:r>
      <w:r>
        <w:t>olicitud de aumentar la dotación de crédito para gastos destinados a los ámbitos de Mujer, Menor y Familia, no se encuadra dentro de los tres supuestos de reclamación, tal como dispone el artículo 170.2 del Real Decreto Legislativo 2/2004, de 5 de marzo, p</w:t>
      </w:r>
      <w:r>
        <w:t xml:space="preserve">or el que se aprueba el Texto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numPr>
          <w:ilvl w:val="0"/>
          <w:numId w:val="18"/>
        </w:numPr>
        <w:spacing w:after="4"/>
        <w:ind w:left="406" w:right="144" w:hanging="137"/>
      </w:pPr>
      <w:r>
        <w:rPr>
          <w:b/>
        </w:rPr>
        <w:t xml:space="preserve">Reclamación 18º.-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El comercio y la restauración son los principale</w:t>
      </w:r>
      <w:r>
        <w:rPr>
          <w:b/>
        </w:rPr>
        <w:t xml:space="preserve">s motores económicos del municipio de Candelaria, por lo que se hace fundamental aumentar las partidas destinadas a la publicidad, propaganda y promoción del sector servicios.  </w:t>
      </w:r>
    </w:p>
    <w:p w:rsidR="00DA121A" w:rsidRDefault="00904DD6">
      <w:pPr>
        <w:spacing w:after="0" w:line="259" w:lineRule="auto"/>
        <w:ind w:left="284" w:firstLine="0"/>
        <w:jc w:val="left"/>
      </w:pPr>
      <w:r>
        <w:rPr>
          <w:b/>
        </w:rPr>
        <w:t xml:space="preserve"> </w:t>
      </w:r>
    </w:p>
    <w:p w:rsidR="00DA121A" w:rsidRDefault="00904DD6">
      <w:pPr>
        <w:spacing w:after="4"/>
        <w:ind w:left="279" w:right="436"/>
      </w:pPr>
      <w:r>
        <w:rPr>
          <w:b/>
        </w:rPr>
        <w:t>Las acciones de dinamización y promoción comercial que desde el Ayuntamiento</w:t>
      </w:r>
      <w:r>
        <w:rPr>
          <w:b/>
        </w:rPr>
        <w:t xml:space="preserve"> se implanten impulsarán el desarrollo de las pequeñas y medianas empresas del municipio y aumentará el número de puestos de trabajo que se creen en Candelaria. Proponemos aumentar el crédito a la partida Promoción del Comercio hasta los 50.000€.</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ind w:left="288" w:right="377"/>
      </w:pPr>
      <w:r>
        <w:t>La s</w:t>
      </w:r>
      <w:r>
        <w:t>olicitud de aumentar la dotación de crédito para gastos destinados a promoción del comercio, no se encuadra dentro de los tres supuestos de reclamación, tal como dispone el artículo 170.2 del Real Decreto Legislativo 2/2004, de 5 de marzo, por el que se ap</w:t>
      </w:r>
      <w:r>
        <w:t xml:space="preserve">rueba el Texto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Reclamación 19º.-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 xml:space="preserve">En el año 2019 el Ayuntamiento de Candelaria destinó 500.000€ al desarrollo de proyectos y actuaciones dentro del marco de los Presupuestos Participativos, en el que los vecinos podían elegir las mejoras que creían más adecuadas para su zona.  </w:t>
      </w:r>
    </w:p>
    <w:p w:rsidR="00DA121A" w:rsidRDefault="00904DD6">
      <w:pPr>
        <w:spacing w:after="0" w:line="259" w:lineRule="auto"/>
        <w:ind w:left="284" w:firstLine="0"/>
        <w:jc w:val="left"/>
      </w:pPr>
      <w:r>
        <w:rPr>
          <w:b/>
        </w:rPr>
        <w:t xml:space="preserve"> </w:t>
      </w:r>
    </w:p>
    <w:p w:rsidR="00DA121A" w:rsidRDefault="00904DD6">
      <w:pPr>
        <w:spacing w:after="4"/>
        <w:ind w:left="279" w:right="437"/>
      </w:pPr>
      <w:r>
        <w:rPr>
          <w:b/>
        </w:rPr>
        <w:t>En este e</w:t>
      </w:r>
      <w:r>
        <w:rPr>
          <w:b/>
        </w:rPr>
        <w:t xml:space="preserve">jercicio se le ha negado a los vecinos el carácter participativo en las decisiones de los presupuestos municipales y su capacidad de voz y voto a la hora de elegir aquellas acciones que entienden adecuadas para mejorar su entorno.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Solicitamos la creaci</w:t>
      </w:r>
      <w:r>
        <w:rPr>
          <w:b/>
        </w:rPr>
        <w:t xml:space="preserve">ón de una partida de 500.000 € para el desarrollo de proyectos y actuaciones dentro del marco de los Presupuestos Participativos. </w:t>
      </w:r>
    </w:p>
    <w:p w:rsidR="00DA121A" w:rsidRDefault="00904DD6">
      <w:pPr>
        <w:ind w:left="288" w:right="438"/>
      </w:pPr>
      <w:r>
        <w:t>La solicitud de creación de una aplicación presupuestaria dotado de créditos destinados para actuaciones dentro de los Presup</w:t>
      </w:r>
      <w:r>
        <w:t>uestos Participativos, no se encuadra dentro de los tres supuestos de reclamación, tal como dispone el artículo 170.2 del Real Decreto Legislativo 2/2004, de 5 de marzo, por el que se aprueba el Texto Refundido de la Ley reguladora de las Haciendas Locales</w:t>
      </w:r>
      <w:r>
        <w:t xml:space="preserve">.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i/>
        </w:rPr>
        <w:t xml:space="preserve"> </w:t>
      </w:r>
    </w:p>
    <w:p w:rsidR="00DA121A" w:rsidRDefault="00904DD6">
      <w:pPr>
        <w:spacing w:after="4"/>
        <w:ind w:left="279" w:right="144"/>
      </w:pPr>
      <w:r>
        <w:rPr>
          <w:b/>
        </w:rPr>
        <w:t xml:space="preserve">- Reclamación 20º.-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Consideramos que se debe reducir la cuantía de la partida para Fiestas Populares y Festejos, concretamente se incrementa en un 10</w:t>
      </w:r>
      <w:r>
        <w:rPr>
          <w:b/>
        </w:rPr>
        <w:t xml:space="preserve">6%, hasta los 640.000 euros.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Estamos totalmente de acuerdo con la celebración de las fiestas como expresión cultural lúdica que tienen arraigo identitario en la ciudadanía, pero con las malas previsiones económicas que se pronostican para el 2023 y próximos años consideramos que se de</w:t>
      </w:r>
      <w:r>
        <w:rPr>
          <w:b/>
        </w:rPr>
        <w:t xml:space="preserve">be reducir la cuantía de esta partida, en beneficio de áreas sociales que consideramos deficitarias.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i/>
        </w:rPr>
        <w:t xml:space="preserve"> </w:t>
      </w:r>
    </w:p>
    <w:p w:rsidR="00DA121A" w:rsidRDefault="00904DD6">
      <w:pPr>
        <w:ind w:left="288" w:right="438"/>
      </w:pPr>
      <w:r>
        <w:t>La solicitud de reducción de créditos destinados para gastos destinados a fiestas en beneficio de servicios sociales, no se encuadra dentro de los tres supuestos de reclamación, tal como dispone el artículo 170.2 del Real Decreto Legislativo 2/2004, de 5 d</w:t>
      </w:r>
      <w:r>
        <w:t xml:space="preserve">e marzo, por el que se aprueba el Texto Refundido de la Ley reguladora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i/>
        </w:rPr>
        <w:t xml:space="preserve"> </w:t>
      </w:r>
    </w:p>
    <w:p w:rsidR="00DA121A" w:rsidRDefault="00904DD6">
      <w:pPr>
        <w:numPr>
          <w:ilvl w:val="0"/>
          <w:numId w:val="19"/>
        </w:numPr>
        <w:spacing w:after="4"/>
        <w:ind w:left="406" w:right="144" w:hanging="137"/>
      </w:pPr>
      <w:r>
        <w:rPr>
          <w:b/>
        </w:rPr>
        <w:t xml:space="preserve">Reclamación 21º.-   </w:t>
      </w:r>
    </w:p>
    <w:p w:rsidR="00DA121A" w:rsidRDefault="00904DD6">
      <w:pPr>
        <w:spacing w:after="0" w:line="259" w:lineRule="auto"/>
        <w:ind w:left="284" w:firstLine="0"/>
        <w:jc w:val="left"/>
      </w:pPr>
      <w:r>
        <w:rPr>
          <w:b/>
        </w:rPr>
        <w:t xml:space="preserve"> </w:t>
      </w:r>
    </w:p>
    <w:p w:rsidR="00DA121A" w:rsidRDefault="00904DD6">
      <w:pPr>
        <w:spacing w:after="4"/>
        <w:ind w:left="279" w:right="436"/>
      </w:pPr>
      <w:r>
        <w:rPr>
          <w:b/>
        </w:rPr>
        <w:t>La Fundación Candelaria Solidaria desd</w:t>
      </w:r>
      <w:r>
        <w:rPr>
          <w:b/>
        </w:rPr>
        <w:t>e 2020 ha visto recortado su presupuesto en 21.000 €, única aportación que realizaba el Ayuntamiento de Candelaria, porque los 115.000 euros que aparecen en estos últimos ejercicios los recibe del IASS del Cabildo de Tenerife. El patronato ha manifestado e</w:t>
      </w:r>
      <w:r>
        <w:rPr>
          <w:b/>
        </w:rPr>
        <w:t>n más de una ocasión la necesidad de incrementar los recursos y tras estos tres años de crisis post-pandémica unido a la inflación y las secuelas económicas de la guerra de Ucrania que no han hecho sino agravar aún más la economía, Es por lo que reclamamos</w:t>
      </w:r>
      <w:r>
        <w:rPr>
          <w:b/>
        </w:rPr>
        <w:t xml:space="preserve"> que se establezca presupuestariamente una partida de crédito municipal con destino a la Fundación Candelaria Solidaria, en previsión de lo que de seguro en el futuro demandará para dar respuesta de ayuda humanitaria.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ind w:left="288" w:right="440"/>
      </w:pPr>
      <w:r>
        <w:t>La solicitud de aumentar la do</w:t>
      </w:r>
      <w:r>
        <w:t>tación de crédito para gastos destinados a la Fundación, no se encuadra dentro de los tres supuestos de reclamación, tal como dispone el artículo 170.2 del Real Decreto Legislativo 2/2004, de 5 de marzo, por el que se aprueba el Texto Refundido de la Ley r</w:t>
      </w:r>
      <w:r>
        <w:t xml:space="preserve">eguladora de las Haciendas Locales. No existe, por tanto, obligación legal. </w:t>
      </w:r>
    </w:p>
    <w:p w:rsidR="00DA121A" w:rsidRDefault="00904DD6">
      <w:pPr>
        <w:spacing w:after="0" w:line="259" w:lineRule="auto"/>
        <w:ind w:left="284" w:firstLine="0"/>
        <w:jc w:val="left"/>
      </w:pPr>
      <w:r>
        <w:t xml:space="preserve"> </w:t>
      </w:r>
    </w:p>
    <w:p w:rsidR="00DA121A" w:rsidRDefault="00904DD6">
      <w:pPr>
        <w:ind w:left="288" w:right="146"/>
      </w:pPr>
      <w:r>
        <w:t xml:space="preserve">Se informa negativamente la presente reclamación.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numPr>
          <w:ilvl w:val="0"/>
          <w:numId w:val="19"/>
        </w:numPr>
        <w:spacing w:after="4"/>
        <w:ind w:left="406" w:right="144" w:hanging="137"/>
      </w:pPr>
      <w:r>
        <w:rPr>
          <w:b/>
        </w:rPr>
        <w:t xml:space="preserve">Reclamación 22º.-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439"/>
      </w:pPr>
      <w:r>
        <w:rPr>
          <w:b/>
        </w:rPr>
        <w:t>Reclamamos que se dote con recursos suficientes, una partida finalista para afrontar los gastos de alquileres de viviendas de Candelaria que puedan ofertarse desde el Ayuntamiento. O abonarse a a las personas que lo necesiten. La política de promoción de V</w:t>
      </w:r>
      <w:r>
        <w:rPr>
          <w:b/>
        </w:rPr>
        <w:t>ivienda Pública en Candelaria, mediante la compra de solares ante la falta de suelo público, se ha manifestado como una fórmula lenta e ineficaz para dar respuesta a una emergencia habitacional para aquellos vecinos afectados por desahucios o que por probl</w:t>
      </w:r>
      <w:r>
        <w:rPr>
          <w:b/>
        </w:rPr>
        <w:t>emas económicos no pueden hacer frente al pago del alquiler o de la hipoteca. Es por lo que consideramos que además de la partida de gastos de alquileres a las vecinas y vecinos afectados por el desalojo de Bajo La Cuesta, el presupuesto municipal debe con</w:t>
      </w:r>
      <w:r>
        <w:rPr>
          <w:b/>
        </w:rPr>
        <w:t>tar con una partida para hacer frente a esta problemática cada vez más frecuente.</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i/>
        </w:rPr>
        <w:t xml:space="preserve"> </w:t>
      </w:r>
    </w:p>
    <w:p w:rsidR="00DA121A" w:rsidRDefault="00904DD6">
      <w:pPr>
        <w:ind w:left="288" w:right="1073"/>
      </w:pPr>
      <w:r>
        <w:t>La solicitud de creación de una aplicación presupuestaria dotado de créditos destinados para actuaciones de alquiler de viviendas, no se encuadra dentro de los tres supues</w:t>
      </w:r>
      <w:r>
        <w:t xml:space="preserve">tos de reclamación, tal como dispone el artículo 170.2 del Real Decreto Legislativo 2/2004, de 5 de marzo, por el que se aprueba el Texto Refundido de la Ley reguladora de las Haciendas Locales. No existe, por tanto, obligación legal. </w:t>
      </w:r>
    </w:p>
    <w:p w:rsidR="00DA121A" w:rsidRDefault="00904DD6">
      <w:pPr>
        <w:spacing w:after="16" w:line="259" w:lineRule="auto"/>
        <w:ind w:left="284" w:firstLine="0"/>
        <w:jc w:val="left"/>
      </w:pPr>
      <w:r>
        <w:t xml:space="preserve"> </w:t>
      </w:r>
    </w:p>
    <w:p w:rsidR="00DA121A" w:rsidRDefault="00904DD6">
      <w:pPr>
        <w:ind w:left="288" w:right="146"/>
      </w:pPr>
      <w:r>
        <w:t>Se informa negativ</w:t>
      </w:r>
      <w:r>
        <w:t xml:space="preserve">amente la presente reclamación.” </w:t>
      </w:r>
    </w:p>
    <w:p w:rsidR="00DA121A" w:rsidRDefault="00904DD6">
      <w:pPr>
        <w:spacing w:after="0" w:line="259" w:lineRule="auto"/>
        <w:ind w:left="284" w:firstLine="0"/>
        <w:jc w:val="left"/>
      </w:pPr>
      <w:r>
        <w:rPr>
          <w:b/>
          <w:i/>
        </w:rPr>
        <w:t xml:space="preserve"> </w:t>
      </w:r>
    </w:p>
    <w:p w:rsidR="00DA121A" w:rsidRDefault="00904DD6">
      <w:pPr>
        <w:spacing w:after="0" w:line="259" w:lineRule="auto"/>
        <w:ind w:left="284" w:firstLine="0"/>
        <w:jc w:val="left"/>
      </w:pPr>
      <w:r>
        <w:rPr>
          <w:b/>
          <w:i/>
        </w:rPr>
        <w:t xml:space="preserve"> </w:t>
      </w:r>
    </w:p>
    <w:p w:rsidR="00DA121A" w:rsidRDefault="00904DD6">
      <w:pPr>
        <w:spacing w:after="4"/>
        <w:ind w:left="279" w:right="430"/>
      </w:pPr>
      <w:r>
        <w:rPr>
          <w:b/>
        </w:rPr>
        <w:t xml:space="preserve">Consta en el expediente propuesta del Concejal delegado de Hacienda, D. Airam Pérez Chinea, de fecha 27 de marzo de 2023, que transcrito literalmente dice: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19" w:line="259" w:lineRule="auto"/>
        <w:ind w:left="284" w:firstLine="0"/>
        <w:jc w:val="left"/>
      </w:pPr>
      <w:r>
        <w:rPr>
          <w:b/>
        </w:rPr>
        <w:t xml:space="preserve"> </w:t>
      </w:r>
    </w:p>
    <w:p w:rsidR="00DA121A" w:rsidRDefault="00904DD6">
      <w:pPr>
        <w:spacing w:after="4"/>
        <w:ind w:left="279" w:right="144"/>
      </w:pPr>
      <w:r>
        <w:rPr>
          <w:b/>
        </w:rPr>
        <w:t xml:space="preserve">“Propuesta de la Concejalía de Hacienda  </w:t>
      </w:r>
    </w:p>
    <w:p w:rsidR="00DA121A" w:rsidRDefault="00904DD6">
      <w:pPr>
        <w:spacing w:after="115"/>
        <w:ind w:left="278" w:right="1072" w:firstLine="710"/>
      </w:pPr>
      <w:r>
        <w:t>Dado el expediente de Presupuesto General de esta Corporación para el ejercicio 2023, seguido el trámite expresamente previsto para su confección por el Texto Refundido de la Ley de Haciendas Locales 2/2004, y sometido a aprobación del Pleno, en sesión ord</w:t>
      </w:r>
      <w:r>
        <w:t xml:space="preserve">inaria de este órgano celebrado en fecha 23 de febrero de 2023, se adopta acuerdo de aprobación inicial del expediente. </w:t>
      </w:r>
      <w:r>
        <w:rPr>
          <w:rFonts w:ascii="Times New Roman" w:eastAsia="Times New Roman" w:hAnsi="Times New Roman" w:cs="Times New Roman"/>
          <w:sz w:val="24"/>
        </w:rPr>
        <w:t xml:space="preserve"> </w:t>
      </w:r>
    </w:p>
    <w:p w:rsidR="00DA121A" w:rsidRDefault="00904DD6">
      <w:pPr>
        <w:spacing w:after="123"/>
        <w:ind w:left="278" w:right="1071" w:firstLine="710"/>
      </w:pPr>
      <w:r>
        <w:t xml:space="preserve">Sometido a exposición pública mediante anuncio en el BOP nº 27,  de 3 de marzo  de 2023, de conformidad con lo previsto en el art 169 </w:t>
      </w:r>
      <w:r>
        <w:t>del Texto Refundido de la Ley de Haciendas Locales aprobado por real Decreto Legislativo 2/2004, de 5 de marzo, y el artículo 20 del Real Decreto Legislativo 500/1990 de 20 de abril, por los interesados se han presentado dentro del plazo legal de los quinc</w:t>
      </w:r>
      <w:r>
        <w:t xml:space="preserve">e días hábiles a partir de la referida publicación, las siguientes reclamaciones - alegaciones incorporadas al expediente: </w:t>
      </w:r>
      <w:r>
        <w:rPr>
          <w:rFonts w:ascii="Times New Roman" w:eastAsia="Times New Roman" w:hAnsi="Times New Roman" w:cs="Times New Roman"/>
          <w:sz w:val="24"/>
        </w:rPr>
        <w:t xml:space="preserve"> </w:t>
      </w:r>
    </w:p>
    <w:p w:rsidR="00DA121A" w:rsidRDefault="00904DD6">
      <w:pPr>
        <w:numPr>
          <w:ilvl w:val="0"/>
          <w:numId w:val="20"/>
        </w:numPr>
        <w:spacing w:after="117"/>
        <w:ind w:right="146" w:hanging="358"/>
      </w:pPr>
      <w:r>
        <w:t xml:space="preserve">Por Grupo Popular municipal, con fecha 21 de marzo de 2.023 y nº registro 2023-E-RE2059. </w:t>
      </w:r>
      <w:r>
        <w:rPr>
          <w:rFonts w:ascii="Times New Roman" w:eastAsia="Times New Roman" w:hAnsi="Times New Roman" w:cs="Times New Roman"/>
          <w:sz w:val="24"/>
        </w:rPr>
        <w:t xml:space="preserve"> </w:t>
      </w:r>
    </w:p>
    <w:p w:rsidR="00DA121A" w:rsidRDefault="00904DD6">
      <w:pPr>
        <w:numPr>
          <w:ilvl w:val="0"/>
          <w:numId w:val="20"/>
        </w:numPr>
        <w:spacing w:after="116"/>
        <w:ind w:right="146" w:hanging="358"/>
      </w:pPr>
      <w:r>
        <w:t>Por Coalición Canaria, con fecha 21 de m</w:t>
      </w:r>
      <w:r>
        <w:t xml:space="preserve">arzo de 2.023 y nº de registro de entrada 2023E-RE-2091 </w:t>
      </w:r>
      <w:r>
        <w:rPr>
          <w:rFonts w:ascii="Times New Roman" w:eastAsia="Times New Roman" w:hAnsi="Times New Roman" w:cs="Times New Roman"/>
          <w:sz w:val="24"/>
        </w:rPr>
        <w:t xml:space="preserve"> </w:t>
      </w:r>
    </w:p>
    <w:p w:rsidR="00DA121A" w:rsidRDefault="00904DD6">
      <w:pPr>
        <w:spacing w:after="115"/>
        <w:ind w:left="278" w:right="146" w:firstLine="710"/>
      </w:pPr>
      <w:r>
        <w:t>Vistas las alegaciones – reclamaciones formuladas, por la Intervención de Fondos se ha emitido informe de cada una de ellas, siendo todas ellas informadas negativamente, al no estar en ningún supues</w:t>
      </w:r>
      <w:r>
        <w:t xml:space="preserve">to de los señalados en el artículo 170.2 del R.D.L. 2/20014, de 5 de marzo, por el que se aprueba el Texto Refundido de la Ley Reguladora de las Haciendas Locales. </w:t>
      </w:r>
      <w:r>
        <w:rPr>
          <w:rFonts w:ascii="Times New Roman" w:eastAsia="Times New Roman" w:hAnsi="Times New Roman" w:cs="Times New Roman"/>
          <w:sz w:val="24"/>
        </w:rPr>
        <w:t xml:space="preserve"> </w:t>
      </w:r>
    </w:p>
    <w:p w:rsidR="00DA121A" w:rsidRDefault="00904DD6">
      <w:pPr>
        <w:spacing w:after="116"/>
        <w:ind w:left="278" w:right="146" w:firstLine="710"/>
      </w:pPr>
      <w:r>
        <w:t xml:space="preserve">Por todo ello, y en consonancia con informe favorable de la Intervención General, obrante </w:t>
      </w:r>
      <w:r>
        <w:t>igualmente en el expediente, por esta Concejalía se Propone la adopción del siguiente acuerdo:</w:t>
      </w:r>
      <w:r>
        <w:rPr>
          <w:i/>
        </w:rPr>
        <w:t xml:space="preserve"> </w:t>
      </w:r>
      <w:r>
        <w:rPr>
          <w:rFonts w:ascii="Times New Roman" w:eastAsia="Times New Roman" w:hAnsi="Times New Roman" w:cs="Times New Roman"/>
          <w:sz w:val="24"/>
        </w:rPr>
        <w:t xml:space="preserve"> </w:t>
      </w:r>
    </w:p>
    <w:p w:rsidR="00DA121A" w:rsidRDefault="00904DD6">
      <w:pPr>
        <w:spacing w:after="117" w:line="259" w:lineRule="auto"/>
        <w:ind w:left="980" w:firstLine="0"/>
        <w:jc w:val="left"/>
      </w:pPr>
      <w:r>
        <w:t xml:space="preserve"> </w:t>
      </w:r>
    </w:p>
    <w:p w:rsidR="00DA121A" w:rsidRDefault="00904DD6">
      <w:pPr>
        <w:ind w:left="278" w:right="146" w:firstLine="710"/>
      </w:pPr>
      <w:r>
        <w:rPr>
          <w:b/>
        </w:rPr>
        <w:t>PRIMERO. -</w:t>
      </w:r>
      <w:r>
        <w:t xml:space="preserve"> Desestimar las reclamaciones - alegaciones presentadas por los interesados, y en consecuencia aprobar definitivamente el </w:t>
      </w:r>
      <w:r>
        <w:rPr>
          <w:b/>
        </w:rPr>
        <w:t>Presupuesto General del ejercicio 2023, al que se incorpora Plantilla Orgánica y Plan Presupuestario</w:t>
      </w:r>
      <w:r>
        <w:t>, con el siguiente resumen:</w:t>
      </w:r>
      <w:r>
        <w:rPr>
          <w:rFonts w:ascii="Times New Roman" w:eastAsia="Times New Roman" w:hAnsi="Times New Roman" w:cs="Times New Roman"/>
          <w:sz w:val="24"/>
        </w:rPr>
        <w:t xml:space="preserve">  </w:t>
      </w:r>
    </w:p>
    <w:p w:rsidR="00DA121A" w:rsidRDefault="00904DD6">
      <w:pPr>
        <w:spacing w:after="72" w:line="259" w:lineRule="auto"/>
        <w:ind w:left="992" w:firstLine="0"/>
        <w:jc w:val="left"/>
      </w:pPr>
      <w:r>
        <w:rPr>
          <w:rFonts w:ascii="Times New Roman" w:eastAsia="Times New Roman" w:hAnsi="Times New Roman" w:cs="Times New Roman"/>
          <w:sz w:val="24"/>
        </w:rPr>
        <w:t xml:space="preserve">  </w:t>
      </w:r>
    </w:p>
    <w:p w:rsidR="00DA121A" w:rsidRDefault="00904DD6">
      <w:pPr>
        <w:spacing w:after="121"/>
        <w:ind w:left="279" w:right="144"/>
      </w:pPr>
      <w:r>
        <w:rPr>
          <w:b/>
        </w:rPr>
        <w:t>I.-Estado de gastos e ingresos consolidados:</w:t>
      </w:r>
      <w:r>
        <w:t xml:space="preserve"> </w:t>
      </w:r>
      <w:r>
        <w:rPr>
          <w:rFonts w:ascii="Times New Roman" w:eastAsia="Times New Roman" w:hAnsi="Times New Roman" w:cs="Times New Roman"/>
          <w:sz w:val="24"/>
        </w:rPr>
        <w:t xml:space="preserve"> </w:t>
      </w:r>
    </w:p>
    <w:p w:rsidR="00DA121A" w:rsidRDefault="00904DD6">
      <w:pPr>
        <w:shd w:val="clear" w:color="auto" w:fill="BFBFBF"/>
        <w:spacing w:after="15" w:line="259" w:lineRule="auto"/>
        <w:ind w:left="83" w:firstLine="0"/>
        <w:jc w:val="center"/>
      </w:pPr>
      <w:r>
        <w:rPr>
          <w:rFonts w:ascii="Times New Roman" w:eastAsia="Times New Roman" w:hAnsi="Times New Roman" w:cs="Times New Roman"/>
          <w:b/>
          <w:sz w:val="20"/>
        </w:rPr>
        <w:t xml:space="preserve">      </w:t>
      </w:r>
      <w:r>
        <w:rPr>
          <w:rFonts w:ascii="Times New Roman" w:eastAsia="Times New Roman" w:hAnsi="Times New Roman" w:cs="Times New Roman"/>
          <w:b/>
          <w:sz w:val="18"/>
        </w:rPr>
        <w:t xml:space="preserve">PRESUPUESTO CONSOLIDADO EJERCICIO 2023 </w:t>
      </w:r>
      <w:r>
        <w:rPr>
          <w:rFonts w:ascii="Times New Roman" w:eastAsia="Times New Roman" w:hAnsi="Times New Roman" w:cs="Times New Roman"/>
          <w:sz w:val="24"/>
        </w:rPr>
        <w:t xml:space="preserve"> </w:t>
      </w:r>
    </w:p>
    <w:p w:rsidR="00DA121A" w:rsidRDefault="00904DD6">
      <w:pPr>
        <w:spacing w:after="3303" w:line="259" w:lineRule="auto"/>
        <w:ind w:left="776"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24"/>
        </w:rPr>
        <w:t xml:space="preserve"> </w:t>
      </w:r>
    </w:p>
    <w:tbl>
      <w:tblPr>
        <w:tblStyle w:val="TableGrid"/>
        <w:tblpPr w:vertAnchor="text" w:tblpX="299" w:tblpY="-3584"/>
        <w:tblOverlap w:val="never"/>
        <w:tblW w:w="8433" w:type="dxa"/>
        <w:tblInd w:w="0" w:type="dxa"/>
        <w:tblCellMar>
          <w:top w:w="0" w:type="dxa"/>
          <w:left w:w="0" w:type="dxa"/>
          <w:bottom w:w="0" w:type="dxa"/>
          <w:right w:w="0" w:type="dxa"/>
        </w:tblCellMar>
        <w:tblLook w:val="04A0" w:firstRow="1" w:lastRow="0" w:firstColumn="1" w:lastColumn="0" w:noHBand="0" w:noVBand="1"/>
      </w:tblPr>
      <w:tblGrid>
        <w:gridCol w:w="950"/>
        <w:gridCol w:w="1265"/>
        <w:gridCol w:w="1179"/>
        <w:gridCol w:w="1260"/>
        <w:gridCol w:w="1246"/>
        <w:gridCol w:w="1227"/>
        <w:gridCol w:w="1306"/>
      </w:tblGrid>
      <w:tr w:rsidR="00DA121A">
        <w:trPr>
          <w:trHeight w:val="416"/>
        </w:trPr>
        <w:tc>
          <w:tcPr>
            <w:tcW w:w="2218" w:type="dxa"/>
            <w:gridSpan w:val="2"/>
            <w:tcBorders>
              <w:top w:val="nil"/>
              <w:left w:val="nil"/>
              <w:bottom w:val="single" w:sz="4" w:space="0" w:color="000000"/>
              <w:right w:val="nil"/>
            </w:tcBorders>
            <w:shd w:val="clear" w:color="auto" w:fill="BFBFBF"/>
          </w:tcPr>
          <w:p w:rsidR="00DA121A" w:rsidRDefault="00904DD6">
            <w:pPr>
              <w:spacing w:after="0" w:line="259" w:lineRule="auto"/>
              <w:ind w:left="0" w:right="274" w:firstLine="0"/>
              <w:jc w:val="center"/>
            </w:pPr>
            <w:r>
              <w:rPr>
                <w:rFonts w:ascii="Times New Roman" w:eastAsia="Times New Roman" w:hAnsi="Times New Roman" w:cs="Times New Roman"/>
                <w:sz w:val="18"/>
              </w:rPr>
              <w:t xml:space="preserve"> </w:t>
            </w:r>
          </w:p>
          <w:p w:rsidR="00DA121A" w:rsidRDefault="00904DD6">
            <w:pPr>
              <w:spacing w:after="0" w:line="259" w:lineRule="auto"/>
              <w:ind w:left="-1" w:firstLine="0"/>
              <w:jc w:val="left"/>
            </w:pPr>
            <w:r>
              <w:rPr>
                <w:rFonts w:ascii="Times New Roman" w:eastAsia="Times New Roman" w:hAnsi="Times New Roman" w:cs="Times New Roman"/>
                <w:sz w:val="18"/>
              </w:rPr>
              <w:t xml:space="preserve"> </w:t>
            </w:r>
          </w:p>
        </w:tc>
        <w:tc>
          <w:tcPr>
            <w:tcW w:w="6215" w:type="dxa"/>
            <w:gridSpan w:val="5"/>
            <w:tcBorders>
              <w:top w:val="nil"/>
              <w:left w:val="nil"/>
              <w:bottom w:val="single" w:sz="4" w:space="0" w:color="000000"/>
              <w:right w:val="nil"/>
            </w:tcBorders>
            <w:shd w:val="clear" w:color="auto" w:fill="BFBFBF"/>
          </w:tcPr>
          <w:p w:rsidR="00DA121A" w:rsidRDefault="00904DD6">
            <w:pPr>
              <w:spacing w:after="0" w:line="259" w:lineRule="auto"/>
              <w:ind w:left="0" w:right="2590" w:firstLine="0"/>
              <w:jc w:val="right"/>
            </w:pPr>
            <w:r>
              <w:rPr>
                <w:rFonts w:ascii="Times New Roman" w:eastAsia="Times New Roman" w:hAnsi="Times New Roman" w:cs="Times New Roman"/>
                <w:b/>
                <w:sz w:val="18"/>
              </w:rPr>
              <w:t xml:space="preserve">ESTADO DE CONSOLIDACION DE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 </w:t>
            </w:r>
            <w:r>
              <w:rPr>
                <w:rFonts w:ascii="Times New Roman" w:eastAsia="Times New Roman" w:hAnsi="Times New Roman" w:cs="Times New Roman"/>
                <w:b/>
                <w:sz w:val="18"/>
              </w:rPr>
              <w:t xml:space="preserve">GASTOS </w:t>
            </w:r>
            <w:r>
              <w:rPr>
                <w:rFonts w:ascii="Times New Roman" w:eastAsia="Times New Roman" w:hAnsi="Times New Roman" w:cs="Times New Roman"/>
                <w:sz w:val="24"/>
              </w:rPr>
              <w:t xml:space="preserve"> </w:t>
            </w:r>
          </w:p>
        </w:tc>
      </w:tr>
      <w:tr w:rsidR="00DA121A">
        <w:trPr>
          <w:trHeight w:val="632"/>
        </w:trPr>
        <w:tc>
          <w:tcPr>
            <w:tcW w:w="952"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09" w:firstLine="0"/>
              <w:jc w:val="left"/>
            </w:pPr>
            <w:r>
              <w:rPr>
                <w:rFonts w:ascii="Times New Roman" w:eastAsia="Times New Roman" w:hAnsi="Times New Roman" w:cs="Times New Roman"/>
                <w:b/>
                <w:sz w:val="18"/>
              </w:rPr>
              <w:t xml:space="preserve">Capítulos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91" w:firstLine="0"/>
              <w:jc w:val="left"/>
            </w:pPr>
            <w:r>
              <w:rPr>
                <w:rFonts w:ascii="Times New Roman" w:eastAsia="Times New Roman" w:hAnsi="Times New Roman" w:cs="Times New Roman"/>
                <w:b/>
                <w:sz w:val="18"/>
              </w:rPr>
              <w:t xml:space="preserve">Ayuntamiento </w:t>
            </w:r>
            <w:r>
              <w:rPr>
                <w:rFonts w:ascii="Times New Roman" w:eastAsia="Times New Roman" w:hAnsi="Times New Roman" w:cs="Times New Roman"/>
                <w:sz w:val="24"/>
              </w:rPr>
              <w:t xml:space="preserve"> </w:t>
            </w:r>
          </w:p>
        </w:tc>
        <w:tc>
          <w:tcPr>
            <w:tcW w:w="1179"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57" w:firstLine="0"/>
              <w:jc w:val="left"/>
            </w:pPr>
            <w:r>
              <w:rPr>
                <w:rFonts w:ascii="Times New Roman" w:eastAsia="Times New Roman" w:hAnsi="Times New Roman" w:cs="Times New Roman"/>
                <w:b/>
                <w:sz w:val="18"/>
              </w:rPr>
              <w:t xml:space="preserve">EPELCAN </w:t>
            </w:r>
            <w:r>
              <w:rPr>
                <w:rFonts w:ascii="Times New Roman" w:eastAsia="Times New Roman" w:hAnsi="Times New Roman" w:cs="Times New Roman"/>
                <w:sz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47" w:line="240" w:lineRule="auto"/>
              <w:ind w:left="18" w:firstLine="0"/>
              <w:jc w:val="center"/>
            </w:pPr>
            <w:r>
              <w:rPr>
                <w:rFonts w:ascii="Times New Roman" w:eastAsia="Times New Roman" w:hAnsi="Times New Roman" w:cs="Times New Roman"/>
                <w:b/>
                <w:sz w:val="18"/>
              </w:rPr>
              <w:t xml:space="preserve">Sdad. Municipal </w:t>
            </w:r>
          </w:p>
          <w:p w:rsidR="00DA121A" w:rsidRDefault="00904DD6">
            <w:pPr>
              <w:spacing w:after="0" w:line="259" w:lineRule="auto"/>
              <w:ind w:left="0" w:right="3" w:firstLine="0"/>
              <w:jc w:val="center"/>
            </w:pPr>
            <w:r>
              <w:rPr>
                <w:rFonts w:ascii="Times New Roman" w:eastAsia="Times New Roman" w:hAnsi="Times New Roman" w:cs="Times New Roman"/>
                <w:b/>
                <w:sz w:val="18"/>
              </w:rPr>
              <w:t xml:space="preserve">Viviendas </w:t>
            </w:r>
            <w:r>
              <w:rPr>
                <w:rFonts w:ascii="Times New Roman" w:eastAsia="Times New Roman" w:hAnsi="Times New Roman" w:cs="Times New Roman"/>
                <w:sz w:val="24"/>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2" w:firstLine="0"/>
              <w:jc w:val="center"/>
            </w:pPr>
            <w:r>
              <w:rPr>
                <w:rFonts w:ascii="Times New Roman" w:eastAsia="Times New Roman" w:hAnsi="Times New Roman" w:cs="Times New Roman"/>
                <w:b/>
                <w:sz w:val="18"/>
              </w:rPr>
              <w:t xml:space="preserve">Total </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36" w:firstLine="0"/>
              <w:jc w:val="left"/>
            </w:pPr>
            <w:r>
              <w:rPr>
                <w:rFonts w:ascii="Times New Roman" w:eastAsia="Times New Roman" w:hAnsi="Times New Roman" w:cs="Times New Roman"/>
                <w:b/>
                <w:sz w:val="18"/>
              </w:rPr>
              <w:t>Eliminaciones</w:t>
            </w:r>
          </w:p>
        </w:tc>
        <w:tc>
          <w:tcPr>
            <w:tcW w:w="1306"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36" w:firstLine="0"/>
              <w:jc w:val="left"/>
            </w:pPr>
            <w:r>
              <w:rPr>
                <w:rFonts w:ascii="Times New Roman" w:eastAsia="Times New Roman" w:hAnsi="Times New Roman" w:cs="Times New Roman"/>
                <w:b/>
                <w:sz w:val="18"/>
              </w:rPr>
              <w:t xml:space="preserve">Pº </w:t>
            </w:r>
          </w:p>
          <w:p w:rsidR="00DA121A" w:rsidRDefault="00904DD6">
            <w:pPr>
              <w:spacing w:after="0" w:line="259" w:lineRule="auto"/>
              <w:ind w:left="-11"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rFonts w:ascii="Times New Roman" w:eastAsia="Times New Roman" w:hAnsi="Times New Roman" w:cs="Times New Roman"/>
                <w:sz w:val="24"/>
              </w:rPr>
              <w:t xml:space="preserve"> </w:t>
            </w:r>
          </w:p>
          <w:p w:rsidR="00DA121A" w:rsidRDefault="00904DD6">
            <w:pPr>
              <w:spacing w:after="0" w:line="259" w:lineRule="auto"/>
              <w:ind w:left="136" w:firstLine="0"/>
              <w:jc w:val="left"/>
            </w:pPr>
            <w:r>
              <w:rPr>
                <w:rFonts w:ascii="Times New Roman" w:eastAsia="Times New Roman" w:hAnsi="Times New Roman" w:cs="Times New Roman"/>
                <w:b/>
                <w:sz w:val="18"/>
              </w:rPr>
              <w:t xml:space="preserve">Consolidado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sz w:val="18"/>
              </w:rPr>
              <w:t xml:space="preserve">12.153.558,01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179"/>
              </w:tabs>
              <w:spacing w:after="0" w:line="259" w:lineRule="auto"/>
              <w:ind w:left="-23"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574.140,86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60"/>
              </w:tabs>
              <w:spacing w:after="0" w:line="259" w:lineRule="auto"/>
              <w:ind w:left="-28"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1.052.802,64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0" w:firstLine="0"/>
            </w:pPr>
            <w:r>
              <w:rPr>
                <w:rFonts w:ascii="Times New Roman" w:eastAsia="Times New Roman" w:hAnsi="Times New Roman" w:cs="Times New Roman"/>
                <w:sz w:val="24"/>
              </w:rPr>
              <w:t xml:space="preserve"> </w:t>
            </w:r>
            <w:r>
              <w:rPr>
                <w:rFonts w:ascii="Times New Roman" w:eastAsia="Times New Roman" w:hAnsi="Times New Roman" w:cs="Times New Roman"/>
                <w:sz w:val="18"/>
              </w:rPr>
              <w:t xml:space="preserve">13.780.501,51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0"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20"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13.780.501,51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jc w:val="center"/>
            </w:pPr>
            <w:r>
              <w:rPr>
                <w:rFonts w:ascii="Times New Roman" w:eastAsia="Times New Roman" w:hAnsi="Times New Roman" w:cs="Times New Roman"/>
                <w:sz w:val="18"/>
              </w:rPr>
              <w:t xml:space="preserve">2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sz w:val="18"/>
              </w:rPr>
              <w:t xml:space="preserve">10.764.100,01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179"/>
              </w:tabs>
              <w:spacing w:after="0" w:line="259" w:lineRule="auto"/>
              <w:ind w:left="-23"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317.019,83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60"/>
              </w:tabs>
              <w:spacing w:after="0" w:line="259" w:lineRule="auto"/>
              <w:ind w:left="-28"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58.222,27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3" w:firstLine="0"/>
            </w:pPr>
            <w:r>
              <w:rPr>
                <w:rFonts w:ascii="Times New Roman" w:eastAsia="Times New Roman" w:hAnsi="Times New Roman" w:cs="Times New Roman"/>
                <w:sz w:val="24"/>
              </w:rPr>
              <w:t xml:space="preserve"> </w:t>
            </w:r>
            <w:r>
              <w:rPr>
                <w:rFonts w:ascii="Times New Roman" w:eastAsia="Times New Roman" w:hAnsi="Times New Roman" w:cs="Times New Roman"/>
                <w:sz w:val="18"/>
              </w:rPr>
              <w:t xml:space="preserve">11.139.342,11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24"/>
              </w:tabs>
              <w:spacing w:after="0" w:line="259" w:lineRule="auto"/>
              <w:ind w:left="-2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3" w:firstLine="0"/>
            </w:pPr>
            <w:r>
              <w:rPr>
                <w:rFonts w:ascii="Times New Roman" w:eastAsia="Times New Roman" w:hAnsi="Times New Roman" w:cs="Times New Roman"/>
                <w:sz w:val="24"/>
              </w:rPr>
              <w:t xml:space="preserve"> </w:t>
            </w:r>
            <w:r>
              <w:rPr>
                <w:rFonts w:ascii="Times New Roman" w:eastAsia="Times New Roman" w:hAnsi="Times New Roman" w:cs="Times New Roman"/>
                <w:sz w:val="18"/>
              </w:rPr>
              <w:t xml:space="preserve">11.139.342,11 </w:t>
            </w:r>
          </w:p>
        </w:tc>
      </w:tr>
      <w:tr w:rsidR="00DA121A">
        <w:trPr>
          <w:trHeight w:val="288"/>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jc w:val="center"/>
            </w:pPr>
            <w:r>
              <w:rPr>
                <w:rFonts w:ascii="Times New Roman" w:eastAsia="Times New Roman" w:hAnsi="Times New Roman" w:cs="Times New Roman"/>
                <w:sz w:val="18"/>
              </w:rPr>
              <w:t xml:space="preserve">3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sz w:val="18"/>
              </w:rPr>
              <w:t xml:space="preserve">85.000,00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5" w:right="-2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DA121A">
            <w:pPr>
              <w:spacing w:after="160" w:line="259" w:lineRule="auto"/>
              <w:ind w:left="0" w:firstLine="0"/>
              <w:jc w:val="left"/>
            </w:pP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20"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85.000,00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3"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20"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85.000,00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jc w:val="center"/>
            </w:pPr>
            <w:r>
              <w:rPr>
                <w:rFonts w:ascii="Times New Roman" w:eastAsia="Times New Roman" w:hAnsi="Times New Roman" w:cs="Times New Roman"/>
                <w:sz w:val="18"/>
              </w:rPr>
              <w:t xml:space="preserve">4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8" w:firstLine="0"/>
              <w:jc w:val="right"/>
            </w:pPr>
            <w:r>
              <w:rPr>
                <w:rFonts w:ascii="Times New Roman" w:eastAsia="Times New Roman" w:hAnsi="Times New Roman" w:cs="Times New Roman"/>
                <w:sz w:val="18"/>
              </w:rPr>
              <w:t xml:space="preserve">3.376.303,01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3" w:right="-2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DA121A">
            <w:pPr>
              <w:spacing w:after="160" w:line="259" w:lineRule="auto"/>
              <w:ind w:left="0" w:firstLine="0"/>
              <w:jc w:val="left"/>
            </w:pP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20"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3.376.303,01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0" w:firstLine="0"/>
            </w:pPr>
            <w:r>
              <w:rPr>
                <w:rFonts w:ascii="Times New Roman" w:eastAsia="Times New Roman" w:hAnsi="Times New Roman" w:cs="Times New Roman"/>
                <w:sz w:val="24"/>
              </w:rPr>
              <w:t xml:space="preserve"> </w:t>
            </w:r>
            <w:r>
              <w:rPr>
                <w:rFonts w:ascii="Times New Roman" w:eastAsia="Times New Roman" w:hAnsi="Times New Roman" w:cs="Times New Roman"/>
                <w:sz w:val="18"/>
              </w:rPr>
              <w:t xml:space="preserve">1.299.657,33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2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2.076.645,68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6" w:firstLine="0"/>
              <w:jc w:val="center"/>
            </w:pPr>
            <w:r>
              <w:rPr>
                <w:rFonts w:ascii="Times New Roman" w:eastAsia="Times New Roman" w:hAnsi="Times New Roman" w:cs="Times New Roman"/>
                <w:sz w:val="18"/>
              </w:rPr>
              <w:t xml:space="preserve">5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DA121A">
            <w:pPr>
              <w:spacing w:after="160" w:line="259" w:lineRule="auto"/>
              <w:ind w:left="0" w:firstLine="0"/>
              <w:jc w:val="left"/>
            </w:pP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1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6"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0,00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8"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0,00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6" w:firstLine="0"/>
              <w:jc w:val="center"/>
            </w:pPr>
            <w:r>
              <w:rPr>
                <w:rFonts w:ascii="Times New Roman" w:eastAsia="Times New Roman" w:hAnsi="Times New Roman" w:cs="Times New Roman"/>
                <w:sz w:val="18"/>
              </w:rPr>
              <w:t xml:space="preserve">6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4" w:firstLine="0"/>
              <w:jc w:val="right"/>
            </w:pPr>
            <w:r>
              <w:rPr>
                <w:rFonts w:ascii="Times New Roman" w:eastAsia="Times New Roman" w:hAnsi="Times New Roman" w:cs="Times New Roman"/>
                <w:sz w:val="18"/>
              </w:rPr>
              <w:t xml:space="preserve">899.943,32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6"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899.943,32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8"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899.943,32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6" w:firstLine="0"/>
              <w:jc w:val="center"/>
            </w:pPr>
            <w:r>
              <w:rPr>
                <w:rFonts w:ascii="Times New Roman" w:eastAsia="Times New Roman" w:hAnsi="Times New Roman" w:cs="Times New Roman"/>
                <w:sz w:val="18"/>
              </w:rPr>
              <w:t xml:space="preserve">7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6" w:firstLine="0"/>
              <w:jc w:val="right"/>
            </w:pPr>
            <w:r>
              <w:rPr>
                <w:rFonts w:ascii="Times New Roman" w:eastAsia="Times New Roman" w:hAnsi="Times New Roman" w:cs="Times New Roman"/>
                <w:sz w:val="18"/>
              </w:rPr>
              <w:t xml:space="preserve">20.000,00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6"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20.000,00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8"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20.000,00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6" w:firstLine="0"/>
              <w:jc w:val="center"/>
            </w:pPr>
            <w:r>
              <w:rPr>
                <w:rFonts w:ascii="Times New Roman" w:eastAsia="Times New Roman" w:hAnsi="Times New Roman" w:cs="Times New Roman"/>
                <w:sz w:val="18"/>
              </w:rPr>
              <w:t xml:space="preserve">8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6" w:firstLine="0"/>
              <w:jc w:val="right"/>
            </w:pPr>
            <w:r>
              <w:rPr>
                <w:rFonts w:ascii="Times New Roman" w:eastAsia="Times New Roman" w:hAnsi="Times New Roman" w:cs="Times New Roman"/>
                <w:sz w:val="18"/>
              </w:rPr>
              <w:t xml:space="preserve">50.000,00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6"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50.000,00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8"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50.000,00 </w:t>
            </w:r>
          </w:p>
        </w:tc>
      </w:tr>
      <w:tr w:rsidR="00DA121A">
        <w:trPr>
          <w:trHeight w:val="289"/>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6" w:firstLine="0"/>
              <w:jc w:val="center"/>
            </w:pPr>
            <w:r>
              <w:rPr>
                <w:rFonts w:ascii="Times New Roman" w:eastAsia="Times New Roman" w:hAnsi="Times New Roman" w:cs="Times New Roman"/>
                <w:sz w:val="18"/>
              </w:rPr>
              <w:t xml:space="preserve">9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DA121A">
            <w:pPr>
              <w:spacing w:after="160" w:line="259" w:lineRule="auto"/>
              <w:ind w:left="0" w:firstLine="0"/>
              <w:jc w:val="left"/>
            </w:pP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1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6"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0,00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8" w:firstLine="0"/>
              <w:jc w:val="left"/>
            </w:pPr>
            <w:r>
              <w:rPr>
                <w:rFonts w:ascii="Times New Roman" w:eastAsia="Times New Roman" w:hAnsi="Times New Roman" w:cs="Times New Roman"/>
                <w:sz w:val="28"/>
                <w:vertAlign w:val="subscript"/>
              </w:rPr>
              <w:t xml:space="preserve"> </w:t>
            </w:r>
            <w:r>
              <w:rPr>
                <w:rFonts w:ascii="Times New Roman" w:eastAsia="Times New Roman" w:hAnsi="Times New Roman" w:cs="Times New Roman"/>
                <w:sz w:val="28"/>
                <w:vertAlign w:val="subscript"/>
              </w:rPr>
              <w:tab/>
            </w:r>
            <w:r>
              <w:rPr>
                <w:rFonts w:ascii="Times New Roman" w:eastAsia="Times New Roman" w:hAnsi="Times New Roman" w:cs="Times New Roman"/>
                <w:sz w:val="18"/>
              </w:rPr>
              <w:t xml:space="preserve">0,00 </w:t>
            </w:r>
          </w:p>
        </w:tc>
      </w:tr>
      <w:tr w:rsidR="00DA121A">
        <w:trPr>
          <w:trHeight w:val="290"/>
        </w:trPr>
        <w:tc>
          <w:tcPr>
            <w:tcW w:w="952"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24" w:firstLine="0"/>
              <w:jc w:val="left"/>
            </w:pPr>
            <w:r>
              <w:rPr>
                <w:rFonts w:ascii="Times New Roman" w:eastAsia="Times New Roman" w:hAnsi="Times New Roman" w:cs="Times New Roman"/>
                <w:b/>
                <w:sz w:val="18"/>
              </w:rPr>
              <w:t xml:space="preserve">TOTAL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right="54" w:firstLine="0"/>
              <w:jc w:val="right"/>
            </w:pPr>
            <w:r>
              <w:rPr>
                <w:rFonts w:ascii="Times New Roman" w:eastAsia="Times New Roman" w:hAnsi="Times New Roman" w:cs="Times New Roman"/>
                <w:b/>
                <w:sz w:val="18"/>
              </w:rPr>
              <w:t xml:space="preserve">27.348.904,35 </w:t>
            </w:r>
          </w:p>
        </w:tc>
        <w:tc>
          <w:tcPr>
            <w:tcW w:w="1179"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179"/>
              </w:tabs>
              <w:spacing w:after="0" w:line="259" w:lineRule="auto"/>
              <w:ind w:left="-8"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891.160,69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260"/>
              </w:tabs>
              <w:spacing w:after="0" w:line="259" w:lineRule="auto"/>
              <w:ind w:left="-1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1.111.024,91 </w:t>
            </w:r>
          </w:p>
        </w:tc>
        <w:tc>
          <w:tcPr>
            <w:tcW w:w="1246"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6"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29.351.089,95 </w:t>
            </w:r>
          </w:p>
        </w:tc>
        <w:tc>
          <w:tcPr>
            <w:tcW w:w="1224"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6"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1.299.657,33 </w:t>
            </w:r>
          </w:p>
        </w:tc>
        <w:tc>
          <w:tcPr>
            <w:tcW w:w="1306"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306"/>
              </w:tabs>
              <w:spacing w:after="0" w:line="259" w:lineRule="auto"/>
              <w:ind w:left="-6"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28.051.432,62 </w:t>
            </w:r>
          </w:p>
        </w:tc>
      </w:tr>
    </w:tbl>
    <w:p w:rsidR="00DA121A" w:rsidRDefault="00904DD6">
      <w:pPr>
        <w:spacing w:after="111" w:line="259" w:lineRule="auto"/>
        <w:ind w:left="1325"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p w:rsidR="00DA121A" w:rsidRDefault="00904DD6">
      <w:pPr>
        <w:spacing w:after="0" w:line="259" w:lineRule="auto"/>
        <w:ind w:left="0" w:right="1274" w:firstLine="0"/>
        <w:jc w:val="right"/>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4"/>
        </w:rPr>
        <w:t xml:space="preserve"> </w:t>
      </w:r>
    </w:p>
    <w:p w:rsidR="00DA121A" w:rsidRDefault="00904DD6">
      <w:pPr>
        <w:spacing w:after="0" w:line="259" w:lineRule="auto"/>
        <w:ind w:left="0" w:right="1335" w:firstLine="0"/>
        <w:jc w:val="right"/>
      </w:pPr>
      <w:r>
        <w:rPr>
          <w:rFonts w:ascii="Times New Roman" w:eastAsia="Times New Roman" w:hAnsi="Times New Roman" w:cs="Times New Roman"/>
          <w:sz w:val="20"/>
        </w:rPr>
        <w:t xml:space="preserve"> </w:t>
      </w:r>
    </w:p>
    <w:p w:rsidR="00DA121A" w:rsidRDefault="00904DD6">
      <w:pPr>
        <w:spacing w:after="0" w:line="259" w:lineRule="auto"/>
        <w:ind w:left="0" w:right="1335" w:firstLine="0"/>
        <w:jc w:val="right"/>
      </w:pPr>
      <w:r>
        <w:rPr>
          <w:rFonts w:ascii="Times New Roman" w:eastAsia="Times New Roman" w:hAnsi="Times New Roman" w:cs="Times New Roman"/>
          <w:sz w:val="20"/>
        </w:rPr>
        <w:t xml:space="preserve"> </w:t>
      </w:r>
    </w:p>
    <w:p w:rsidR="00DA121A" w:rsidRDefault="00904DD6">
      <w:pPr>
        <w:spacing w:after="0" w:line="259" w:lineRule="auto"/>
        <w:ind w:left="0" w:right="1335" w:firstLine="0"/>
        <w:jc w:val="right"/>
      </w:pPr>
      <w:r>
        <w:rPr>
          <w:rFonts w:ascii="Times New Roman" w:eastAsia="Times New Roman" w:hAnsi="Times New Roman" w:cs="Times New Roman"/>
          <w:sz w:val="20"/>
        </w:rPr>
        <w:t xml:space="preserve"> </w:t>
      </w:r>
    </w:p>
    <w:p w:rsidR="00DA121A" w:rsidRDefault="00904DD6">
      <w:pPr>
        <w:spacing w:after="49" w:line="259" w:lineRule="auto"/>
        <w:ind w:left="0" w:right="1335" w:firstLine="0"/>
        <w:jc w:val="right"/>
      </w:pPr>
      <w:r>
        <w:rPr>
          <w:rFonts w:ascii="Times New Roman" w:eastAsia="Times New Roman" w:hAnsi="Times New Roman" w:cs="Times New Roman"/>
          <w:sz w:val="20"/>
        </w:rPr>
        <w:t xml:space="preserve"> </w:t>
      </w:r>
    </w:p>
    <w:p w:rsidR="00DA121A" w:rsidRDefault="00904DD6">
      <w:pPr>
        <w:spacing w:after="0" w:line="259" w:lineRule="auto"/>
        <w:ind w:left="5788"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4"/>
        </w:rPr>
        <w:t xml:space="preserve"> </w:t>
      </w:r>
    </w:p>
    <w:p w:rsidR="00DA121A" w:rsidRDefault="00904DD6">
      <w:pPr>
        <w:spacing w:after="0" w:line="259" w:lineRule="auto"/>
        <w:ind w:left="1325"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p w:rsidR="00DA121A" w:rsidRDefault="00904DD6">
      <w:pPr>
        <w:spacing w:after="0" w:line="259" w:lineRule="auto"/>
        <w:ind w:left="1325"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tbl>
      <w:tblPr>
        <w:tblStyle w:val="TableGrid"/>
        <w:tblW w:w="8440" w:type="dxa"/>
        <w:tblInd w:w="302" w:type="dxa"/>
        <w:tblCellMar>
          <w:top w:w="20" w:type="dxa"/>
          <w:left w:w="0" w:type="dxa"/>
          <w:bottom w:w="0" w:type="dxa"/>
          <w:right w:w="0" w:type="dxa"/>
        </w:tblCellMar>
        <w:tblLook w:val="04A0" w:firstRow="1" w:lastRow="0" w:firstColumn="1" w:lastColumn="0" w:noHBand="0" w:noVBand="1"/>
      </w:tblPr>
      <w:tblGrid>
        <w:gridCol w:w="954"/>
        <w:gridCol w:w="1301"/>
        <w:gridCol w:w="1169"/>
        <w:gridCol w:w="1248"/>
        <w:gridCol w:w="1244"/>
        <w:gridCol w:w="1238"/>
        <w:gridCol w:w="1286"/>
      </w:tblGrid>
      <w:tr w:rsidR="00DA121A">
        <w:trPr>
          <w:trHeight w:val="347"/>
        </w:trPr>
        <w:tc>
          <w:tcPr>
            <w:tcW w:w="2255" w:type="dxa"/>
            <w:gridSpan w:val="2"/>
            <w:tcBorders>
              <w:top w:val="nil"/>
              <w:left w:val="nil"/>
              <w:bottom w:val="single" w:sz="4" w:space="0" w:color="000000"/>
              <w:right w:val="nil"/>
            </w:tcBorders>
            <w:shd w:val="clear" w:color="auto" w:fill="BFBFBF"/>
          </w:tcPr>
          <w:p w:rsidR="00DA121A" w:rsidRDefault="00904DD6">
            <w:pPr>
              <w:spacing w:after="0" w:line="259" w:lineRule="auto"/>
              <w:ind w:left="104"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tc>
        <w:tc>
          <w:tcPr>
            <w:tcW w:w="4899" w:type="dxa"/>
            <w:gridSpan w:val="4"/>
            <w:tcBorders>
              <w:top w:val="nil"/>
              <w:left w:val="nil"/>
              <w:bottom w:val="single" w:sz="4" w:space="0" w:color="000000"/>
              <w:right w:val="nil"/>
            </w:tcBorders>
            <w:shd w:val="clear" w:color="auto" w:fill="BFBFBF"/>
          </w:tcPr>
          <w:p w:rsidR="00DA121A" w:rsidRDefault="00904DD6">
            <w:pPr>
              <w:spacing w:after="0" w:line="259" w:lineRule="auto"/>
              <w:ind w:left="245" w:firstLine="0"/>
              <w:jc w:val="left"/>
            </w:pPr>
            <w:r>
              <w:rPr>
                <w:rFonts w:ascii="Times New Roman" w:eastAsia="Times New Roman" w:hAnsi="Times New Roman" w:cs="Times New Roman"/>
                <w:b/>
                <w:sz w:val="18"/>
              </w:rPr>
              <w:t xml:space="preserve">ESTADO DE CONSOLIDACION DE INGRESOS </w:t>
            </w:r>
            <w:r>
              <w:rPr>
                <w:rFonts w:ascii="Times New Roman" w:eastAsia="Times New Roman" w:hAnsi="Times New Roman" w:cs="Times New Roman"/>
                <w:sz w:val="24"/>
              </w:rPr>
              <w:t xml:space="preserve"> </w:t>
            </w:r>
          </w:p>
        </w:tc>
        <w:tc>
          <w:tcPr>
            <w:tcW w:w="1286" w:type="dxa"/>
            <w:tcBorders>
              <w:top w:val="nil"/>
              <w:left w:val="nil"/>
              <w:bottom w:val="single" w:sz="4" w:space="0" w:color="000000"/>
              <w:right w:val="nil"/>
            </w:tcBorders>
            <w:shd w:val="clear" w:color="auto" w:fill="BFBFBF"/>
          </w:tcPr>
          <w:p w:rsidR="00DA121A" w:rsidRDefault="00904DD6">
            <w:pPr>
              <w:spacing w:after="0" w:line="259" w:lineRule="auto"/>
              <w:ind w:left="106" w:firstLine="0"/>
              <w:jc w:val="left"/>
            </w:pPr>
            <w:r>
              <w:rPr>
                <w:rFonts w:ascii="Times New Roman" w:eastAsia="Times New Roman" w:hAnsi="Times New Roman" w:cs="Times New Roman"/>
                <w:sz w:val="18"/>
              </w:rPr>
              <w:t xml:space="preserve"> </w:t>
            </w:r>
          </w:p>
        </w:tc>
      </w:tr>
      <w:tr w:rsidR="00DA121A">
        <w:trPr>
          <w:trHeight w:val="661"/>
        </w:trPr>
        <w:tc>
          <w:tcPr>
            <w:tcW w:w="954"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07" w:firstLine="0"/>
              <w:jc w:val="left"/>
            </w:pPr>
            <w:r>
              <w:rPr>
                <w:rFonts w:ascii="Times New Roman" w:eastAsia="Times New Roman" w:hAnsi="Times New Roman" w:cs="Times New Roman"/>
                <w:b/>
                <w:sz w:val="18"/>
              </w:rPr>
              <w:t xml:space="preserve">Capítulos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06" w:firstLine="0"/>
              <w:jc w:val="left"/>
            </w:pPr>
            <w:r>
              <w:rPr>
                <w:rFonts w:ascii="Times New Roman" w:eastAsia="Times New Roman" w:hAnsi="Times New Roman" w:cs="Times New Roman"/>
                <w:b/>
                <w:sz w:val="18"/>
              </w:rPr>
              <w:t xml:space="preserve">Ayuntamiento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51" w:firstLine="0"/>
              <w:jc w:val="left"/>
            </w:pPr>
            <w:r>
              <w:rPr>
                <w:rFonts w:ascii="Times New Roman" w:eastAsia="Times New Roman" w:hAnsi="Times New Roman" w:cs="Times New Roman"/>
                <w:b/>
                <w:sz w:val="18"/>
              </w:rPr>
              <w:t xml:space="preserve">EPELCAN </w:t>
            </w:r>
            <w:r>
              <w:rPr>
                <w:rFonts w:ascii="Times New Roman" w:eastAsia="Times New Roman" w:hAnsi="Times New Roman" w:cs="Times New Roman"/>
                <w:sz w:val="24"/>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50" w:line="238" w:lineRule="auto"/>
              <w:ind w:left="55" w:firstLine="0"/>
              <w:jc w:val="center"/>
            </w:pPr>
            <w:r>
              <w:rPr>
                <w:rFonts w:ascii="Times New Roman" w:eastAsia="Times New Roman" w:hAnsi="Times New Roman" w:cs="Times New Roman"/>
                <w:b/>
                <w:sz w:val="18"/>
              </w:rPr>
              <w:t xml:space="preserve">Sdad. Municipal </w:t>
            </w:r>
          </w:p>
          <w:p w:rsidR="00DA121A" w:rsidRDefault="00904DD6">
            <w:pPr>
              <w:spacing w:after="0" w:line="259" w:lineRule="auto"/>
              <w:ind w:left="290" w:firstLine="0"/>
              <w:jc w:val="left"/>
            </w:pPr>
            <w:r>
              <w:rPr>
                <w:rFonts w:ascii="Times New Roman" w:eastAsia="Times New Roman" w:hAnsi="Times New Roman" w:cs="Times New Roman"/>
                <w:b/>
                <w:sz w:val="18"/>
              </w:rPr>
              <w:t xml:space="preserve">Viviendas </w:t>
            </w:r>
            <w:r>
              <w:rPr>
                <w:rFonts w:ascii="Times New Roman" w:eastAsia="Times New Roman" w:hAnsi="Times New Roman" w:cs="Times New Roman"/>
                <w:sz w:val="24"/>
              </w:rPr>
              <w:t xml:space="preserve"> </w:t>
            </w:r>
          </w:p>
        </w:tc>
        <w:tc>
          <w:tcPr>
            <w:tcW w:w="1244"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right="3" w:firstLine="0"/>
              <w:jc w:val="center"/>
            </w:pPr>
            <w:r>
              <w:rPr>
                <w:rFonts w:ascii="Times New Roman" w:eastAsia="Times New Roman" w:hAnsi="Times New Roman" w:cs="Times New Roman"/>
                <w:b/>
                <w:sz w:val="18"/>
              </w:rPr>
              <w:t xml:space="preserve">Total </w:t>
            </w:r>
            <w:r>
              <w:rPr>
                <w:rFonts w:ascii="Times New Roman" w:eastAsia="Times New Roman" w:hAnsi="Times New Roman" w:cs="Times New Roman"/>
                <w:sz w:val="24"/>
              </w:rP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34" w:firstLine="0"/>
              <w:jc w:val="left"/>
            </w:pPr>
            <w:r>
              <w:rPr>
                <w:rFonts w:ascii="Times New Roman" w:eastAsia="Times New Roman" w:hAnsi="Times New Roman" w:cs="Times New Roman"/>
                <w:b/>
                <w:sz w:val="18"/>
              </w:rPr>
              <w:t xml:space="preserve">Eliminaciones </w:t>
            </w:r>
          </w:p>
        </w:tc>
        <w:tc>
          <w:tcPr>
            <w:tcW w:w="1286"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32" w:line="259" w:lineRule="auto"/>
              <w:ind w:left="134" w:firstLine="0"/>
              <w:jc w:val="left"/>
            </w:pPr>
            <w:r>
              <w:rPr>
                <w:rFonts w:ascii="Times New Roman" w:eastAsia="Times New Roman" w:hAnsi="Times New Roman" w:cs="Times New Roman"/>
                <w:b/>
                <w:sz w:val="18"/>
              </w:rPr>
              <w:t xml:space="preserve">Pº </w:t>
            </w:r>
          </w:p>
          <w:p w:rsidR="00DA121A" w:rsidRDefault="00904DD6">
            <w:pPr>
              <w:spacing w:after="0" w:line="259" w:lineRule="auto"/>
              <w:ind w:left="134" w:firstLine="0"/>
              <w:jc w:val="left"/>
            </w:pPr>
            <w:r>
              <w:rPr>
                <w:rFonts w:ascii="Times New Roman" w:eastAsia="Times New Roman" w:hAnsi="Times New Roman" w:cs="Times New Roman"/>
                <w:b/>
                <w:sz w:val="18"/>
              </w:rPr>
              <w:t xml:space="preserve">Consolidado </w:t>
            </w:r>
            <w:r>
              <w:rPr>
                <w:rFonts w:ascii="Times New Roman" w:eastAsia="Times New Roman" w:hAnsi="Times New Roman" w:cs="Times New Roman"/>
                <w:sz w:val="24"/>
              </w:rPr>
              <w:t xml:space="preserve"> </w:t>
            </w:r>
          </w:p>
        </w:tc>
      </w:tr>
      <w:tr w:rsidR="00DA121A">
        <w:trPr>
          <w:trHeight w:val="314"/>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sz w:val="18"/>
              </w:rPr>
              <w:t xml:space="preserve">7.836.366,87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sz w:val="18"/>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sz w:val="18"/>
              </w:rPr>
              <w:t xml:space="preserve">7.836.366,87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4"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sz w:val="18"/>
              </w:rPr>
              <w:t xml:space="preserve">7.836.366,87 </w:t>
            </w:r>
          </w:p>
        </w:tc>
      </w:tr>
      <w:tr w:rsidR="00DA121A">
        <w:trPr>
          <w:trHeight w:val="314"/>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sz w:val="18"/>
              </w:rPr>
              <w:t xml:space="preserve">2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sz w:val="18"/>
              </w:rPr>
              <w:t xml:space="preserve">6.080.138,32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sz w:val="18"/>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sz w:val="18"/>
              </w:rPr>
              <w:t xml:space="preserve">6.080.138,32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4"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sz w:val="18"/>
              </w:rPr>
              <w:t xml:space="preserve">6.080.138,32 </w:t>
            </w:r>
          </w:p>
        </w:tc>
      </w:tr>
      <w:tr w:rsidR="00DA121A">
        <w:trPr>
          <w:trHeight w:val="315"/>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sz w:val="18"/>
              </w:rPr>
              <w:t xml:space="preserve">3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sz w:val="18"/>
              </w:rPr>
              <w:t xml:space="preserve">2.220.157,00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169"/>
              </w:tabs>
              <w:spacing w:after="0" w:line="259" w:lineRule="auto"/>
              <w:ind w:left="-26"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350.377,39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8"/>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10.654,00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4"/>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2.581.188,39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4"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sz w:val="18"/>
              </w:rPr>
              <w:t xml:space="preserve">2.581.188,39 </w:t>
            </w:r>
          </w:p>
        </w:tc>
      </w:tr>
      <w:tr w:rsidR="00DA121A">
        <w:trPr>
          <w:trHeight w:val="295"/>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sz w:val="18"/>
              </w:rPr>
              <w:t xml:space="preserve">4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sz w:val="18"/>
              </w:rPr>
              <w:t xml:space="preserve">9.201.396,00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169"/>
              </w:tabs>
              <w:spacing w:after="0" w:line="259" w:lineRule="auto"/>
              <w:ind w:left="-26"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541.435,01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8"/>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1.100.370,91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2" w:firstLine="0"/>
            </w:pPr>
            <w:r>
              <w:rPr>
                <w:rFonts w:ascii="Times New Roman" w:eastAsia="Times New Roman" w:hAnsi="Times New Roman" w:cs="Times New Roman"/>
                <w:sz w:val="24"/>
              </w:rPr>
              <w:t xml:space="preserve"> </w:t>
            </w:r>
            <w:r>
              <w:rPr>
                <w:rFonts w:ascii="Times New Roman" w:eastAsia="Times New Roman" w:hAnsi="Times New Roman" w:cs="Times New Roman"/>
                <w:sz w:val="18"/>
              </w:rPr>
              <w:t xml:space="preserve">10.843.201,92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38"/>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1.299.657,33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86"/>
              </w:tabs>
              <w:spacing w:after="0" w:line="259" w:lineRule="auto"/>
              <w:ind w:left="-2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9.543.544,59 </w:t>
            </w:r>
          </w:p>
        </w:tc>
      </w:tr>
      <w:tr w:rsidR="00DA121A">
        <w:trPr>
          <w:trHeight w:val="314"/>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sz w:val="18"/>
              </w:rPr>
              <w:t xml:space="preserve">5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sz w:val="18"/>
              </w:rPr>
              <w:t xml:space="preserve">7.115,00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9"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sz w:val="18"/>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sz w:val="18"/>
              </w:rPr>
              <w:t xml:space="preserve">7.115,00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sz w:val="18"/>
              </w:rPr>
              <w:t xml:space="preserve">7.115,00 </w:t>
            </w:r>
          </w:p>
        </w:tc>
      </w:tr>
      <w:tr w:rsidR="00DA121A">
        <w:trPr>
          <w:trHeight w:val="314"/>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sz w:val="18"/>
              </w:rPr>
              <w:t xml:space="preserve">7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sz w:val="18"/>
              </w:rPr>
              <w:t xml:space="preserve">2.003.731,16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sz w:val="18"/>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sz w:val="18"/>
              </w:rPr>
              <w:t xml:space="preserve">2.003.731,16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4"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sz w:val="18"/>
              </w:rPr>
              <w:t xml:space="preserve">2.003.731,16 </w:t>
            </w:r>
          </w:p>
        </w:tc>
      </w:tr>
      <w:tr w:rsidR="00DA121A">
        <w:trPr>
          <w:trHeight w:val="314"/>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sz w:val="18"/>
              </w:rPr>
              <w:t xml:space="preserve">8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9" w:firstLine="0"/>
              <w:jc w:val="right"/>
            </w:pPr>
            <w:r>
              <w:rPr>
                <w:rFonts w:ascii="Times New Roman" w:eastAsia="Times New Roman" w:hAnsi="Times New Roman" w:cs="Times New Roman"/>
                <w:sz w:val="18"/>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sz w:val="18"/>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sz w:val="18"/>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1" w:firstLine="0"/>
              <w:jc w:val="right"/>
            </w:pPr>
            <w:r>
              <w:rPr>
                <w:rFonts w:ascii="Times New Roman" w:eastAsia="Times New Roman" w:hAnsi="Times New Roman" w:cs="Times New Roman"/>
                <w:sz w:val="18"/>
              </w:rPr>
              <w:t xml:space="preserve">0,00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sz w:val="18"/>
              </w:rPr>
              <w:t xml:space="preserve">0,00 </w:t>
            </w:r>
          </w:p>
        </w:tc>
      </w:tr>
      <w:tr w:rsidR="00DA121A">
        <w:trPr>
          <w:trHeight w:val="326"/>
        </w:trPr>
        <w:tc>
          <w:tcPr>
            <w:tcW w:w="954"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sz w:val="18"/>
              </w:rPr>
              <w:t xml:space="preserve">9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19" w:firstLine="0"/>
              <w:jc w:val="right"/>
            </w:pPr>
            <w:r>
              <w:rPr>
                <w:rFonts w:ascii="Times New Roman" w:eastAsia="Times New Roman" w:hAnsi="Times New Roman" w:cs="Times New Roman"/>
                <w:sz w:val="18"/>
              </w:rPr>
              <w:t xml:space="preserve"> </w:t>
            </w:r>
          </w:p>
        </w:tc>
        <w:tc>
          <w:tcPr>
            <w:tcW w:w="1169"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sz w:val="18"/>
              </w:rPr>
              <w:t xml:space="preserve"> </w:t>
            </w:r>
          </w:p>
        </w:tc>
        <w:tc>
          <w:tcPr>
            <w:tcW w:w="1248"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sz w:val="18"/>
              </w:rPr>
              <w:t xml:space="preserve"> </w:t>
            </w:r>
          </w:p>
        </w:tc>
        <w:tc>
          <w:tcPr>
            <w:tcW w:w="1244"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71" w:firstLine="0"/>
              <w:jc w:val="right"/>
            </w:pPr>
            <w:r>
              <w:rPr>
                <w:rFonts w:ascii="Times New Roman" w:eastAsia="Times New Roman" w:hAnsi="Times New Roman" w:cs="Times New Roman"/>
                <w:sz w:val="18"/>
              </w:rPr>
              <w:t xml:space="preserve">0,00 </w:t>
            </w:r>
          </w:p>
        </w:tc>
        <w:tc>
          <w:tcPr>
            <w:tcW w:w="1238"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vertAlign w:val="subscript"/>
              </w:rPr>
              <w:t xml:space="preserve"> </w:t>
            </w:r>
          </w:p>
        </w:tc>
        <w:tc>
          <w:tcPr>
            <w:tcW w:w="1286"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sz w:val="18"/>
              </w:rPr>
              <w:t xml:space="preserve">0,00 </w:t>
            </w:r>
          </w:p>
        </w:tc>
      </w:tr>
      <w:tr w:rsidR="00DA121A">
        <w:trPr>
          <w:trHeight w:val="311"/>
        </w:trPr>
        <w:tc>
          <w:tcPr>
            <w:tcW w:w="954"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72" w:firstLine="0"/>
              <w:jc w:val="left"/>
            </w:pPr>
            <w:r>
              <w:rPr>
                <w:rFonts w:ascii="Times New Roman" w:eastAsia="Times New Roman" w:hAnsi="Times New Roman" w:cs="Times New Roman"/>
                <w:b/>
                <w:sz w:val="18"/>
              </w:rPr>
              <w:t xml:space="preserve">TOTAL </w:t>
            </w:r>
            <w:r>
              <w:rPr>
                <w:rFonts w:ascii="Times New Roman" w:eastAsia="Times New Roman" w:hAnsi="Times New Roman" w:cs="Times New Roman"/>
                <w:sz w:val="24"/>
              </w:rPr>
              <w:t xml:space="preserve"> </w:t>
            </w:r>
          </w:p>
        </w:tc>
        <w:tc>
          <w:tcPr>
            <w:tcW w:w="1301"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right="72" w:firstLine="0"/>
              <w:jc w:val="right"/>
            </w:pPr>
            <w:r>
              <w:rPr>
                <w:rFonts w:ascii="Times New Roman" w:eastAsia="Times New Roman" w:hAnsi="Times New Roman" w:cs="Times New Roman"/>
                <w:b/>
                <w:sz w:val="18"/>
              </w:rPr>
              <w:t xml:space="preserve">27.348.904,35 </w:t>
            </w:r>
          </w:p>
        </w:tc>
        <w:tc>
          <w:tcPr>
            <w:tcW w:w="1169"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tabs>
                <w:tab w:val="right" w:pos="1169"/>
              </w:tabs>
              <w:spacing w:after="0" w:line="259" w:lineRule="auto"/>
              <w:ind w:left="-26"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891.812,40 </w:t>
            </w:r>
          </w:p>
        </w:tc>
        <w:tc>
          <w:tcPr>
            <w:tcW w:w="1248"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tabs>
                <w:tab w:val="right" w:pos="1248"/>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1.111.024,91 </w:t>
            </w:r>
          </w:p>
        </w:tc>
        <w:tc>
          <w:tcPr>
            <w:tcW w:w="1244"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22"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29.351.741,66 </w:t>
            </w:r>
          </w:p>
        </w:tc>
        <w:tc>
          <w:tcPr>
            <w:tcW w:w="1238"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tabs>
                <w:tab w:val="right" w:pos="1238"/>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1.299.657,33 </w:t>
            </w:r>
          </w:p>
        </w:tc>
        <w:tc>
          <w:tcPr>
            <w:tcW w:w="1286"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22"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28.052.084,33 </w:t>
            </w:r>
          </w:p>
        </w:tc>
      </w:tr>
    </w:tbl>
    <w:p w:rsidR="00DA121A" w:rsidRDefault="00904DD6">
      <w:pPr>
        <w:spacing w:after="0" w:line="259" w:lineRule="auto"/>
        <w:ind w:left="0" w:right="1279" w:firstLine="0"/>
        <w:jc w:val="right"/>
      </w:pPr>
      <w:r>
        <w:rPr>
          <w:rFonts w:ascii="Times New Roman" w:eastAsia="Times New Roman" w:hAnsi="Times New Roman" w:cs="Times New Roman"/>
          <w:b/>
          <w:sz w:val="18"/>
        </w:rPr>
        <w:t xml:space="preserve"> </w:t>
      </w: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24"/>
        </w:rPr>
        <w:t xml:space="preserve"> </w:t>
      </w:r>
    </w:p>
    <w:tbl>
      <w:tblPr>
        <w:tblStyle w:val="TableGrid"/>
        <w:tblW w:w="8440" w:type="dxa"/>
        <w:tblInd w:w="306" w:type="dxa"/>
        <w:tblCellMar>
          <w:top w:w="32" w:type="dxa"/>
          <w:left w:w="0" w:type="dxa"/>
          <w:bottom w:w="0" w:type="dxa"/>
          <w:right w:w="0" w:type="dxa"/>
        </w:tblCellMar>
        <w:tblLook w:val="04A0" w:firstRow="1" w:lastRow="0" w:firstColumn="1" w:lastColumn="0" w:noHBand="0" w:noVBand="1"/>
      </w:tblPr>
      <w:tblGrid>
        <w:gridCol w:w="953"/>
        <w:gridCol w:w="1272"/>
        <w:gridCol w:w="1187"/>
        <w:gridCol w:w="1272"/>
        <w:gridCol w:w="1250"/>
        <w:gridCol w:w="1206"/>
        <w:gridCol w:w="1300"/>
      </w:tblGrid>
      <w:tr w:rsidR="00DA121A">
        <w:trPr>
          <w:trHeight w:val="321"/>
        </w:trPr>
        <w:tc>
          <w:tcPr>
            <w:tcW w:w="953"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09" w:firstLine="0"/>
              <w:jc w:val="left"/>
            </w:pPr>
            <w:r>
              <w:rPr>
                <w:rFonts w:ascii="Times New Roman" w:eastAsia="Times New Roman" w:hAnsi="Times New Roman" w:cs="Times New Roman"/>
                <w:b/>
                <w:sz w:val="18"/>
              </w:rPr>
              <w:t xml:space="preserve">Superávit </w:t>
            </w:r>
            <w:r>
              <w:rPr>
                <w:rFonts w:ascii="Times New Roman" w:eastAsia="Times New Roman" w:hAnsi="Times New Roman" w:cs="Times New Roman"/>
                <w:sz w:val="24"/>
              </w:rPr>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right="72" w:firstLine="0"/>
              <w:jc w:val="right"/>
            </w:pPr>
            <w:r>
              <w:rPr>
                <w:rFonts w:ascii="Times New Roman" w:eastAsia="Times New Roman" w:hAnsi="Times New Roman" w:cs="Times New Roman"/>
                <w:b/>
                <w:sz w:val="18"/>
              </w:rPr>
              <w:t xml:space="preserve">0,00 </w:t>
            </w:r>
          </w:p>
        </w:tc>
        <w:tc>
          <w:tcPr>
            <w:tcW w:w="1187"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187"/>
              </w:tabs>
              <w:spacing w:after="0" w:line="259" w:lineRule="auto"/>
              <w:ind w:left="-28"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651,71 </w:t>
            </w:r>
          </w:p>
        </w:tc>
        <w:tc>
          <w:tcPr>
            <w:tcW w:w="1272"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272"/>
              </w:tabs>
              <w:spacing w:after="0" w:line="259" w:lineRule="auto"/>
              <w:ind w:left="-26"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0,00 </w:t>
            </w:r>
          </w:p>
        </w:tc>
        <w:tc>
          <w:tcPr>
            <w:tcW w:w="1250"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250"/>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651,71 </w:t>
            </w:r>
          </w:p>
        </w:tc>
        <w:tc>
          <w:tcPr>
            <w:tcW w:w="1206"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206"/>
              </w:tabs>
              <w:spacing w:after="0" w:line="259" w:lineRule="auto"/>
              <w:ind w:left="-25"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0,00 </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300"/>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651,71 </w:t>
            </w:r>
          </w:p>
        </w:tc>
      </w:tr>
    </w:tbl>
    <w:p w:rsidR="00DA121A" w:rsidRDefault="00904DD6">
      <w:pPr>
        <w:spacing w:after="0" w:line="259" w:lineRule="auto"/>
        <w:ind w:left="284"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p w:rsidR="00DA121A" w:rsidRDefault="00904DD6">
      <w:pPr>
        <w:spacing w:after="55" w:line="259" w:lineRule="auto"/>
        <w:ind w:left="284" w:firstLine="0"/>
        <w:jc w:val="left"/>
      </w:pPr>
      <w:r>
        <w:t xml:space="preserve"> </w:t>
      </w:r>
      <w:r>
        <w:rPr>
          <w:rFonts w:ascii="Times New Roman" w:eastAsia="Times New Roman" w:hAnsi="Times New Roman" w:cs="Times New Roman"/>
          <w:sz w:val="24"/>
        </w:rPr>
        <w:t xml:space="preserve"> </w:t>
      </w:r>
    </w:p>
    <w:p w:rsidR="00DA121A" w:rsidRDefault="00904DD6">
      <w:pPr>
        <w:spacing w:after="4"/>
        <w:ind w:left="279" w:right="144"/>
      </w:pPr>
      <w:r>
        <w:rPr>
          <w:b/>
        </w:rPr>
        <w:t xml:space="preserve">II.-  Plantilla Orgánica 2.023 </w:t>
      </w:r>
      <w:r>
        <w:rPr>
          <w:rFonts w:ascii="Times New Roman" w:eastAsia="Times New Roman" w:hAnsi="Times New Roman" w:cs="Times New Roman"/>
          <w:sz w:val="24"/>
        </w:rPr>
        <w:t xml:space="preserve"> </w:t>
      </w:r>
    </w:p>
    <w:p w:rsidR="00DA121A" w:rsidRDefault="00904DD6">
      <w:pPr>
        <w:spacing w:after="0" w:line="259" w:lineRule="auto"/>
        <w:ind w:left="0" w:right="4772" w:firstLine="0"/>
        <w:jc w:val="right"/>
      </w:pPr>
      <w:r>
        <w:rPr>
          <w:b/>
          <w:i/>
        </w:rPr>
        <w:t xml:space="preserve"> </w:t>
      </w:r>
      <w:r>
        <w:rPr>
          <w:rFonts w:ascii="Times New Roman" w:eastAsia="Times New Roman" w:hAnsi="Times New Roman" w:cs="Times New Roman"/>
          <w:sz w:val="24"/>
        </w:rPr>
        <w:t xml:space="preserve"> </w:t>
      </w:r>
    </w:p>
    <w:p w:rsidR="00DA121A" w:rsidRDefault="00904DD6">
      <w:pPr>
        <w:spacing w:after="13" w:line="250" w:lineRule="auto"/>
        <w:ind w:left="10" w:right="4811"/>
        <w:jc w:val="right"/>
      </w:pPr>
      <w:r>
        <w:rPr>
          <w:b/>
        </w:rPr>
        <w:t xml:space="preserve">Plantilla Orgánica 2023  </w:t>
      </w:r>
    </w:p>
    <w:p w:rsidR="00DA121A" w:rsidRDefault="00904DD6">
      <w:pPr>
        <w:spacing w:after="0" w:line="259" w:lineRule="auto"/>
        <w:ind w:left="0" w:right="4779" w:firstLine="0"/>
        <w:jc w:val="right"/>
      </w:pPr>
      <w:r>
        <w:rPr>
          <w:b/>
        </w:rPr>
        <w:t xml:space="preserve"> </w:t>
      </w:r>
      <w:r>
        <w:rPr>
          <w:rFonts w:ascii="Times New Roman" w:eastAsia="Times New Roman" w:hAnsi="Times New Roman" w:cs="Times New Roman"/>
          <w:sz w:val="24"/>
        </w:rPr>
        <w:t xml:space="preserve"> </w:t>
      </w:r>
    </w:p>
    <w:p w:rsidR="00DA121A" w:rsidRDefault="00904DD6">
      <w:pPr>
        <w:spacing w:after="18" w:line="259" w:lineRule="auto"/>
        <w:ind w:left="0" w:right="4803" w:firstLine="0"/>
        <w:jc w:val="right"/>
      </w:pPr>
      <w:r>
        <w:rPr>
          <w:b/>
        </w:rPr>
        <w:t xml:space="preserve"> </w:t>
      </w:r>
      <w:r>
        <w:rPr>
          <w:rFonts w:ascii="Times New Roman" w:eastAsia="Times New Roman" w:hAnsi="Times New Roman" w:cs="Times New Roman"/>
          <w:sz w:val="24"/>
        </w:rPr>
        <w:t xml:space="preserve"> </w:t>
      </w:r>
    </w:p>
    <w:p w:rsidR="00DA121A" w:rsidRDefault="00904DD6">
      <w:pPr>
        <w:numPr>
          <w:ilvl w:val="0"/>
          <w:numId w:val="21"/>
        </w:numPr>
        <w:spacing w:after="4"/>
        <w:ind w:right="144" w:hanging="360"/>
      </w:pPr>
      <w:r>
        <w:rPr>
          <w:b/>
        </w:rPr>
        <w:t>PLAZAS RESERVADAS A FUNCIONARIOS/AS</w:t>
      </w:r>
      <w:r>
        <w:rPr>
          <w:b/>
          <w:sz w:val="28"/>
          <w:vertAlign w:val="subscript"/>
        </w:rPr>
        <w:t xml:space="preserve"> </w:t>
      </w:r>
      <w:r>
        <w:rPr>
          <w:b/>
          <w:sz w:val="28"/>
        </w:rPr>
        <w:t xml:space="preserve"> </w:t>
      </w:r>
    </w:p>
    <w:p w:rsidR="00DA121A" w:rsidRDefault="00904DD6">
      <w:pPr>
        <w:spacing w:after="0" w:line="259" w:lineRule="auto"/>
        <w:ind w:left="284" w:firstLine="0"/>
        <w:jc w:val="left"/>
      </w:pPr>
      <w:r>
        <w:rPr>
          <w:rFonts w:ascii="Times New Roman" w:eastAsia="Times New Roman" w:hAnsi="Times New Roman" w:cs="Times New Roman"/>
          <w:b/>
          <w:sz w:val="14"/>
        </w:rPr>
        <w:t xml:space="preserve"> </w:t>
      </w:r>
      <w:r>
        <w:rPr>
          <w:rFonts w:ascii="Times New Roman" w:eastAsia="Times New Roman" w:hAnsi="Times New Roman" w:cs="Times New Roman"/>
          <w:sz w:val="24"/>
        </w:rPr>
        <w:t xml:space="preserve"> </w:t>
      </w:r>
    </w:p>
    <w:tbl>
      <w:tblPr>
        <w:tblStyle w:val="TableGrid"/>
        <w:tblW w:w="8716" w:type="dxa"/>
        <w:tblInd w:w="296" w:type="dxa"/>
        <w:tblCellMar>
          <w:top w:w="0" w:type="dxa"/>
          <w:left w:w="0" w:type="dxa"/>
          <w:bottom w:w="0" w:type="dxa"/>
          <w:right w:w="2" w:type="dxa"/>
        </w:tblCellMar>
        <w:tblLook w:val="04A0" w:firstRow="1" w:lastRow="0" w:firstColumn="1" w:lastColumn="0" w:noHBand="0" w:noVBand="1"/>
      </w:tblPr>
      <w:tblGrid>
        <w:gridCol w:w="3160"/>
        <w:gridCol w:w="1994"/>
        <w:gridCol w:w="1126"/>
        <w:gridCol w:w="1267"/>
        <w:gridCol w:w="1169"/>
      </w:tblGrid>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b/>
                <w:sz w:val="18"/>
              </w:rPr>
              <w:t xml:space="preserve">Plazas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4" w:firstLine="0"/>
              <w:jc w:val="center"/>
            </w:pPr>
            <w:r>
              <w:rPr>
                <w:rFonts w:ascii="Times New Roman" w:eastAsia="Times New Roman" w:hAnsi="Times New Roman" w:cs="Times New Roman"/>
                <w:b/>
                <w:sz w:val="18"/>
              </w:rPr>
              <w:t xml:space="preserve">Número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3" w:firstLine="0"/>
              <w:jc w:val="center"/>
            </w:pPr>
            <w:r>
              <w:rPr>
                <w:rFonts w:ascii="Times New Roman" w:eastAsia="Times New Roman" w:hAnsi="Times New Roman" w:cs="Times New Roman"/>
                <w:b/>
                <w:sz w:val="18"/>
              </w:rPr>
              <w:t xml:space="preserve">Subgrupo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b/>
                <w:sz w:val="18"/>
              </w:rPr>
              <w:t xml:space="preserve">Vacantes </w:t>
            </w:r>
            <w:r>
              <w:rPr>
                <w:rFonts w:ascii="Times New Roman" w:eastAsia="Times New Roman" w:hAnsi="Times New Roman" w:cs="Times New Roman"/>
                <w:sz w:val="24"/>
              </w:rPr>
              <w:t xml:space="preserve"> </w:t>
            </w:r>
          </w:p>
        </w:tc>
      </w:tr>
      <w:tr w:rsidR="00DA121A">
        <w:trPr>
          <w:trHeight w:val="286"/>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b/>
                <w:sz w:val="18"/>
              </w:rPr>
              <w:t xml:space="preserve">I.- FUNCIONARIOS CON HABILITACIÓN NACIONAL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1"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4"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Interventor/a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0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Secretario/a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0 </w:t>
            </w:r>
            <w:r>
              <w:rPr>
                <w:rFonts w:ascii="Times New Roman" w:eastAsia="Times New Roman" w:hAnsi="Times New Roman" w:cs="Times New Roman"/>
                <w:sz w:val="24"/>
              </w:rPr>
              <w:t xml:space="preserve"> </w:t>
            </w:r>
          </w:p>
        </w:tc>
      </w:tr>
      <w:tr w:rsidR="00DA121A">
        <w:trPr>
          <w:trHeight w:val="220"/>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Tesorero/a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2" w:space="0" w:color="DADADA"/>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82"/>
        </w:trPr>
        <w:tc>
          <w:tcPr>
            <w:tcW w:w="5153" w:type="dxa"/>
            <w:gridSpan w:val="2"/>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09" w:firstLine="0"/>
              <w:jc w:val="right"/>
            </w:pPr>
            <w:r>
              <w:rPr>
                <w:rFonts w:ascii="Times New Roman" w:eastAsia="Times New Roman" w:hAnsi="Times New Roman" w:cs="Times New Roman"/>
                <w:b/>
                <w:sz w:val="18"/>
              </w:rPr>
              <w:t xml:space="preserve">Total Habilitados Nacionales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02" w:firstLine="0"/>
              <w:jc w:val="center"/>
            </w:pPr>
            <w:r>
              <w:rPr>
                <w:rFonts w:ascii="Times New Roman" w:eastAsia="Times New Roman" w:hAnsi="Times New Roman" w:cs="Times New Roman"/>
                <w:b/>
                <w:sz w:val="18"/>
              </w:rPr>
              <w:t xml:space="preserve">3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41"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2" w:space="0" w:color="DADADA"/>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01" w:firstLine="0"/>
              <w:jc w:val="center"/>
            </w:pPr>
            <w:r>
              <w:rPr>
                <w:rFonts w:ascii="Times New Roman" w:eastAsia="Times New Roman" w:hAnsi="Times New Roman" w:cs="Times New Roman"/>
                <w:b/>
                <w:sz w:val="18"/>
              </w:rPr>
              <w:t xml:space="preserve">1 </w:t>
            </w:r>
            <w:r>
              <w:rPr>
                <w:rFonts w:ascii="Times New Roman" w:eastAsia="Times New Roman" w:hAnsi="Times New Roman" w:cs="Times New Roman"/>
                <w:sz w:val="24"/>
              </w:rPr>
              <w:t xml:space="preserve"> </w:t>
            </w:r>
          </w:p>
        </w:tc>
      </w:tr>
      <w:tr w:rsidR="00DA121A">
        <w:trPr>
          <w:trHeight w:val="289"/>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b/>
                <w:sz w:val="18"/>
              </w:rPr>
              <w:t xml:space="preserve">II.- ADMINISTRACIÓN GENERAL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1"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4"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r>
      <w:tr w:rsidR="00DA121A">
        <w:trPr>
          <w:trHeight w:val="28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tabs>
                <w:tab w:val="center" w:pos="1535"/>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b/>
                <w:sz w:val="18"/>
              </w:rPr>
              <w:t xml:space="preserve">A) SUBESCALA TÉCNICA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1"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4"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r>
      <w:tr w:rsidR="00DA121A">
        <w:trPr>
          <w:trHeight w:val="216"/>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Jurídico Alcaldía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Jurídico Área Gobierno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6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6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Gestión Presupuestaria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Contratación, compras y patrimonio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Jurídico Gestión Tributaria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86"/>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tabs>
                <w:tab w:val="center" w:pos="1910"/>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b/>
                <w:sz w:val="18"/>
              </w:rPr>
              <w:t xml:space="preserve">B) SUBESCALA ADMINISTRATIVA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1"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4"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r>
      <w:tr w:rsidR="00DA121A">
        <w:trPr>
          <w:trHeight w:val="219"/>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Administrativo/a Área de Gobierno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4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9" w:firstLine="0"/>
              <w:jc w:val="center"/>
            </w:pPr>
            <w:r>
              <w:rPr>
                <w:rFonts w:ascii="Times New Roman" w:eastAsia="Times New Roman" w:hAnsi="Times New Roman" w:cs="Times New Roman"/>
                <w:sz w:val="18"/>
              </w:rPr>
              <w:t xml:space="preserve">C1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4 </w:t>
            </w:r>
            <w:r>
              <w:rPr>
                <w:rFonts w:ascii="Times New Roman" w:eastAsia="Times New Roman" w:hAnsi="Times New Roman" w:cs="Times New Roman"/>
                <w:sz w:val="24"/>
              </w:rPr>
              <w:t xml:space="preserve"> </w:t>
            </w:r>
          </w:p>
        </w:tc>
      </w:tr>
      <w:tr w:rsidR="00DA121A">
        <w:trPr>
          <w:trHeight w:val="28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tabs>
                <w:tab w:val="center" w:pos="1571"/>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b/>
                <w:sz w:val="18"/>
              </w:rPr>
              <w:t xml:space="preserve">C) SUBESCALA AUXILIAR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1"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4"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Auxiliar Apoyo Servicios Informáticos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9" w:firstLine="0"/>
              <w:jc w:val="center"/>
            </w:pPr>
            <w:r>
              <w:rPr>
                <w:rFonts w:ascii="Times New Roman" w:eastAsia="Times New Roman" w:hAnsi="Times New Roman" w:cs="Times New Roman"/>
                <w:sz w:val="18"/>
              </w:rPr>
              <w:t xml:space="preserve">C2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6"/>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Auxiliar Áreas de Gobierno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39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9" w:firstLine="0"/>
              <w:jc w:val="center"/>
            </w:pPr>
            <w:r>
              <w:rPr>
                <w:rFonts w:ascii="Times New Roman" w:eastAsia="Times New Roman" w:hAnsi="Times New Roman" w:cs="Times New Roman"/>
                <w:sz w:val="18"/>
              </w:rPr>
              <w:t xml:space="preserve">C2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32 </w:t>
            </w:r>
            <w:r>
              <w:rPr>
                <w:rFonts w:ascii="Times New Roman" w:eastAsia="Times New Roman" w:hAnsi="Times New Roman" w:cs="Times New Roman"/>
                <w:sz w:val="24"/>
              </w:rPr>
              <w:t xml:space="preserve"> </w:t>
            </w:r>
          </w:p>
        </w:tc>
      </w:tr>
      <w:tr w:rsidR="00DA121A">
        <w:trPr>
          <w:trHeight w:val="221"/>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Gestor/a de Información y atención ciudadana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5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9" w:firstLine="0"/>
              <w:jc w:val="center"/>
            </w:pPr>
            <w:r>
              <w:rPr>
                <w:rFonts w:ascii="Times New Roman" w:eastAsia="Times New Roman" w:hAnsi="Times New Roman" w:cs="Times New Roman"/>
                <w:sz w:val="18"/>
              </w:rPr>
              <w:t xml:space="preserve">C2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2" w:space="0" w:color="DADADA"/>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4 </w:t>
            </w:r>
            <w:r>
              <w:rPr>
                <w:rFonts w:ascii="Times New Roman" w:eastAsia="Times New Roman" w:hAnsi="Times New Roman" w:cs="Times New Roman"/>
                <w:sz w:val="24"/>
              </w:rPr>
              <w:t xml:space="preserve"> </w:t>
            </w:r>
          </w:p>
        </w:tc>
      </w:tr>
      <w:tr w:rsidR="00DA121A">
        <w:trPr>
          <w:trHeight w:val="284"/>
        </w:trPr>
        <w:tc>
          <w:tcPr>
            <w:tcW w:w="5153" w:type="dxa"/>
            <w:gridSpan w:val="2"/>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10" w:firstLine="0"/>
              <w:jc w:val="right"/>
            </w:pPr>
            <w:r>
              <w:rPr>
                <w:rFonts w:ascii="Times New Roman" w:eastAsia="Times New Roman" w:hAnsi="Times New Roman" w:cs="Times New Roman"/>
                <w:b/>
                <w:sz w:val="18"/>
              </w:rPr>
              <w:t xml:space="preserve">Total Administración General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02" w:firstLine="0"/>
              <w:jc w:val="center"/>
            </w:pPr>
            <w:r>
              <w:rPr>
                <w:rFonts w:ascii="Times New Roman" w:eastAsia="Times New Roman" w:hAnsi="Times New Roman" w:cs="Times New Roman"/>
                <w:b/>
                <w:sz w:val="18"/>
              </w:rPr>
              <w:t xml:space="preserve">59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41"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2" w:space="0" w:color="DADADA"/>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06" w:firstLine="0"/>
              <w:jc w:val="center"/>
            </w:pPr>
            <w:r>
              <w:rPr>
                <w:rFonts w:ascii="Times New Roman" w:eastAsia="Times New Roman" w:hAnsi="Times New Roman" w:cs="Times New Roman"/>
                <w:b/>
                <w:sz w:val="18"/>
              </w:rPr>
              <w:t xml:space="preserve">51 </w:t>
            </w:r>
            <w:r>
              <w:rPr>
                <w:rFonts w:ascii="Times New Roman" w:eastAsia="Times New Roman" w:hAnsi="Times New Roman" w:cs="Times New Roman"/>
                <w:sz w:val="24"/>
              </w:rPr>
              <w:t xml:space="preserve"> </w:t>
            </w:r>
          </w:p>
        </w:tc>
      </w:tr>
      <w:tr w:rsidR="00DA121A">
        <w:trPr>
          <w:trHeight w:val="287"/>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b/>
                <w:sz w:val="18"/>
              </w:rPr>
              <w:t xml:space="preserve">III.- ADMINISTRACIÓN ESPECIAL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1"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4"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r>
      <w:tr w:rsidR="00DA121A">
        <w:trPr>
          <w:trHeight w:val="28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tabs>
                <w:tab w:val="center" w:pos="2017"/>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b/>
                <w:sz w:val="18"/>
              </w:rPr>
              <w:t xml:space="preserve">A) SUBESCALA TÉCNICA SUPERIOR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1"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4"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Arquitecto/a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de Accesibilidad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6"/>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Psicologo/a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Pedagogo/a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Logopeda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de Sanidad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9"/>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de Identidad Canaria, Tradiciones y museo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de Desarrollo y Medio Ambiente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6"/>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de Recursos patrimoniales, artesanía y etnografía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en Participación ciudadana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Agente de Desarrollo Local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3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3 </w:t>
            </w:r>
            <w:r>
              <w:rPr>
                <w:rFonts w:ascii="Times New Roman" w:eastAsia="Times New Roman" w:hAnsi="Times New Roman" w:cs="Times New Roman"/>
                <w:sz w:val="24"/>
              </w:rPr>
              <w:t xml:space="preserve"> </w:t>
            </w:r>
          </w:p>
        </w:tc>
      </w:tr>
      <w:tr w:rsidR="00DA121A">
        <w:trPr>
          <w:trHeight w:val="28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tabs>
                <w:tab w:val="center" w:pos="1860"/>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b/>
                <w:sz w:val="18"/>
              </w:rPr>
              <w:t xml:space="preserve">B) SUBESCALA TÉCNICA MEDIA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39"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1"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4"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r>
      <w:tr w:rsidR="00DA121A">
        <w:trPr>
          <w:trHeight w:val="216"/>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Arquitecto Técnico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5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5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Ingeniero/a Técnico/a Topógrafo/a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Ingeniero/a Técnico/a Industrial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Servicios de Igualdad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de Menor y familia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de Servicios Mayores y Discapacidad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6"/>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Servicios de Información, Orientación y Valoración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Técnico/a de Servicios Drogodependencias e Inserción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9"/>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Trabajador/a Social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5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5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Educador/a-Maestro/a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Fisioterapeuta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5153" w:type="dxa"/>
            <w:gridSpan w:val="2"/>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Archivero/a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6"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3159"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6" w:firstLine="0"/>
              <w:jc w:val="left"/>
            </w:pPr>
            <w:r>
              <w:rPr>
                <w:rFonts w:ascii="Times New Roman" w:eastAsia="Times New Roman" w:hAnsi="Times New Roman" w:cs="Times New Roman"/>
                <w:sz w:val="18"/>
              </w:rPr>
              <w:t xml:space="preserve">Técnico/a Comercio y Turismo </w:t>
            </w:r>
            <w:r>
              <w:rPr>
                <w:rFonts w:ascii="Times New Roman" w:eastAsia="Times New Roman" w:hAnsi="Times New Roman" w:cs="Times New Roman"/>
                <w:sz w:val="24"/>
              </w:rPr>
              <w:t xml:space="preserve"> </w:t>
            </w:r>
          </w:p>
        </w:tc>
        <w:tc>
          <w:tcPr>
            <w:tcW w:w="1994"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3159"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6" w:firstLine="0"/>
              <w:jc w:val="left"/>
            </w:pPr>
            <w:r>
              <w:rPr>
                <w:rFonts w:ascii="Times New Roman" w:eastAsia="Times New Roman" w:hAnsi="Times New Roman" w:cs="Times New Roman"/>
                <w:sz w:val="18"/>
              </w:rPr>
              <w:t xml:space="preserve">Gestor de Recursos Humanos </w:t>
            </w:r>
            <w:r>
              <w:rPr>
                <w:rFonts w:ascii="Times New Roman" w:eastAsia="Times New Roman" w:hAnsi="Times New Roman" w:cs="Times New Roman"/>
                <w:sz w:val="24"/>
              </w:rPr>
              <w:t xml:space="preserve"> </w:t>
            </w:r>
          </w:p>
        </w:tc>
        <w:tc>
          <w:tcPr>
            <w:tcW w:w="1994"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3159"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6" w:firstLine="0"/>
              <w:jc w:val="left"/>
            </w:pPr>
            <w:r>
              <w:rPr>
                <w:rFonts w:ascii="Times New Roman" w:eastAsia="Times New Roman" w:hAnsi="Times New Roman" w:cs="Times New Roman"/>
                <w:sz w:val="18"/>
              </w:rPr>
              <w:t xml:space="preserve">Informador/a Turístico/a </w:t>
            </w:r>
            <w:r>
              <w:rPr>
                <w:rFonts w:ascii="Times New Roman" w:eastAsia="Times New Roman" w:hAnsi="Times New Roman" w:cs="Times New Roman"/>
                <w:sz w:val="24"/>
              </w:rPr>
              <w:t xml:space="preserve"> </w:t>
            </w:r>
          </w:p>
        </w:tc>
        <w:tc>
          <w:tcPr>
            <w:tcW w:w="1994"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86"/>
        </w:trPr>
        <w:tc>
          <w:tcPr>
            <w:tcW w:w="3159" w:type="dxa"/>
            <w:tcBorders>
              <w:top w:val="single" w:sz="4" w:space="0" w:color="000000"/>
              <w:left w:val="single" w:sz="4" w:space="0" w:color="000000"/>
              <w:bottom w:val="single" w:sz="4" w:space="0" w:color="000000"/>
              <w:right w:val="nil"/>
            </w:tcBorders>
          </w:tcPr>
          <w:p w:rsidR="00DA121A" w:rsidRDefault="00904DD6">
            <w:pPr>
              <w:tabs>
                <w:tab w:val="center" w:pos="1638"/>
              </w:tabs>
              <w:spacing w:after="0" w:line="259" w:lineRule="auto"/>
              <w:ind w:left="0"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b/>
                <w:sz w:val="18"/>
              </w:rPr>
              <w:t xml:space="preserve">C) SERVICIOS ESPECIALES </w:t>
            </w:r>
            <w:r>
              <w:rPr>
                <w:rFonts w:ascii="Times New Roman" w:eastAsia="Times New Roman" w:hAnsi="Times New Roman" w:cs="Times New Roman"/>
                <w:sz w:val="24"/>
              </w:rPr>
              <w:t xml:space="preserve"> </w:t>
            </w:r>
          </w:p>
        </w:tc>
        <w:tc>
          <w:tcPr>
            <w:tcW w:w="1994"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47" w:firstLine="0"/>
              <w:jc w:val="center"/>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49" w:firstLine="0"/>
              <w:jc w:val="center"/>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49" w:firstLine="0"/>
              <w:jc w:val="center"/>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r>
      <w:tr w:rsidR="00DA121A">
        <w:trPr>
          <w:trHeight w:val="218"/>
        </w:trPr>
        <w:tc>
          <w:tcPr>
            <w:tcW w:w="3159"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6" w:firstLine="0"/>
              <w:jc w:val="left"/>
            </w:pPr>
            <w:r>
              <w:rPr>
                <w:rFonts w:ascii="Times New Roman" w:eastAsia="Times New Roman" w:hAnsi="Times New Roman" w:cs="Times New Roman"/>
                <w:sz w:val="18"/>
              </w:rPr>
              <w:t xml:space="preserve">Inspector/a </w:t>
            </w:r>
            <w:r>
              <w:rPr>
                <w:rFonts w:ascii="Times New Roman" w:eastAsia="Times New Roman" w:hAnsi="Times New Roman" w:cs="Times New Roman"/>
                <w:sz w:val="24"/>
              </w:rPr>
              <w:t xml:space="preserve"> </w:t>
            </w:r>
          </w:p>
        </w:tc>
        <w:tc>
          <w:tcPr>
            <w:tcW w:w="1994"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3159"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6" w:firstLine="0"/>
              <w:jc w:val="left"/>
            </w:pPr>
            <w:r>
              <w:rPr>
                <w:rFonts w:ascii="Times New Roman" w:eastAsia="Times New Roman" w:hAnsi="Times New Roman" w:cs="Times New Roman"/>
                <w:sz w:val="18"/>
              </w:rPr>
              <w:t xml:space="preserve">Subinspector/a </w:t>
            </w:r>
            <w:r>
              <w:rPr>
                <w:rFonts w:ascii="Times New Roman" w:eastAsia="Times New Roman" w:hAnsi="Times New Roman" w:cs="Times New Roman"/>
                <w:sz w:val="24"/>
              </w:rPr>
              <w:t xml:space="preserve"> </w:t>
            </w:r>
          </w:p>
        </w:tc>
        <w:tc>
          <w:tcPr>
            <w:tcW w:w="1994"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center"/>
            </w:pPr>
            <w:r>
              <w:rPr>
                <w:rFonts w:ascii="Times New Roman" w:eastAsia="Times New Roman" w:hAnsi="Times New Roman" w:cs="Times New Roman"/>
                <w:sz w:val="18"/>
              </w:rPr>
              <w:t xml:space="preserve">2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 w:firstLine="0"/>
              <w:jc w:val="center"/>
            </w:pPr>
            <w:r>
              <w:rPr>
                <w:rFonts w:ascii="Times New Roman" w:eastAsia="Times New Roman" w:hAnsi="Times New Roman" w:cs="Times New Roman"/>
                <w:sz w:val="18"/>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3159"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6" w:firstLine="0"/>
              <w:jc w:val="left"/>
            </w:pPr>
            <w:r>
              <w:rPr>
                <w:rFonts w:ascii="Times New Roman" w:eastAsia="Times New Roman" w:hAnsi="Times New Roman" w:cs="Times New Roman"/>
                <w:sz w:val="18"/>
              </w:rPr>
              <w:t xml:space="preserve">Oficial </w:t>
            </w:r>
            <w:r>
              <w:rPr>
                <w:rFonts w:ascii="Times New Roman" w:eastAsia="Times New Roman" w:hAnsi="Times New Roman" w:cs="Times New Roman"/>
                <w:sz w:val="24"/>
              </w:rPr>
              <w:t xml:space="preserve"> </w:t>
            </w:r>
          </w:p>
        </w:tc>
        <w:tc>
          <w:tcPr>
            <w:tcW w:w="1994"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center"/>
            </w:pPr>
            <w:r>
              <w:rPr>
                <w:rFonts w:ascii="Times New Roman" w:eastAsia="Times New Roman" w:hAnsi="Times New Roman" w:cs="Times New Roman"/>
                <w:sz w:val="18"/>
              </w:rPr>
              <w:t xml:space="preserve">7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 w:firstLine="0"/>
              <w:jc w:val="center"/>
            </w:pPr>
            <w:r>
              <w:rPr>
                <w:rFonts w:ascii="Times New Roman" w:eastAsia="Times New Roman" w:hAnsi="Times New Roman" w:cs="Times New Roman"/>
                <w:sz w:val="18"/>
              </w:rPr>
              <w:t xml:space="preserve">C1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 w:firstLine="0"/>
              <w:jc w:val="center"/>
            </w:pPr>
            <w:r>
              <w:rPr>
                <w:rFonts w:ascii="Times New Roman" w:eastAsia="Times New Roman" w:hAnsi="Times New Roman" w:cs="Times New Roman"/>
                <w:sz w:val="18"/>
              </w:rPr>
              <w:t xml:space="preserve">5 </w:t>
            </w:r>
            <w:r>
              <w:rPr>
                <w:rFonts w:ascii="Times New Roman" w:eastAsia="Times New Roman" w:hAnsi="Times New Roman" w:cs="Times New Roman"/>
                <w:sz w:val="24"/>
              </w:rPr>
              <w:t xml:space="preserve"> </w:t>
            </w:r>
          </w:p>
        </w:tc>
      </w:tr>
      <w:tr w:rsidR="00DA121A">
        <w:trPr>
          <w:trHeight w:val="218"/>
        </w:trPr>
        <w:tc>
          <w:tcPr>
            <w:tcW w:w="3159"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6" w:firstLine="0"/>
              <w:jc w:val="left"/>
            </w:pPr>
            <w:r>
              <w:rPr>
                <w:rFonts w:ascii="Times New Roman" w:eastAsia="Times New Roman" w:hAnsi="Times New Roman" w:cs="Times New Roman"/>
                <w:sz w:val="18"/>
              </w:rPr>
              <w:t xml:space="preserve">Policía Local </w:t>
            </w:r>
            <w:r>
              <w:rPr>
                <w:rFonts w:ascii="Times New Roman" w:eastAsia="Times New Roman" w:hAnsi="Times New Roman" w:cs="Times New Roman"/>
                <w:sz w:val="24"/>
              </w:rPr>
              <w:t xml:space="preserve"> </w:t>
            </w:r>
          </w:p>
        </w:tc>
        <w:tc>
          <w:tcPr>
            <w:tcW w:w="1994"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center"/>
            </w:pPr>
            <w:r>
              <w:rPr>
                <w:rFonts w:ascii="Times New Roman" w:eastAsia="Times New Roman" w:hAnsi="Times New Roman" w:cs="Times New Roman"/>
                <w:sz w:val="18"/>
              </w:rPr>
              <w:t xml:space="preserve">27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 w:firstLine="0"/>
              <w:jc w:val="center"/>
            </w:pPr>
            <w:r>
              <w:rPr>
                <w:rFonts w:ascii="Times New Roman" w:eastAsia="Times New Roman" w:hAnsi="Times New Roman" w:cs="Times New Roman"/>
                <w:sz w:val="18"/>
              </w:rPr>
              <w:t xml:space="preserve">C1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 w:firstLine="0"/>
              <w:jc w:val="center"/>
            </w:pPr>
            <w:r>
              <w:rPr>
                <w:rFonts w:ascii="Times New Roman" w:eastAsia="Times New Roman" w:hAnsi="Times New Roman" w:cs="Times New Roman"/>
                <w:sz w:val="18"/>
              </w:rPr>
              <w:t xml:space="preserve">3 </w:t>
            </w:r>
            <w:r>
              <w:rPr>
                <w:rFonts w:ascii="Times New Roman" w:eastAsia="Times New Roman" w:hAnsi="Times New Roman" w:cs="Times New Roman"/>
                <w:sz w:val="24"/>
              </w:rPr>
              <w:t xml:space="preserve"> </w:t>
            </w:r>
          </w:p>
        </w:tc>
      </w:tr>
      <w:tr w:rsidR="00DA121A">
        <w:trPr>
          <w:trHeight w:val="286"/>
        </w:trPr>
        <w:tc>
          <w:tcPr>
            <w:tcW w:w="3159" w:type="dxa"/>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1994"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pPr>
            <w:r>
              <w:rPr>
                <w:rFonts w:ascii="Times New Roman" w:eastAsia="Times New Roman" w:hAnsi="Times New Roman" w:cs="Times New Roman"/>
                <w:b/>
                <w:sz w:val="18"/>
              </w:rPr>
              <w:t xml:space="preserve">Administración Especial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center"/>
            </w:pPr>
            <w:r>
              <w:rPr>
                <w:rFonts w:ascii="Times New Roman" w:eastAsia="Times New Roman" w:hAnsi="Times New Roman" w:cs="Times New Roman"/>
                <w:b/>
                <w:sz w:val="18"/>
              </w:rPr>
              <w:t xml:space="preserve">73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49"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 w:firstLine="0"/>
              <w:jc w:val="center"/>
            </w:pPr>
            <w:r>
              <w:rPr>
                <w:rFonts w:ascii="Times New Roman" w:eastAsia="Times New Roman" w:hAnsi="Times New Roman" w:cs="Times New Roman"/>
                <w:b/>
                <w:sz w:val="18"/>
              </w:rPr>
              <w:t xml:space="preserve">46 </w:t>
            </w:r>
            <w:r>
              <w:rPr>
                <w:rFonts w:ascii="Times New Roman" w:eastAsia="Times New Roman" w:hAnsi="Times New Roman" w:cs="Times New Roman"/>
                <w:sz w:val="24"/>
              </w:rPr>
              <w:t xml:space="preserve"> </w:t>
            </w:r>
          </w:p>
        </w:tc>
      </w:tr>
      <w:tr w:rsidR="00DA121A">
        <w:trPr>
          <w:trHeight w:val="288"/>
        </w:trPr>
        <w:tc>
          <w:tcPr>
            <w:tcW w:w="3159" w:type="dxa"/>
            <w:tcBorders>
              <w:top w:val="single" w:sz="4" w:space="0" w:color="000000"/>
              <w:left w:val="single" w:sz="4" w:space="0" w:color="000000"/>
              <w:bottom w:val="single" w:sz="4" w:space="0" w:color="000000"/>
              <w:right w:val="nil"/>
            </w:tcBorders>
          </w:tcPr>
          <w:p w:rsidR="00DA121A" w:rsidRDefault="00904DD6">
            <w:pPr>
              <w:spacing w:after="0" w:line="259" w:lineRule="auto"/>
              <w:ind w:left="106"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c>
          <w:tcPr>
            <w:tcW w:w="1994"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47" w:firstLine="0"/>
              <w:jc w:val="center"/>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49" w:firstLine="0"/>
              <w:jc w:val="center"/>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49" w:firstLine="0"/>
              <w:jc w:val="center"/>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r>
      <w:tr w:rsidR="00DA121A">
        <w:trPr>
          <w:trHeight w:val="286"/>
        </w:trPr>
        <w:tc>
          <w:tcPr>
            <w:tcW w:w="3159" w:type="dxa"/>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1994"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right="106" w:firstLine="0"/>
              <w:jc w:val="right"/>
            </w:pPr>
            <w:r>
              <w:rPr>
                <w:rFonts w:ascii="Times New Roman" w:eastAsia="Times New Roman" w:hAnsi="Times New Roman" w:cs="Times New Roman"/>
                <w:b/>
                <w:sz w:val="18"/>
              </w:rPr>
              <w:t xml:space="preserve">Total Funcionarios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6" w:firstLine="0"/>
              <w:jc w:val="center"/>
            </w:pPr>
            <w:r>
              <w:rPr>
                <w:rFonts w:ascii="Times New Roman" w:eastAsia="Times New Roman" w:hAnsi="Times New Roman" w:cs="Times New Roman"/>
                <w:b/>
                <w:sz w:val="18"/>
              </w:rPr>
              <w:t xml:space="preserve">132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49"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 w:firstLine="0"/>
              <w:jc w:val="center"/>
            </w:pPr>
            <w:r>
              <w:rPr>
                <w:rFonts w:ascii="Times New Roman" w:eastAsia="Times New Roman" w:hAnsi="Times New Roman" w:cs="Times New Roman"/>
                <w:b/>
                <w:sz w:val="18"/>
              </w:rPr>
              <w:t xml:space="preserve">97 </w:t>
            </w:r>
            <w:r>
              <w:rPr>
                <w:rFonts w:ascii="Times New Roman" w:eastAsia="Times New Roman" w:hAnsi="Times New Roman" w:cs="Times New Roman"/>
                <w:sz w:val="24"/>
              </w:rPr>
              <w:t xml:space="preserve"> </w:t>
            </w:r>
          </w:p>
        </w:tc>
      </w:tr>
    </w:tbl>
    <w:p w:rsidR="00DA121A" w:rsidRDefault="00904DD6">
      <w:pPr>
        <w:spacing w:after="0" w:line="259" w:lineRule="auto"/>
        <w:ind w:left="284"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p w:rsidR="00DA121A" w:rsidRDefault="00904DD6">
      <w:pPr>
        <w:numPr>
          <w:ilvl w:val="0"/>
          <w:numId w:val="21"/>
        </w:numPr>
        <w:spacing w:after="61" w:line="259" w:lineRule="auto"/>
        <w:ind w:right="144" w:hanging="360"/>
      </w:pPr>
      <w:r>
        <w:rPr>
          <w:b/>
          <w:sz w:val="18"/>
        </w:rPr>
        <w:t xml:space="preserve">PLAZAS RESERVADAS A PERSONAL LABORAL  </w:t>
      </w:r>
    </w:p>
    <w:p w:rsidR="00DA121A" w:rsidRDefault="00904DD6">
      <w:pPr>
        <w:spacing w:after="0" w:line="259" w:lineRule="auto"/>
        <w:ind w:left="284"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bl>
      <w:tblPr>
        <w:tblStyle w:val="TableGrid"/>
        <w:tblW w:w="6913" w:type="dxa"/>
        <w:tblInd w:w="293" w:type="dxa"/>
        <w:tblCellMar>
          <w:top w:w="0" w:type="dxa"/>
          <w:left w:w="0" w:type="dxa"/>
          <w:bottom w:w="0" w:type="dxa"/>
          <w:right w:w="115" w:type="dxa"/>
        </w:tblCellMar>
        <w:tblLook w:val="04A0" w:firstRow="1" w:lastRow="0" w:firstColumn="1" w:lastColumn="0" w:noHBand="0" w:noVBand="1"/>
      </w:tblPr>
      <w:tblGrid>
        <w:gridCol w:w="2840"/>
        <w:gridCol w:w="1097"/>
        <w:gridCol w:w="991"/>
        <w:gridCol w:w="1985"/>
      </w:tblGrid>
      <w:tr w:rsidR="00DA121A">
        <w:trPr>
          <w:trHeight w:val="218"/>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Plaza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6" w:firstLine="0"/>
              <w:jc w:val="center"/>
            </w:pPr>
            <w:r>
              <w:rPr>
                <w:rFonts w:ascii="Times New Roman" w:eastAsia="Times New Roman" w:hAnsi="Times New Roman" w:cs="Times New Roman"/>
                <w:sz w:val="18"/>
              </w:rPr>
              <w:t xml:space="preserve">Nº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8" w:firstLine="0"/>
              <w:jc w:val="center"/>
            </w:pPr>
            <w:r>
              <w:rPr>
                <w:rFonts w:ascii="Times New Roman" w:eastAsia="Times New Roman" w:hAnsi="Times New Roman" w:cs="Times New Roman"/>
                <w:sz w:val="18"/>
              </w:rPr>
              <w:t xml:space="preserve">Vacante </w:t>
            </w:r>
            <w:r>
              <w:rPr>
                <w:rFonts w:ascii="Times New Roman" w:eastAsia="Times New Roman" w:hAnsi="Times New Roman" w:cs="Times New Roman"/>
                <w:sz w:val="24"/>
              </w:rPr>
              <w:t xml:space="preserve"> </w:t>
            </w:r>
          </w:p>
        </w:tc>
      </w:tr>
      <w:tr w:rsidR="00DA121A">
        <w:trPr>
          <w:trHeight w:val="218"/>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Fosero/a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Encargado/a de obras y servicios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21"/>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Jefe/a de equipo de electricidad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Oficial de primera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9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9 </w:t>
            </w:r>
            <w:r>
              <w:rPr>
                <w:rFonts w:ascii="Times New Roman" w:eastAsia="Times New Roman" w:hAnsi="Times New Roman" w:cs="Times New Roman"/>
                <w:sz w:val="24"/>
              </w:rPr>
              <w:t xml:space="preserve"> </w:t>
            </w:r>
          </w:p>
        </w:tc>
      </w:tr>
      <w:tr w:rsidR="00DA121A">
        <w:trPr>
          <w:trHeight w:val="218"/>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Oficial de segunda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8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8 </w:t>
            </w:r>
            <w:r>
              <w:rPr>
                <w:rFonts w:ascii="Times New Roman" w:eastAsia="Times New Roman" w:hAnsi="Times New Roman" w:cs="Times New Roman"/>
                <w:sz w:val="24"/>
              </w:rPr>
              <w:t xml:space="preserve"> </w:t>
            </w:r>
          </w:p>
        </w:tc>
      </w:tr>
      <w:tr w:rsidR="00DA121A">
        <w:trPr>
          <w:trHeight w:val="218"/>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Conductor/a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4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4 </w:t>
            </w:r>
            <w:r>
              <w:rPr>
                <w:rFonts w:ascii="Times New Roman" w:eastAsia="Times New Roman" w:hAnsi="Times New Roman" w:cs="Times New Roman"/>
                <w:sz w:val="24"/>
              </w:rPr>
              <w:t xml:space="preserve"> </w:t>
            </w:r>
          </w:p>
        </w:tc>
      </w:tr>
      <w:tr w:rsidR="00DA121A">
        <w:trPr>
          <w:trHeight w:val="221"/>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Operario/a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21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21 </w:t>
            </w:r>
            <w:r>
              <w:rPr>
                <w:rFonts w:ascii="Times New Roman" w:eastAsia="Times New Roman" w:hAnsi="Times New Roman" w:cs="Times New Roman"/>
                <w:sz w:val="24"/>
              </w:rPr>
              <w:t xml:space="preserve"> </w:t>
            </w:r>
          </w:p>
        </w:tc>
      </w:tr>
      <w:tr w:rsidR="00DA121A">
        <w:trPr>
          <w:trHeight w:val="219"/>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Encargado/a jardines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Jefe/a de equpo</w:t>
            </w:r>
            <w:r>
              <w:rPr>
                <w:rFonts w:ascii="Times New Roman" w:eastAsia="Times New Roman" w:hAnsi="Times New Roman" w:cs="Times New Roman"/>
                <w:sz w:val="18"/>
              </w:rPr>
              <w:t xml:space="preserve"> de jardines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Auxiliar de Ayuda a domicilio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3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3 </w:t>
            </w:r>
            <w:r>
              <w:rPr>
                <w:rFonts w:ascii="Times New Roman" w:eastAsia="Times New Roman" w:hAnsi="Times New Roman" w:cs="Times New Roman"/>
                <w:sz w:val="24"/>
              </w:rPr>
              <w:t xml:space="preserve"> </w:t>
            </w:r>
          </w:p>
        </w:tc>
      </w:tr>
      <w:tr w:rsidR="00DA121A">
        <w:trPr>
          <w:trHeight w:val="221"/>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Conserje-Notificador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18"/>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Conserje Edificios Municipales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8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8 </w:t>
            </w:r>
            <w:r>
              <w:rPr>
                <w:rFonts w:ascii="Times New Roman" w:eastAsia="Times New Roman" w:hAnsi="Times New Roman" w:cs="Times New Roman"/>
                <w:sz w:val="24"/>
              </w:rPr>
              <w:t xml:space="preserve"> </w:t>
            </w:r>
          </w:p>
        </w:tc>
      </w:tr>
      <w:tr w:rsidR="00DA121A">
        <w:trPr>
          <w:trHeight w:val="218"/>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113" w:firstLine="0"/>
              <w:jc w:val="left"/>
            </w:pPr>
            <w:r>
              <w:rPr>
                <w:rFonts w:ascii="Times New Roman" w:eastAsia="Times New Roman" w:hAnsi="Times New Roman" w:cs="Times New Roman"/>
                <w:sz w:val="18"/>
              </w:rPr>
              <w:t xml:space="preserve">Decorador/a </w:t>
            </w:r>
            <w:r>
              <w:rPr>
                <w:rFonts w:ascii="Times New Roman" w:eastAsia="Times New Roman" w:hAnsi="Times New Roman" w:cs="Times New Roman"/>
                <w:sz w:val="24"/>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427"/>
        </w:trPr>
        <w:tc>
          <w:tcPr>
            <w:tcW w:w="2840" w:type="dxa"/>
            <w:tcBorders>
              <w:top w:val="single" w:sz="4" w:space="0" w:color="000000"/>
              <w:left w:val="single" w:sz="4" w:space="0" w:color="000000"/>
              <w:bottom w:val="single" w:sz="4" w:space="0" w:color="000000"/>
              <w:right w:val="nil"/>
            </w:tcBorders>
          </w:tcPr>
          <w:p w:rsidR="00DA121A" w:rsidRDefault="00904DD6">
            <w:pPr>
              <w:spacing w:after="0" w:line="259" w:lineRule="auto"/>
              <w:ind w:left="5" w:firstLine="0"/>
              <w:jc w:val="left"/>
            </w:pPr>
            <w:r>
              <w:rPr>
                <w:rFonts w:ascii="Times New Roman" w:eastAsia="Times New Roman" w:hAnsi="Times New Roman" w:cs="Times New Roman"/>
                <w:sz w:val="18"/>
              </w:rPr>
              <w:t xml:space="preserve"> </w:t>
            </w:r>
          </w:p>
        </w:tc>
        <w:tc>
          <w:tcPr>
            <w:tcW w:w="109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b/>
                <w:sz w:val="18"/>
              </w:rPr>
              <w:t xml:space="preserve">Total laborales </w:t>
            </w: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1" w:firstLine="0"/>
              <w:jc w:val="center"/>
            </w:pPr>
            <w:r>
              <w:rPr>
                <w:rFonts w:ascii="Times New Roman" w:eastAsia="Times New Roman" w:hAnsi="Times New Roman" w:cs="Times New Roman"/>
                <w:b/>
                <w:sz w:val="18"/>
              </w:rPr>
              <w:t xml:space="preserve">60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22" w:firstLine="0"/>
              <w:jc w:val="center"/>
            </w:pPr>
            <w:r>
              <w:rPr>
                <w:rFonts w:ascii="Times New Roman" w:eastAsia="Times New Roman" w:hAnsi="Times New Roman" w:cs="Times New Roman"/>
                <w:b/>
                <w:sz w:val="18"/>
              </w:rPr>
              <w:t xml:space="preserve">60 </w:t>
            </w:r>
            <w:r>
              <w:rPr>
                <w:rFonts w:ascii="Times New Roman" w:eastAsia="Times New Roman" w:hAnsi="Times New Roman" w:cs="Times New Roman"/>
                <w:sz w:val="24"/>
              </w:rPr>
              <w:t xml:space="preserve"> </w:t>
            </w:r>
          </w:p>
        </w:tc>
      </w:tr>
    </w:tbl>
    <w:p w:rsidR="00DA121A" w:rsidRDefault="00904DD6">
      <w:pPr>
        <w:spacing w:after="69" w:line="259" w:lineRule="auto"/>
        <w:ind w:left="284"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p w:rsidR="00DA121A" w:rsidRDefault="00904DD6">
      <w:pPr>
        <w:numPr>
          <w:ilvl w:val="0"/>
          <w:numId w:val="21"/>
        </w:numPr>
        <w:spacing w:after="4"/>
        <w:ind w:right="144" w:hanging="360"/>
      </w:pPr>
      <w:r>
        <w:rPr>
          <w:b/>
        </w:rPr>
        <w:t xml:space="preserve">PERRSONAL EVENTUAL </w:t>
      </w:r>
      <w:r>
        <w:rPr>
          <w:b/>
          <w:sz w:val="28"/>
        </w:rPr>
        <w:t xml:space="preserve"> </w:t>
      </w:r>
    </w:p>
    <w:p w:rsidR="00DA121A" w:rsidRDefault="00904DD6">
      <w:pPr>
        <w:spacing w:after="13"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24"/>
        </w:rPr>
        <w:t xml:space="preserve"> </w:t>
      </w:r>
    </w:p>
    <w:tbl>
      <w:tblPr>
        <w:tblStyle w:val="TableGrid"/>
        <w:tblW w:w="4645" w:type="dxa"/>
        <w:tblInd w:w="293" w:type="dxa"/>
        <w:tblCellMar>
          <w:top w:w="0" w:type="dxa"/>
          <w:left w:w="108" w:type="dxa"/>
          <w:bottom w:w="0" w:type="dxa"/>
          <w:right w:w="24" w:type="dxa"/>
        </w:tblCellMar>
        <w:tblLook w:val="04A0" w:firstRow="1" w:lastRow="0" w:firstColumn="1" w:lastColumn="0" w:noHBand="0" w:noVBand="1"/>
      </w:tblPr>
      <w:tblGrid>
        <w:gridCol w:w="2883"/>
        <w:gridCol w:w="1762"/>
      </w:tblGrid>
      <w:tr w:rsidR="00DA121A">
        <w:trPr>
          <w:trHeight w:val="218"/>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rFonts w:ascii="Times New Roman" w:eastAsia="Times New Roman" w:hAnsi="Times New Roman" w:cs="Times New Roman"/>
                <w:sz w:val="18"/>
              </w:rPr>
              <w:t xml:space="preserve">Personal eventual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85" w:firstLine="0"/>
              <w:jc w:val="center"/>
            </w:pPr>
            <w:r>
              <w:rPr>
                <w:rFonts w:ascii="Times New Roman" w:eastAsia="Times New Roman" w:hAnsi="Times New Roman" w:cs="Times New Roman"/>
                <w:sz w:val="18"/>
              </w:rPr>
              <w:t xml:space="preserve">Nº </w:t>
            </w:r>
            <w:r>
              <w:rPr>
                <w:rFonts w:ascii="Times New Roman" w:eastAsia="Times New Roman" w:hAnsi="Times New Roman" w:cs="Times New Roman"/>
                <w:sz w:val="24"/>
              </w:rPr>
              <w:t xml:space="preserve"> </w:t>
            </w:r>
          </w:p>
        </w:tc>
      </w:tr>
      <w:tr w:rsidR="00DA121A">
        <w:trPr>
          <w:trHeight w:val="229"/>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0" w:firstLine="0"/>
              <w:jc w:val="center"/>
            </w:pPr>
            <w:r>
              <w:rPr>
                <w:rFonts w:ascii="Times New Roman" w:eastAsia="Times New Roman" w:hAnsi="Times New Roman" w:cs="Times New Roman"/>
                <w:sz w:val="18"/>
              </w:rPr>
              <w:t xml:space="preserve">Asesor/a Cultura y Fiestas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0"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30"/>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88" w:firstLine="0"/>
              <w:jc w:val="center"/>
            </w:pPr>
            <w:r>
              <w:rPr>
                <w:rFonts w:ascii="Times New Roman" w:eastAsia="Times New Roman" w:hAnsi="Times New Roman" w:cs="Times New Roman"/>
                <w:sz w:val="18"/>
              </w:rPr>
              <w:t xml:space="preserve">Asesor/a Comunicación y Prensa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0"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228"/>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88" w:firstLine="0"/>
              <w:jc w:val="center"/>
            </w:pPr>
            <w:r>
              <w:rPr>
                <w:rFonts w:ascii="Times New Roman" w:eastAsia="Times New Roman" w:hAnsi="Times New Roman" w:cs="Times New Roman"/>
                <w:sz w:val="18"/>
              </w:rPr>
              <w:t xml:space="preserve">Asesor/a Alcaldía Presidencia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0"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437"/>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0" w:firstLine="0"/>
              <w:jc w:val="center"/>
            </w:pPr>
            <w:r>
              <w:rPr>
                <w:rFonts w:ascii="Times New Roman" w:eastAsia="Times New Roman" w:hAnsi="Times New Roman" w:cs="Times New Roman"/>
                <w:sz w:val="18"/>
              </w:rPr>
              <w:t xml:space="preserve">Asesor/a Alcaldía </w:t>
            </w:r>
            <w:r>
              <w:rPr>
                <w:rFonts w:ascii="Times New Roman" w:eastAsia="Times New Roman" w:hAnsi="Times New Roman" w:cs="Times New Roman"/>
                <w:sz w:val="24"/>
              </w:rPr>
              <w:t xml:space="preserve"> </w:t>
            </w:r>
          </w:p>
          <w:p w:rsidR="00DA121A" w:rsidRDefault="00904DD6">
            <w:pPr>
              <w:spacing w:after="0" w:line="259" w:lineRule="auto"/>
              <w:ind w:left="0" w:right="90" w:firstLine="0"/>
              <w:jc w:val="center"/>
            </w:pPr>
            <w:r>
              <w:rPr>
                <w:rFonts w:ascii="Times New Roman" w:eastAsia="Times New Roman" w:hAnsi="Times New Roman" w:cs="Times New Roman"/>
                <w:sz w:val="18"/>
              </w:rPr>
              <w:t xml:space="preserve">Pres./Concejales/as delegados/as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0" w:firstLine="0"/>
              <w:jc w:val="center"/>
            </w:pPr>
            <w:r>
              <w:rPr>
                <w:rFonts w:ascii="Times New Roman" w:eastAsia="Times New Roman" w:hAnsi="Times New Roman" w:cs="Times New Roman"/>
                <w:sz w:val="18"/>
              </w:rPr>
              <w:t xml:space="preserve">1 </w:t>
            </w:r>
            <w:r>
              <w:rPr>
                <w:rFonts w:ascii="Times New Roman" w:eastAsia="Times New Roman" w:hAnsi="Times New Roman" w:cs="Times New Roman"/>
                <w:sz w:val="24"/>
              </w:rPr>
              <w:t xml:space="preserve"> </w:t>
            </w:r>
          </w:p>
        </w:tc>
      </w:tr>
      <w:tr w:rsidR="00DA121A">
        <w:trPr>
          <w:trHeight w:val="494"/>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7" w:firstLine="0"/>
              <w:jc w:val="left"/>
            </w:pPr>
            <w:r>
              <w:rPr>
                <w:rFonts w:ascii="Times New Roman" w:eastAsia="Times New Roman" w:hAnsi="Times New Roman" w:cs="Times New Roman"/>
                <w:sz w:val="18"/>
              </w:rPr>
              <w:t xml:space="preserve">Asesor/a Concejales/as delegados/as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90" w:right="710" w:hanging="65"/>
              <w:jc w:val="left"/>
            </w:pPr>
            <w:r>
              <w:rPr>
                <w:rFonts w:ascii="Times New Roman" w:eastAsia="Times New Roman" w:hAnsi="Times New Roman" w:cs="Times New Roman"/>
                <w:sz w:val="18"/>
              </w:rPr>
              <w:t xml:space="preserve">3 </w:t>
            </w:r>
            <w:r>
              <w:rPr>
                <w:rFonts w:ascii="Times New Roman" w:eastAsia="Times New Roman" w:hAnsi="Times New Roman" w:cs="Times New Roman"/>
                <w:sz w:val="24"/>
              </w:rPr>
              <w:t xml:space="preserve"> </w:t>
            </w: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r>
      <w:tr w:rsidR="00DA121A">
        <w:trPr>
          <w:trHeight w:val="298"/>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80" w:firstLine="0"/>
              <w:jc w:val="center"/>
            </w:pPr>
            <w:r>
              <w:rPr>
                <w:rFonts w:ascii="Times New Roman" w:eastAsia="Times New Roman" w:hAnsi="Times New Roman" w:cs="Times New Roman"/>
                <w:b/>
                <w:sz w:val="18"/>
              </w:rPr>
              <w:t xml:space="preserve">TOTAL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0" w:firstLine="0"/>
              <w:jc w:val="center"/>
            </w:pPr>
            <w:r>
              <w:rPr>
                <w:rFonts w:ascii="Times New Roman" w:eastAsia="Times New Roman" w:hAnsi="Times New Roman" w:cs="Times New Roman"/>
                <w:b/>
                <w:sz w:val="18"/>
              </w:rPr>
              <w:t xml:space="preserve">7 </w:t>
            </w:r>
            <w:r>
              <w:rPr>
                <w:rFonts w:ascii="Times New Roman" w:eastAsia="Times New Roman" w:hAnsi="Times New Roman" w:cs="Times New Roman"/>
                <w:sz w:val="24"/>
              </w:rPr>
              <w:t xml:space="preserve"> </w:t>
            </w:r>
          </w:p>
        </w:tc>
      </w:tr>
    </w:tbl>
    <w:p w:rsidR="00DA121A" w:rsidRDefault="00904DD6">
      <w:pPr>
        <w:spacing w:after="81" w:line="259" w:lineRule="auto"/>
        <w:ind w:left="284" w:firstLine="0"/>
        <w:jc w:val="left"/>
      </w:pPr>
      <w:r>
        <w:rPr>
          <w:b/>
        </w:rPr>
        <w:t xml:space="preserve"> </w:t>
      </w:r>
      <w:r>
        <w:rPr>
          <w:rFonts w:ascii="Times New Roman" w:eastAsia="Times New Roman" w:hAnsi="Times New Roman" w:cs="Times New Roman"/>
          <w:sz w:val="24"/>
        </w:rPr>
        <w:t xml:space="preserve"> </w:t>
      </w:r>
    </w:p>
    <w:p w:rsidR="00DA121A" w:rsidRDefault="00904DD6">
      <w:pPr>
        <w:spacing w:after="111"/>
        <w:ind w:left="279" w:right="144"/>
      </w:pPr>
      <w:r>
        <w:rPr>
          <w:b/>
        </w:rPr>
        <w:t xml:space="preserve">III.- </w:t>
      </w:r>
      <w:r>
        <w:rPr>
          <w:b/>
        </w:rPr>
        <w:t xml:space="preserve">Plan Presupuestario 2024-2026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bl>
      <w:tblPr>
        <w:tblStyle w:val="TableGrid"/>
        <w:tblW w:w="8171" w:type="dxa"/>
        <w:tblInd w:w="341" w:type="dxa"/>
        <w:tblCellMar>
          <w:top w:w="46" w:type="dxa"/>
          <w:left w:w="0" w:type="dxa"/>
          <w:bottom w:w="0" w:type="dxa"/>
          <w:right w:w="0" w:type="dxa"/>
        </w:tblCellMar>
        <w:tblLook w:val="04A0" w:firstRow="1" w:lastRow="0" w:firstColumn="1" w:lastColumn="0" w:noHBand="0" w:noVBand="1"/>
      </w:tblPr>
      <w:tblGrid>
        <w:gridCol w:w="1976"/>
        <w:gridCol w:w="1429"/>
        <w:gridCol w:w="1494"/>
        <w:gridCol w:w="1635"/>
        <w:gridCol w:w="1637"/>
      </w:tblGrid>
      <w:tr w:rsidR="00DA121A">
        <w:trPr>
          <w:trHeight w:val="675"/>
        </w:trPr>
        <w:tc>
          <w:tcPr>
            <w:tcW w:w="1978"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4" w:firstLine="0"/>
              <w:jc w:val="center"/>
            </w:pPr>
            <w:r>
              <w:rPr>
                <w:rFonts w:ascii="Times New Roman" w:eastAsia="Times New Roman" w:hAnsi="Times New Roman" w:cs="Times New Roman"/>
                <w:b/>
                <w:sz w:val="18"/>
              </w:rPr>
              <w:t xml:space="preserve">INGRESOS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28" w:line="259" w:lineRule="auto"/>
              <w:ind w:left="108" w:firstLine="0"/>
            </w:pPr>
            <w:r>
              <w:rPr>
                <w:rFonts w:ascii="Times New Roman" w:eastAsia="Times New Roman" w:hAnsi="Times New Roman" w:cs="Times New Roman"/>
                <w:b/>
                <w:sz w:val="18"/>
              </w:rPr>
              <w:t>PRESUPUESTO</w:t>
            </w:r>
          </w:p>
          <w:p w:rsidR="00DA121A" w:rsidRDefault="00904DD6">
            <w:pPr>
              <w:spacing w:after="0" w:line="259" w:lineRule="auto"/>
              <w:ind w:left="0" w:right="5" w:firstLine="0"/>
              <w:jc w:val="center"/>
            </w:pPr>
            <w:r>
              <w:rPr>
                <w:rFonts w:ascii="Times New Roman" w:eastAsia="Times New Roman" w:hAnsi="Times New Roman" w:cs="Times New Roman"/>
                <w:b/>
                <w:sz w:val="18"/>
              </w:rPr>
              <w:t xml:space="preserve">2023 </w:t>
            </w:r>
            <w:r>
              <w:rPr>
                <w:rFonts w:ascii="Times New Roman" w:eastAsia="Times New Roman" w:hAnsi="Times New Roman" w:cs="Times New Roman"/>
                <w:sz w:val="24"/>
              </w:rPr>
              <w:t xml:space="preserve"> </w:t>
            </w:r>
          </w:p>
        </w:tc>
        <w:tc>
          <w:tcPr>
            <w:tcW w:w="1493"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7" w:firstLine="0"/>
              <w:jc w:val="center"/>
            </w:pPr>
            <w:r>
              <w:rPr>
                <w:rFonts w:ascii="Times New Roman" w:eastAsia="Times New Roman" w:hAnsi="Times New Roman" w:cs="Times New Roman"/>
                <w:b/>
                <w:sz w:val="18"/>
              </w:rPr>
              <w:t xml:space="preserve">PREVISIÓN </w:t>
            </w:r>
            <w:r>
              <w:rPr>
                <w:rFonts w:ascii="Times New Roman" w:eastAsia="Times New Roman" w:hAnsi="Times New Roman" w:cs="Times New Roman"/>
                <w:sz w:val="24"/>
              </w:rPr>
              <w:t xml:space="preserve"> </w:t>
            </w:r>
          </w:p>
          <w:p w:rsidR="00DA121A" w:rsidRDefault="00904DD6">
            <w:pPr>
              <w:spacing w:after="0" w:line="259" w:lineRule="auto"/>
              <w:ind w:left="-13" w:firstLine="0"/>
              <w:jc w:val="left"/>
            </w:pPr>
            <w:r>
              <w:rPr>
                <w:rFonts w:ascii="Times New Roman" w:eastAsia="Times New Roman" w:hAnsi="Times New Roman" w:cs="Times New Roman"/>
                <w:b/>
                <w:sz w:val="18"/>
              </w:rPr>
              <w:t xml:space="preserve"> </w:t>
            </w:r>
          </w:p>
          <w:p w:rsidR="00DA121A" w:rsidRDefault="00904DD6">
            <w:pPr>
              <w:spacing w:after="28" w:line="259" w:lineRule="auto"/>
              <w:ind w:left="178" w:firstLine="0"/>
              <w:jc w:val="left"/>
            </w:pPr>
            <w:r>
              <w:rPr>
                <w:rFonts w:ascii="Times New Roman" w:eastAsia="Times New Roman" w:hAnsi="Times New Roman" w:cs="Times New Roman"/>
                <w:b/>
                <w:sz w:val="18"/>
              </w:rPr>
              <w:t>PRESUPUESTO</w:t>
            </w:r>
          </w:p>
          <w:p w:rsidR="00DA121A" w:rsidRDefault="00904DD6">
            <w:pPr>
              <w:spacing w:after="0" w:line="259" w:lineRule="auto"/>
              <w:ind w:left="3" w:firstLine="0"/>
              <w:jc w:val="center"/>
            </w:pPr>
            <w:r>
              <w:rPr>
                <w:rFonts w:ascii="Times New Roman" w:eastAsia="Times New Roman" w:hAnsi="Times New Roman" w:cs="Times New Roman"/>
                <w:b/>
                <w:sz w:val="18"/>
              </w:rPr>
              <w:t xml:space="preserve">2024 </w:t>
            </w:r>
            <w:r>
              <w:rPr>
                <w:rFonts w:ascii="Times New Roman" w:eastAsia="Times New Roman" w:hAnsi="Times New Roman" w:cs="Times New Roman"/>
                <w:sz w:val="24"/>
              </w:rPr>
              <w:t xml:space="preserve"> </w:t>
            </w:r>
          </w:p>
        </w:tc>
        <w:tc>
          <w:tcPr>
            <w:tcW w:w="163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82" w:firstLine="0"/>
              <w:jc w:val="center"/>
            </w:pPr>
            <w:r>
              <w:rPr>
                <w:rFonts w:ascii="Times New Roman" w:eastAsia="Times New Roman" w:hAnsi="Times New Roman" w:cs="Times New Roman"/>
                <w:b/>
                <w:sz w:val="18"/>
              </w:rPr>
              <w:t xml:space="preserve">PREVISIÓN </w:t>
            </w:r>
          </w:p>
          <w:p w:rsidR="00DA121A" w:rsidRDefault="00904DD6">
            <w:pPr>
              <w:tabs>
                <w:tab w:val="right" w:pos="1635"/>
              </w:tabs>
              <w:spacing w:after="33" w:line="259" w:lineRule="auto"/>
              <w:ind w:left="-8"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PRESUPUESTO </w:t>
            </w:r>
          </w:p>
          <w:p w:rsidR="00DA121A" w:rsidRDefault="00904DD6">
            <w:pPr>
              <w:spacing w:after="0" w:line="259" w:lineRule="auto"/>
              <w:ind w:left="78" w:firstLine="0"/>
              <w:jc w:val="center"/>
            </w:pPr>
            <w:r>
              <w:rPr>
                <w:rFonts w:ascii="Times New Roman" w:eastAsia="Times New Roman" w:hAnsi="Times New Roman" w:cs="Times New Roman"/>
                <w:b/>
                <w:sz w:val="18"/>
              </w:rPr>
              <w:t xml:space="preserve">2025 </w:t>
            </w:r>
            <w:r>
              <w:rPr>
                <w:rFonts w:ascii="Times New Roman" w:eastAsia="Times New Roman" w:hAnsi="Times New Roman" w:cs="Times New Roman"/>
                <w:sz w:val="24"/>
              </w:rPr>
              <w:t xml:space="preserve"> </w:t>
            </w:r>
          </w:p>
        </w:tc>
        <w:tc>
          <w:tcPr>
            <w:tcW w:w="1637"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73" w:firstLine="0"/>
              <w:jc w:val="center"/>
            </w:pPr>
            <w:r>
              <w:rPr>
                <w:rFonts w:ascii="Times New Roman" w:eastAsia="Times New Roman" w:hAnsi="Times New Roman" w:cs="Times New Roman"/>
                <w:b/>
                <w:sz w:val="18"/>
              </w:rPr>
              <w:t xml:space="preserve">PREVISIÓN </w:t>
            </w:r>
          </w:p>
          <w:p w:rsidR="00DA121A" w:rsidRDefault="00904DD6">
            <w:pPr>
              <w:spacing w:after="28" w:line="259" w:lineRule="auto"/>
              <w:ind w:left="199" w:firstLine="0"/>
              <w:jc w:val="left"/>
            </w:pPr>
            <w:r>
              <w:rPr>
                <w:rFonts w:ascii="Times New Roman" w:eastAsia="Times New Roman" w:hAnsi="Times New Roman" w:cs="Times New Roman"/>
                <w:b/>
                <w:sz w:val="18"/>
              </w:rPr>
              <w:t xml:space="preserve">PRESUPUESTO </w:t>
            </w:r>
          </w:p>
          <w:p w:rsidR="00DA121A" w:rsidRDefault="00904DD6">
            <w:pPr>
              <w:spacing w:after="0" w:line="259" w:lineRule="auto"/>
              <w:ind w:left="74" w:firstLine="0"/>
              <w:jc w:val="center"/>
            </w:pPr>
            <w:r>
              <w:rPr>
                <w:rFonts w:ascii="Times New Roman" w:eastAsia="Times New Roman" w:hAnsi="Times New Roman" w:cs="Times New Roman"/>
                <w:b/>
                <w:sz w:val="18"/>
              </w:rPr>
              <w:t>2026</w:t>
            </w: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r>
      <w:tr w:rsidR="00DA121A">
        <w:trPr>
          <w:trHeight w:val="353"/>
        </w:trPr>
        <w:tc>
          <w:tcPr>
            <w:tcW w:w="197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1" w:firstLine="0"/>
              <w:jc w:val="center"/>
            </w:pPr>
            <w:r>
              <w:rPr>
                <w:rFonts w:ascii="Times New Roman" w:eastAsia="Times New Roman" w:hAnsi="Times New Roman" w:cs="Times New Roman"/>
                <w:sz w:val="18"/>
              </w:rPr>
              <w:t xml:space="preserve">IMPUESTOS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rFonts w:ascii="Times New Roman" w:eastAsia="Times New Roman" w:hAnsi="Times New Roman" w:cs="Times New Roman"/>
                <w:sz w:val="18"/>
              </w:rPr>
              <w:t xml:space="preserve">7.836.366,87 </w:t>
            </w:r>
          </w:p>
        </w:tc>
        <w:tc>
          <w:tcPr>
            <w:tcW w:w="1493"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93"/>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7.926.955,27 </w:t>
            </w:r>
          </w:p>
        </w:tc>
        <w:tc>
          <w:tcPr>
            <w:tcW w:w="163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5"/>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8.106.104,46 </w:t>
            </w:r>
          </w:p>
        </w:tc>
        <w:tc>
          <w:tcPr>
            <w:tcW w:w="1637"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7"/>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8.253.278,89 </w:t>
            </w:r>
          </w:p>
        </w:tc>
      </w:tr>
      <w:tr w:rsidR="00DA121A">
        <w:trPr>
          <w:trHeight w:val="350"/>
        </w:trPr>
        <w:tc>
          <w:tcPr>
            <w:tcW w:w="197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3" w:firstLine="0"/>
              <w:jc w:val="center"/>
            </w:pPr>
            <w:r>
              <w:rPr>
                <w:rFonts w:ascii="Times New Roman" w:eastAsia="Times New Roman" w:hAnsi="Times New Roman" w:cs="Times New Roman"/>
                <w:sz w:val="18"/>
              </w:rPr>
              <w:t xml:space="preserve">DIRECTOS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DA121A">
            <w:pPr>
              <w:spacing w:after="160" w:line="259" w:lineRule="auto"/>
              <w:ind w:left="0" w:firstLine="0"/>
              <w:jc w:val="left"/>
            </w:pPr>
          </w:p>
        </w:tc>
        <w:tc>
          <w:tcPr>
            <w:tcW w:w="1493" w:type="dxa"/>
            <w:tcBorders>
              <w:top w:val="single" w:sz="2" w:space="0" w:color="000000"/>
              <w:left w:val="single" w:sz="2" w:space="0" w:color="000000"/>
              <w:bottom w:val="single" w:sz="2" w:space="0" w:color="000000"/>
              <w:right w:val="single" w:sz="2" w:space="0" w:color="000000"/>
            </w:tcBorders>
          </w:tcPr>
          <w:p w:rsidR="00DA121A" w:rsidRDefault="00DA121A">
            <w:pPr>
              <w:spacing w:after="160" w:line="259" w:lineRule="auto"/>
              <w:ind w:left="0" w:firstLine="0"/>
              <w:jc w:val="left"/>
            </w:pPr>
          </w:p>
        </w:tc>
        <w:tc>
          <w:tcPr>
            <w:tcW w:w="1635" w:type="dxa"/>
            <w:tcBorders>
              <w:top w:val="single" w:sz="2" w:space="0" w:color="000000"/>
              <w:left w:val="single" w:sz="2" w:space="0" w:color="000000"/>
              <w:bottom w:val="single" w:sz="2" w:space="0" w:color="000000"/>
              <w:right w:val="single" w:sz="2" w:space="0" w:color="000000"/>
            </w:tcBorders>
          </w:tcPr>
          <w:p w:rsidR="00DA121A" w:rsidRDefault="00DA121A">
            <w:pPr>
              <w:spacing w:after="160" w:line="259" w:lineRule="auto"/>
              <w:ind w:left="0" w:firstLine="0"/>
              <w:jc w:val="left"/>
            </w:pPr>
          </w:p>
        </w:tc>
        <w:tc>
          <w:tcPr>
            <w:tcW w:w="1637" w:type="dxa"/>
            <w:tcBorders>
              <w:top w:val="single" w:sz="2" w:space="0" w:color="000000"/>
              <w:left w:val="single" w:sz="2" w:space="0" w:color="000000"/>
              <w:bottom w:val="single" w:sz="2" w:space="0" w:color="000000"/>
              <w:right w:val="single" w:sz="2" w:space="0" w:color="000000"/>
            </w:tcBorders>
          </w:tcPr>
          <w:p w:rsidR="00DA121A" w:rsidRDefault="00DA121A">
            <w:pPr>
              <w:spacing w:after="160" w:line="259" w:lineRule="auto"/>
              <w:ind w:left="0" w:firstLine="0"/>
              <w:jc w:val="left"/>
            </w:pPr>
          </w:p>
        </w:tc>
      </w:tr>
      <w:tr w:rsidR="00DA121A">
        <w:trPr>
          <w:trHeight w:val="468"/>
        </w:trPr>
        <w:tc>
          <w:tcPr>
            <w:tcW w:w="197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rFonts w:ascii="Times New Roman" w:eastAsia="Times New Roman" w:hAnsi="Times New Roman" w:cs="Times New Roman"/>
                <w:sz w:val="18"/>
              </w:rPr>
              <w:t xml:space="preserve">IMPUESTOS INDIRECTOS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8" w:firstLine="0"/>
              <w:jc w:val="right"/>
            </w:pPr>
            <w:r>
              <w:rPr>
                <w:rFonts w:ascii="Times New Roman" w:eastAsia="Times New Roman" w:hAnsi="Times New Roman" w:cs="Times New Roman"/>
                <w:sz w:val="18"/>
              </w:rPr>
              <w:t xml:space="preserve">6.080.138,32 </w:t>
            </w:r>
          </w:p>
        </w:tc>
        <w:tc>
          <w:tcPr>
            <w:tcW w:w="1493"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93"/>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6.253.665,47 </w:t>
            </w:r>
          </w:p>
        </w:tc>
        <w:tc>
          <w:tcPr>
            <w:tcW w:w="163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5"/>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6.432.145,08 </w:t>
            </w:r>
          </w:p>
        </w:tc>
        <w:tc>
          <w:tcPr>
            <w:tcW w:w="1637"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7"/>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6.615.718,50 </w:t>
            </w:r>
          </w:p>
        </w:tc>
      </w:tr>
      <w:tr w:rsidR="00DA121A">
        <w:trPr>
          <w:trHeight w:val="475"/>
        </w:trPr>
        <w:tc>
          <w:tcPr>
            <w:tcW w:w="197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82" w:firstLine="0"/>
              <w:jc w:val="left"/>
            </w:pPr>
            <w:r>
              <w:rPr>
                <w:rFonts w:ascii="Times New Roman" w:eastAsia="Times New Roman" w:hAnsi="Times New Roman" w:cs="Times New Roman"/>
                <w:sz w:val="18"/>
              </w:rPr>
              <w:t xml:space="preserve">TASAS </w:t>
            </w:r>
            <w:r>
              <w:rPr>
                <w:rFonts w:ascii="Times New Roman" w:eastAsia="Times New Roman" w:hAnsi="Times New Roman" w:cs="Times New Roman"/>
                <w:sz w:val="18"/>
              </w:rPr>
              <w:tab/>
              <w:t xml:space="preserve">Y </w:t>
            </w:r>
            <w:r>
              <w:rPr>
                <w:rFonts w:ascii="Times New Roman" w:eastAsia="Times New Roman" w:hAnsi="Times New Roman" w:cs="Times New Roman"/>
                <w:sz w:val="18"/>
              </w:rPr>
              <w:tab/>
              <w:t xml:space="preserve">OTROS INGRESOS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8" w:firstLine="0"/>
              <w:jc w:val="left"/>
            </w:pPr>
            <w:r>
              <w:rPr>
                <w:rFonts w:ascii="Times New Roman" w:eastAsia="Times New Roman" w:hAnsi="Times New Roman" w:cs="Times New Roman"/>
                <w:sz w:val="18"/>
              </w:rPr>
              <w:t xml:space="preserve"> </w:t>
            </w:r>
          </w:p>
          <w:p w:rsidR="00DA121A" w:rsidRDefault="00904DD6">
            <w:pPr>
              <w:spacing w:after="0" w:line="259" w:lineRule="auto"/>
              <w:ind w:left="0" w:right="58" w:firstLine="0"/>
              <w:jc w:val="right"/>
            </w:pPr>
            <w:r>
              <w:rPr>
                <w:rFonts w:ascii="Times New Roman" w:eastAsia="Times New Roman" w:hAnsi="Times New Roman" w:cs="Times New Roman"/>
                <w:sz w:val="18"/>
              </w:rPr>
              <w:t xml:space="preserve">2.581.188,39 </w:t>
            </w:r>
          </w:p>
        </w:tc>
        <w:tc>
          <w:tcPr>
            <w:tcW w:w="1493"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493"/>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2.640.684,78 </w:t>
            </w:r>
          </w:p>
        </w:tc>
        <w:tc>
          <w:tcPr>
            <w:tcW w:w="1635"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635"/>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2.701.552,57 </w:t>
            </w:r>
          </w:p>
        </w:tc>
        <w:tc>
          <w:tcPr>
            <w:tcW w:w="1637"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637"/>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2.763.823,35 </w:t>
            </w:r>
          </w:p>
        </w:tc>
      </w:tr>
      <w:tr w:rsidR="00DA121A">
        <w:trPr>
          <w:trHeight w:val="490"/>
        </w:trPr>
        <w:tc>
          <w:tcPr>
            <w:tcW w:w="197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rFonts w:ascii="Times New Roman" w:eastAsia="Times New Roman" w:hAnsi="Times New Roman" w:cs="Times New Roman"/>
                <w:sz w:val="18"/>
              </w:rPr>
              <w:t xml:space="preserve">TRANSFERENCIAS CORRIENTES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8" w:firstLine="0"/>
              <w:jc w:val="right"/>
            </w:pPr>
            <w:r>
              <w:rPr>
                <w:rFonts w:ascii="Times New Roman" w:eastAsia="Times New Roman" w:hAnsi="Times New Roman" w:cs="Times New Roman"/>
                <w:sz w:val="18"/>
              </w:rPr>
              <w:t xml:space="preserve">9.543.544,59 </w:t>
            </w:r>
          </w:p>
        </w:tc>
        <w:tc>
          <w:tcPr>
            <w:tcW w:w="1493"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493"/>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9.987.892,03 </w:t>
            </w:r>
          </w:p>
        </w:tc>
        <w:tc>
          <w:tcPr>
            <w:tcW w:w="1635"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635"/>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10.452.928,28 </w:t>
            </w:r>
          </w:p>
        </w:tc>
        <w:tc>
          <w:tcPr>
            <w:tcW w:w="1637"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637"/>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10.939.616,62 </w:t>
            </w:r>
          </w:p>
        </w:tc>
      </w:tr>
      <w:tr w:rsidR="00DA121A">
        <w:trPr>
          <w:trHeight w:val="469"/>
        </w:trPr>
        <w:tc>
          <w:tcPr>
            <w:tcW w:w="1978" w:type="dxa"/>
            <w:tcBorders>
              <w:top w:val="single" w:sz="2" w:space="0" w:color="000000"/>
              <w:left w:val="single" w:sz="2" w:space="0" w:color="000000"/>
              <w:bottom w:val="single" w:sz="2" w:space="0" w:color="000000"/>
              <w:right w:val="single" w:sz="2" w:space="0" w:color="000000"/>
            </w:tcBorders>
          </w:tcPr>
          <w:p w:rsidR="00DA121A" w:rsidRDefault="00904DD6">
            <w:pPr>
              <w:spacing w:after="33" w:line="259" w:lineRule="auto"/>
              <w:ind w:left="79" w:firstLine="0"/>
              <w:jc w:val="left"/>
            </w:pPr>
            <w:r>
              <w:rPr>
                <w:rFonts w:ascii="Times New Roman" w:eastAsia="Times New Roman" w:hAnsi="Times New Roman" w:cs="Times New Roman"/>
                <w:sz w:val="18"/>
              </w:rPr>
              <w:t xml:space="preserve">INGRESOS </w:t>
            </w:r>
          </w:p>
          <w:p w:rsidR="00DA121A" w:rsidRDefault="00904DD6">
            <w:pPr>
              <w:spacing w:after="0" w:line="259" w:lineRule="auto"/>
              <w:ind w:left="79" w:firstLine="0"/>
              <w:jc w:val="left"/>
            </w:pPr>
            <w:r>
              <w:rPr>
                <w:rFonts w:ascii="Times New Roman" w:eastAsia="Times New Roman" w:hAnsi="Times New Roman" w:cs="Times New Roman"/>
                <w:sz w:val="18"/>
              </w:rPr>
              <w:t xml:space="preserve">PATRIMONIALES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7" w:firstLine="0"/>
              <w:jc w:val="right"/>
            </w:pPr>
            <w:r>
              <w:rPr>
                <w:rFonts w:ascii="Times New Roman" w:eastAsia="Times New Roman" w:hAnsi="Times New Roman" w:cs="Times New Roman"/>
                <w:sz w:val="18"/>
              </w:rPr>
              <w:t xml:space="preserve">7.115,00 </w:t>
            </w:r>
          </w:p>
        </w:tc>
        <w:tc>
          <w:tcPr>
            <w:tcW w:w="1493"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93"/>
              </w:tabs>
              <w:spacing w:after="0" w:line="259" w:lineRule="auto"/>
              <w:ind w:left="-1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7.115,00 </w:t>
            </w:r>
          </w:p>
        </w:tc>
        <w:tc>
          <w:tcPr>
            <w:tcW w:w="163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5"/>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7.115,00 </w:t>
            </w:r>
          </w:p>
        </w:tc>
        <w:tc>
          <w:tcPr>
            <w:tcW w:w="1637"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7"/>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7.115,00 </w:t>
            </w:r>
          </w:p>
        </w:tc>
      </w:tr>
      <w:tr w:rsidR="00DA121A">
        <w:trPr>
          <w:trHeight w:val="480"/>
        </w:trPr>
        <w:tc>
          <w:tcPr>
            <w:tcW w:w="197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rFonts w:ascii="Times New Roman" w:eastAsia="Times New Roman" w:hAnsi="Times New Roman" w:cs="Times New Roman"/>
                <w:sz w:val="18"/>
              </w:rPr>
              <w:t xml:space="preserve">TRANSFERENCIAS DE CAPITAL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8" w:firstLine="0"/>
              <w:jc w:val="right"/>
            </w:pPr>
            <w:r>
              <w:rPr>
                <w:rFonts w:ascii="Times New Roman" w:eastAsia="Times New Roman" w:hAnsi="Times New Roman" w:cs="Times New Roman"/>
                <w:sz w:val="18"/>
              </w:rPr>
              <w:t xml:space="preserve">2.003.731,16 </w:t>
            </w:r>
          </w:p>
        </w:tc>
        <w:tc>
          <w:tcPr>
            <w:tcW w:w="1493"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493"/>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2.066.968,92 </w:t>
            </w:r>
          </w:p>
        </w:tc>
        <w:tc>
          <w:tcPr>
            <w:tcW w:w="1635"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635"/>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2.504.256,86 </w:t>
            </w:r>
          </w:p>
        </w:tc>
        <w:tc>
          <w:tcPr>
            <w:tcW w:w="1637"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637"/>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2.583.291,21 </w:t>
            </w:r>
          </w:p>
        </w:tc>
      </w:tr>
      <w:tr w:rsidR="00DA121A">
        <w:trPr>
          <w:trHeight w:val="468"/>
        </w:trPr>
        <w:tc>
          <w:tcPr>
            <w:tcW w:w="197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377" w:firstLine="204"/>
              <w:jc w:val="left"/>
            </w:pPr>
            <w:r>
              <w:rPr>
                <w:rFonts w:ascii="Times New Roman" w:eastAsia="Times New Roman" w:hAnsi="Times New Roman" w:cs="Times New Roman"/>
                <w:sz w:val="18"/>
              </w:rPr>
              <w:t xml:space="preserve">ACTIVOS FINANCIEROS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9" w:firstLine="0"/>
              <w:jc w:val="right"/>
            </w:pPr>
            <w:r>
              <w:rPr>
                <w:rFonts w:ascii="Times New Roman" w:eastAsia="Times New Roman" w:hAnsi="Times New Roman" w:cs="Times New Roman"/>
                <w:sz w:val="18"/>
              </w:rPr>
              <w:t xml:space="preserve">0,00 </w:t>
            </w:r>
          </w:p>
        </w:tc>
        <w:tc>
          <w:tcPr>
            <w:tcW w:w="1493"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93"/>
              </w:tabs>
              <w:spacing w:after="0" w:line="259" w:lineRule="auto"/>
              <w:ind w:left="-1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c>
          <w:tcPr>
            <w:tcW w:w="163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5"/>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c>
          <w:tcPr>
            <w:tcW w:w="1637"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7"/>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r>
      <w:tr w:rsidR="00DA121A">
        <w:trPr>
          <w:trHeight w:val="466"/>
        </w:trPr>
        <w:tc>
          <w:tcPr>
            <w:tcW w:w="197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377" w:firstLine="226"/>
              <w:jc w:val="left"/>
            </w:pPr>
            <w:r>
              <w:rPr>
                <w:rFonts w:ascii="Times New Roman" w:eastAsia="Times New Roman" w:hAnsi="Times New Roman" w:cs="Times New Roman"/>
                <w:sz w:val="18"/>
              </w:rPr>
              <w:t xml:space="preserve">PASIVOS FINANCIEROS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9" w:firstLine="0"/>
              <w:jc w:val="right"/>
            </w:pPr>
            <w:r>
              <w:rPr>
                <w:rFonts w:ascii="Times New Roman" w:eastAsia="Times New Roman" w:hAnsi="Times New Roman" w:cs="Times New Roman"/>
                <w:sz w:val="18"/>
              </w:rPr>
              <w:t xml:space="preserve">0,00 </w:t>
            </w:r>
          </w:p>
        </w:tc>
        <w:tc>
          <w:tcPr>
            <w:tcW w:w="1493"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93"/>
              </w:tabs>
              <w:spacing w:after="0" w:line="259" w:lineRule="auto"/>
              <w:ind w:left="-1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c>
          <w:tcPr>
            <w:tcW w:w="163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5"/>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c>
          <w:tcPr>
            <w:tcW w:w="1637"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7"/>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r>
      <w:tr w:rsidR="00DA121A">
        <w:trPr>
          <w:trHeight w:val="353"/>
        </w:trPr>
        <w:tc>
          <w:tcPr>
            <w:tcW w:w="197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115" w:firstLine="0"/>
              <w:jc w:val="center"/>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8" w:firstLine="0"/>
              <w:jc w:val="right"/>
            </w:pPr>
            <w:r>
              <w:rPr>
                <w:rFonts w:ascii="Times New Roman" w:eastAsia="Times New Roman" w:hAnsi="Times New Roman" w:cs="Times New Roman"/>
                <w:b/>
                <w:sz w:val="18"/>
              </w:rPr>
              <w:t xml:space="preserve">28.052.084,33 </w:t>
            </w:r>
          </w:p>
        </w:tc>
        <w:tc>
          <w:tcPr>
            <w:tcW w:w="1493"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93"/>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28.883.281,46 </w:t>
            </w:r>
          </w:p>
        </w:tc>
        <w:tc>
          <w:tcPr>
            <w:tcW w:w="163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5"/>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30.204.102,24 </w:t>
            </w:r>
          </w:p>
        </w:tc>
        <w:tc>
          <w:tcPr>
            <w:tcW w:w="1637"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37"/>
              </w:tabs>
              <w:spacing w:after="0" w:line="259" w:lineRule="auto"/>
              <w:ind w:left="-7"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31.162.843,57 </w:t>
            </w:r>
          </w:p>
        </w:tc>
      </w:tr>
    </w:tbl>
    <w:p w:rsidR="00DA121A" w:rsidRDefault="00904DD6">
      <w:pPr>
        <w:spacing w:after="0" w:line="259" w:lineRule="auto"/>
        <w:ind w:left="284" w:firstLine="0"/>
        <w:jc w:val="left"/>
      </w:pP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 </w:t>
      </w:r>
    </w:p>
    <w:tbl>
      <w:tblPr>
        <w:tblStyle w:val="TableGrid"/>
        <w:tblW w:w="8224" w:type="dxa"/>
        <w:tblInd w:w="341" w:type="dxa"/>
        <w:tblCellMar>
          <w:top w:w="46" w:type="dxa"/>
          <w:left w:w="0" w:type="dxa"/>
          <w:bottom w:w="58" w:type="dxa"/>
          <w:right w:w="0" w:type="dxa"/>
        </w:tblCellMar>
        <w:tblLook w:val="04A0" w:firstRow="1" w:lastRow="0" w:firstColumn="1" w:lastColumn="0" w:noHBand="0" w:noVBand="1"/>
      </w:tblPr>
      <w:tblGrid>
        <w:gridCol w:w="1853"/>
        <w:gridCol w:w="1425"/>
        <w:gridCol w:w="1669"/>
        <w:gridCol w:w="1636"/>
        <w:gridCol w:w="1641"/>
      </w:tblGrid>
      <w:tr w:rsidR="00DA121A">
        <w:trPr>
          <w:trHeight w:val="732"/>
        </w:trPr>
        <w:tc>
          <w:tcPr>
            <w:tcW w:w="201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6" w:firstLine="0"/>
              <w:jc w:val="center"/>
            </w:pPr>
            <w:r>
              <w:rPr>
                <w:rFonts w:ascii="Times New Roman" w:eastAsia="Times New Roman" w:hAnsi="Times New Roman" w:cs="Times New Roman"/>
                <w:b/>
                <w:sz w:val="18"/>
              </w:rPr>
              <w:t xml:space="preserve">GASTOS </w:t>
            </w:r>
            <w:r>
              <w:rPr>
                <w:rFonts w:ascii="Times New Roman" w:eastAsia="Times New Roman" w:hAnsi="Times New Roman" w:cs="Times New Roman"/>
                <w:sz w:val="24"/>
              </w:rPr>
              <w:t xml:space="preserve"> </w:t>
            </w:r>
          </w:p>
        </w:tc>
        <w:tc>
          <w:tcPr>
            <w:tcW w:w="1426" w:type="dxa"/>
            <w:tcBorders>
              <w:top w:val="single" w:sz="2" w:space="0" w:color="000000"/>
              <w:left w:val="single" w:sz="2" w:space="0" w:color="000000"/>
              <w:bottom w:val="single" w:sz="2" w:space="0" w:color="000000"/>
              <w:right w:val="single" w:sz="2" w:space="0" w:color="000000"/>
            </w:tcBorders>
          </w:tcPr>
          <w:p w:rsidR="00DA121A" w:rsidRDefault="00904DD6">
            <w:pPr>
              <w:spacing w:after="28" w:line="259" w:lineRule="auto"/>
              <w:ind w:left="108" w:firstLine="0"/>
            </w:pPr>
            <w:r>
              <w:rPr>
                <w:rFonts w:ascii="Times New Roman" w:eastAsia="Times New Roman" w:hAnsi="Times New Roman" w:cs="Times New Roman"/>
                <w:b/>
                <w:sz w:val="18"/>
              </w:rPr>
              <w:t>PRESUPUESTO</w:t>
            </w:r>
          </w:p>
          <w:p w:rsidR="00DA121A" w:rsidRDefault="00904DD6">
            <w:pPr>
              <w:spacing w:after="0" w:line="259" w:lineRule="auto"/>
              <w:ind w:left="0" w:right="8" w:firstLine="0"/>
              <w:jc w:val="center"/>
            </w:pPr>
            <w:r>
              <w:rPr>
                <w:rFonts w:ascii="Times New Roman" w:eastAsia="Times New Roman" w:hAnsi="Times New Roman" w:cs="Times New Roman"/>
                <w:b/>
                <w:sz w:val="18"/>
              </w:rPr>
              <w:t xml:space="preserve">2023 </w:t>
            </w:r>
            <w:r>
              <w:rPr>
                <w:rFonts w:ascii="Times New Roman" w:eastAsia="Times New Roman" w:hAnsi="Times New Roman" w:cs="Times New Roman"/>
                <w:sz w:val="24"/>
              </w:rPr>
              <w:t xml:space="preserve"> </w:t>
            </w:r>
          </w:p>
        </w:tc>
        <w:tc>
          <w:tcPr>
            <w:tcW w:w="146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33" w:lineRule="auto"/>
              <w:ind w:left="-10" w:firstLine="0"/>
              <w:jc w:val="center"/>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PREVISIÓN </w:t>
            </w: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PRESUPUESTO </w:t>
            </w:r>
            <w:r>
              <w:rPr>
                <w:rFonts w:ascii="Times New Roman" w:eastAsia="Times New Roman" w:hAnsi="Times New Roman" w:cs="Times New Roman"/>
                <w:sz w:val="24"/>
              </w:rPr>
              <w:t xml:space="preserve"> </w:t>
            </w:r>
          </w:p>
          <w:p w:rsidR="00DA121A" w:rsidRDefault="00904DD6">
            <w:pPr>
              <w:spacing w:after="0" w:line="259" w:lineRule="auto"/>
              <w:ind w:left="0" w:right="6" w:firstLine="0"/>
              <w:jc w:val="center"/>
            </w:pPr>
            <w:r>
              <w:rPr>
                <w:rFonts w:ascii="Times New Roman" w:eastAsia="Times New Roman" w:hAnsi="Times New Roman" w:cs="Times New Roman"/>
                <w:b/>
                <w:sz w:val="18"/>
              </w:rPr>
              <w:t xml:space="preserve">2024 </w:t>
            </w:r>
            <w:r>
              <w:rPr>
                <w:rFonts w:ascii="Times New Roman" w:eastAsia="Times New Roman" w:hAnsi="Times New Roman" w:cs="Times New Roman"/>
                <w:sz w:val="24"/>
              </w:rPr>
              <w:t xml:space="preserve"> </w:t>
            </w:r>
          </w:p>
        </w:tc>
        <w:tc>
          <w:tcPr>
            <w:tcW w:w="165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44" w:firstLine="0"/>
              <w:jc w:val="center"/>
            </w:pPr>
            <w:r>
              <w:rPr>
                <w:rFonts w:ascii="Times New Roman" w:eastAsia="Times New Roman" w:hAnsi="Times New Roman" w:cs="Times New Roman"/>
                <w:b/>
                <w:sz w:val="18"/>
              </w:rPr>
              <w:t xml:space="preserve">PREVISIÓN </w:t>
            </w:r>
          </w:p>
          <w:p w:rsidR="00DA121A" w:rsidRDefault="00904DD6">
            <w:pPr>
              <w:spacing w:after="30" w:line="259" w:lineRule="auto"/>
              <w:ind w:left="197" w:firstLine="0"/>
              <w:jc w:val="left"/>
            </w:pPr>
            <w:r>
              <w:rPr>
                <w:rFonts w:ascii="Times New Roman" w:eastAsia="Times New Roman" w:hAnsi="Times New Roman" w:cs="Times New Roman"/>
                <w:b/>
                <w:sz w:val="18"/>
              </w:rPr>
              <w:t xml:space="preserve">PRESUPUESTO </w:t>
            </w:r>
          </w:p>
          <w:p w:rsidR="00DA121A" w:rsidRDefault="00904DD6">
            <w:pPr>
              <w:spacing w:after="0" w:line="259" w:lineRule="auto"/>
              <w:ind w:left="45" w:firstLine="0"/>
              <w:jc w:val="center"/>
            </w:pPr>
            <w:r>
              <w:rPr>
                <w:rFonts w:ascii="Times New Roman" w:eastAsia="Times New Roman" w:hAnsi="Times New Roman" w:cs="Times New Roman"/>
                <w:b/>
                <w:sz w:val="18"/>
              </w:rPr>
              <w:t xml:space="preserve">2025 </w:t>
            </w:r>
            <w:r>
              <w:rPr>
                <w:rFonts w:ascii="Times New Roman" w:eastAsia="Times New Roman" w:hAnsi="Times New Roman" w:cs="Times New Roman"/>
                <w:sz w:val="24"/>
              </w:rPr>
              <w:t xml:space="preserve"> </w:t>
            </w:r>
          </w:p>
        </w:tc>
        <w:tc>
          <w:tcPr>
            <w:tcW w:w="1661"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43" w:firstLine="0"/>
              <w:jc w:val="center"/>
            </w:pPr>
            <w:r>
              <w:rPr>
                <w:rFonts w:ascii="Times New Roman" w:eastAsia="Times New Roman" w:hAnsi="Times New Roman" w:cs="Times New Roman"/>
                <w:b/>
                <w:sz w:val="18"/>
              </w:rPr>
              <w:t xml:space="preserve">PREVISIÓN </w:t>
            </w:r>
          </w:p>
          <w:p w:rsidR="00DA121A" w:rsidRDefault="00904DD6">
            <w:pPr>
              <w:spacing w:after="30" w:line="259" w:lineRule="auto"/>
              <w:ind w:left="197" w:firstLine="0"/>
              <w:jc w:val="left"/>
            </w:pPr>
            <w:r>
              <w:rPr>
                <w:rFonts w:ascii="Times New Roman" w:eastAsia="Times New Roman" w:hAnsi="Times New Roman" w:cs="Times New Roman"/>
                <w:b/>
                <w:sz w:val="18"/>
              </w:rPr>
              <w:t xml:space="preserve">PRESUPUESTO </w:t>
            </w:r>
          </w:p>
          <w:p w:rsidR="00DA121A" w:rsidRDefault="00904DD6">
            <w:pPr>
              <w:spacing w:after="0" w:line="259" w:lineRule="auto"/>
              <w:ind w:left="39" w:firstLine="0"/>
              <w:jc w:val="center"/>
            </w:pPr>
            <w:r>
              <w:rPr>
                <w:rFonts w:ascii="Times New Roman" w:eastAsia="Times New Roman" w:hAnsi="Times New Roman" w:cs="Times New Roman"/>
                <w:b/>
                <w:sz w:val="18"/>
              </w:rPr>
              <w:t>2026</w:t>
            </w: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r>
      <w:tr w:rsidR="00DA121A">
        <w:trPr>
          <w:trHeight w:val="524"/>
        </w:trPr>
        <w:tc>
          <w:tcPr>
            <w:tcW w:w="201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48" w:right="8" w:firstLine="0"/>
              <w:jc w:val="center"/>
            </w:pPr>
            <w:r>
              <w:rPr>
                <w:rFonts w:ascii="Times New Roman" w:eastAsia="Times New Roman" w:hAnsi="Times New Roman" w:cs="Times New Roman"/>
                <w:sz w:val="18"/>
              </w:rPr>
              <w:t xml:space="preserve">GASTOS DE PERSONAL </w:t>
            </w:r>
            <w:r>
              <w:rPr>
                <w:rFonts w:ascii="Times New Roman" w:eastAsia="Times New Roman" w:hAnsi="Times New Roman" w:cs="Times New Roman"/>
                <w:sz w:val="24"/>
              </w:rPr>
              <w:t xml:space="preserve"> </w:t>
            </w:r>
          </w:p>
        </w:tc>
        <w:tc>
          <w:tcPr>
            <w:tcW w:w="142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rFonts w:ascii="Times New Roman" w:eastAsia="Times New Roman" w:hAnsi="Times New Roman" w:cs="Times New Roman"/>
                <w:sz w:val="18"/>
              </w:rPr>
              <w:t xml:space="preserve">13.780.501,51 </w:t>
            </w:r>
          </w:p>
        </w:tc>
        <w:tc>
          <w:tcPr>
            <w:tcW w:w="146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66"/>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14.056.111,54 </w:t>
            </w:r>
          </w:p>
        </w:tc>
        <w:tc>
          <w:tcPr>
            <w:tcW w:w="165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56"/>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14.337.233,77 </w:t>
            </w:r>
          </w:p>
        </w:tc>
        <w:tc>
          <w:tcPr>
            <w:tcW w:w="166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6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14.623.978,45 </w:t>
            </w:r>
          </w:p>
        </w:tc>
      </w:tr>
      <w:tr w:rsidR="00DA121A">
        <w:trPr>
          <w:trHeight w:val="732"/>
        </w:trPr>
        <w:tc>
          <w:tcPr>
            <w:tcW w:w="201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199" w:firstLine="0"/>
              <w:jc w:val="left"/>
            </w:pPr>
            <w:r>
              <w:rPr>
                <w:rFonts w:ascii="Times New Roman" w:eastAsia="Times New Roman" w:hAnsi="Times New Roman" w:cs="Times New Roman"/>
                <w:sz w:val="18"/>
              </w:rPr>
              <w:t xml:space="preserve">GASTOS EN BIENES </w:t>
            </w:r>
          </w:p>
          <w:p w:rsidR="00DA121A" w:rsidRDefault="00904DD6">
            <w:pPr>
              <w:spacing w:after="0" w:line="259" w:lineRule="auto"/>
              <w:ind w:left="0" w:firstLine="0"/>
              <w:jc w:val="center"/>
            </w:pPr>
            <w:r>
              <w:rPr>
                <w:rFonts w:ascii="Times New Roman" w:eastAsia="Times New Roman" w:hAnsi="Times New Roman" w:cs="Times New Roman"/>
                <w:sz w:val="18"/>
              </w:rPr>
              <w:t xml:space="preserve">CORRIENTES Y SERVICIOS </w:t>
            </w:r>
            <w:r>
              <w:rPr>
                <w:rFonts w:ascii="Times New Roman" w:eastAsia="Times New Roman" w:hAnsi="Times New Roman" w:cs="Times New Roman"/>
                <w:sz w:val="24"/>
              </w:rPr>
              <w:t xml:space="preserve"> </w:t>
            </w:r>
          </w:p>
        </w:tc>
        <w:tc>
          <w:tcPr>
            <w:tcW w:w="1426" w:type="dxa"/>
            <w:tcBorders>
              <w:top w:val="single" w:sz="2" w:space="0" w:color="000000"/>
              <w:left w:val="single" w:sz="2" w:space="0" w:color="000000"/>
              <w:bottom w:val="single" w:sz="2" w:space="0" w:color="000000"/>
              <w:right w:val="single" w:sz="2" w:space="0" w:color="000000"/>
            </w:tcBorders>
            <w:vAlign w:val="bottom"/>
          </w:tcPr>
          <w:p w:rsidR="00DA121A" w:rsidRDefault="00904DD6">
            <w:pPr>
              <w:spacing w:after="0" w:line="259" w:lineRule="auto"/>
              <w:ind w:left="0" w:right="53" w:firstLine="0"/>
              <w:jc w:val="right"/>
            </w:pPr>
            <w:r>
              <w:rPr>
                <w:rFonts w:ascii="Times New Roman" w:eastAsia="Times New Roman" w:hAnsi="Times New Roman" w:cs="Times New Roman"/>
                <w:sz w:val="18"/>
              </w:rPr>
              <w:t xml:space="preserve">11.139.342,11 </w:t>
            </w:r>
          </w:p>
        </w:tc>
        <w:tc>
          <w:tcPr>
            <w:tcW w:w="1466" w:type="dxa"/>
            <w:tcBorders>
              <w:top w:val="single" w:sz="2" w:space="0" w:color="000000"/>
              <w:left w:val="single" w:sz="2" w:space="0" w:color="000000"/>
              <w:bottom w:val="single" w:sz="2" w:space="0" w:color="000000"/>
              <w:right w:val="single" w:sz="2" w:space="0" w:color="000000"/>
            </w:tcBorders>
            <w:vAlign w:val="bottom"/>
          </w:tcPr>
          <w:p w:rsidR="00DA121A" w:rsidRDefault="00904DD6">
            <w:pPr>
              <w:tabs>
                <w:tab w:val="right" w:pos="1466"/>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12.476.063,16 </w:t>
            </w:r>
          </w:p>
        </w:tc>
        <w:tc>
          <w:tcPr>
            <w:tcW w:w="1656" w:type="dxa"/>
            <w:tcBorders>
              <w:top w:val="single" w:sz="2" w:space="0" w:color="000000"/>
              <w:left w:val="single" w:sz="2" w:space="0" w:color="000000"/>
              <w:bottom w:val="single" w:sz="2" w:space="0" w:color="000000"/>
              <w:right w:val="single" w:sz="2" w:space="0" w:color="000000"/>
            </w:tcBorders>
            <w:vAlign w:val="bottom"/>
          </w:tcPr>
          <w:p w:rsidR="00DA121A" w:rsidRDefault="00904DD6">
            <w:pPr>
              <w:tabs>
                <w:tab w:val="right" w:pos="1656"/>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13.252.494,45 </w:t>
            </w:r>
          </w:p>
        </w:tc>
        <w:tc>
          <w:tcPr>
            <w:tcW w:w="1661" w:type="dxa"/>
            <w:tcBorders>
              <w:top w:val="single" w:sz="2" w:space="0" w:color="000000"/>
              <w:left w:val="single" w:sz="2" w:space="0" w:color="000000"/>
              <w:bottom w:val="single" w:sz="2" w:space="0" w:color="000000"/>
              <w:right w:val="single" w:sz="2" w:space="0" w:color="000000"/>
            </w:tcBorders>
            <w:vAlign w:val="bottom"/>
          </w:tcPr>
          <w:p w:rsidR="00DA121A" w:rsidRDefault="00904DD6">
            <w:pPr>
              <w:tabs>
                <w:tab w:val="right" w:pos="166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13.874.603,62 </w:t>
            </w:r>
          </w:p>
        </w:tc>
      </w:tr>
      <w:tr w:rsidR="00DA121A">
        <w:trPr>
          <w:trHeight w:val="526"/>
        </w:trPr>
        <w:tc>
          <w:tcPr>
            <w:tcW w:w="201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61" w:right="24" w:firstLine="0"/>
              <w:jc w:val="center"/>
            </w:pPr>
            <w:r>
              <w:rPr>
                <w:rFonts w:ascii="Times New Roman" w:eastAsia="Times New Roman" w:hAnsi="Times New Roman" w:cs="Times New Roman"/>
                <w:sz w:val="18"/>
              </w:rPr>
              <w:t xml:space="preserve">GASTOS FINANCIEROS </w:t>
            </w:r>
            <w:r>
              <w:rPr>
                <w:rFonts w:ascii="Times New Roman" w:eastAsia="Times New Roman" w:hAnsi="Times New Roman" w:cs="Times New Roman"/>
                <w:sz w:val="24"/>
              </w:rPr>
              <w:t xml:space="preserve"> </w:t>
            </w:r>
          </w:p>
        </w:tc>
        <w:tc>
          <w:tcPr>
            <w:tcW w:w="142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60" w:firstLine="0"/>
              <w:jc w:val="right"/>
            </w:pPr>
            <w:r>
              <w:rPr>
                <w:rFonts w:ascii="Times New Roman" w:eastAsia="Times New Roman" w:hAnsi="Times New Roman" w:cs="Times New Roman"/>
                <w:sz w:val="18"/>
              </w:rPr>
              <w:t xml:space="preserve">85.000,00 </w:t>
            </w:r>
          </w:p>
        </w:tc>
        <w:tc>
          <w:tcPr>
            <w:tcW w:w="146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66"/>
              </w:tabs>
              <w:spacing w:after="0" w:line="259" w:lineRule="auto"/>
              <w:ind w:left="-1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50.000,00 </w:t>
            </w:r>
          </w:p>
        </w:tc>
        <w:tc>
          <w:tcPr>
            <w:tcW w:w="165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56"/>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50.000,00 </w:t>
            </w:r>
          </w:p>
        </w:tc>
        <w:tc>
          <w:tcPr>
            <w:tcW w:w="166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6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50.000,00 </w:t>
            </w:r>
          </w:p>
        </w:tc>
      </w:tr>
      <w:tr w:rsidR="00DA121A">
        <w:trPr>
          <w:trHeight w:val="542"/>
        </w:trPr>
        <w:tc>
          <w:tcPr>
            <w:tcW w:w="201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rFonts w:ascii="Times New Roman" w:eastAsia="Times New Roman" w:hAnsi="Times New Roman" w:cs="Times New Roman"/>
                <w:sz w:val="18"/>
              </w:rPr>
              <w:t xml:space="preserve">TRANSFERENCIAS CORRIENTES </w:t>
            </w:r>
            <w:r>
              <w:rPr>
                <w:rFonts w:ascii="Times New Roman" w:eastAsia="Times New Roman" w:hAnsi="Times New Roman" w:cs="Times New Roman"/>
                <w:sz w:val="24"/>
              </w:rPr>
              <w:t xml:space="preserve"> </w:t>
            </w:r>
          </w:p>
        </w:tc>
        <w:tc>
          <w:tcPr>
            <w:tcW w:w="1426" w:type="dxa"/>
            <w:tcBorders>
              <w:top w:val="single" w:sz="2" w:space="0" w:color="000000"/>
              <w:left w:val="single" w:sz="2" w:space="0" w:color="000000"/>
              <w:bottom w:val="single" w:sz="2" w:space="0" w:color="000000"/>
              <w:right w:val="single" w:sz="2" w:space="0" w:color="000000"/>
            </w:tcBorders>
            <w:vAlign w:val="bottom"/>
          </w:tcPr>
          <w:p w:rsidR="00DA121A" w:rsidRDefault="00904DD6">
            <w:pPr>
              <w:spacing w:after="0" w:line="259" w:lineRule="auto"/>
              <w:ind w:left="0" w:right="56" w:firstLine="0"/>
              <w:jc w:val="right"/>
            </w:pPr>
            <w:r>
              <w:rPr>
                <w:rFonts w:ascii="Times New Roman" w:eastAsia="Times New Roman" w:hAnsi="Times New Roman" w:cs="Times New Roman"/>
                <w:sz w:val="18"/>
              </w:rPr>
              <w:t xml:space="preserve">2.076.645,68 </w:t>
            </w:r>
          </w:p>
        </w:tc>
        <w:tc>
          <w:tcPr>
            <w:tcW w:w="1466" w:type="dxa"/>
            <w:tcBorders>
              <w:top w:val="single" w:sz="2" w:space="0" w:color="000000"/>
              <w:left w:val="single" w:sz="2" w:space="0" w:color="000000"/>
              <w:bottom w:val="single" w:sz="2" w:space="0" w:color="000000"/>
              <w:right w:val="single" w:sz="2" w:space="0" w:color="000000"/>
            </w:tcBorders>
            <w:vAlign w:val="bottom"/>
          </w:tcPr>
          <w:p w:rsidR="00DA121A" w:rsidRDefault="00904DD6">
            <w:pPr>
              <w:tabs>
                <w:tab w:val="right" w:pos="1466"/>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1.824.332,38 </w:t>
            </w:r>
          </w:p>
        </w:tc>
        <w:tc>
          <w:tcPr>
            <w:tcW w:w="1656" w:type="dxa"/>
            <w:tcBorders>
              <w:top w:val="single" w:sz="2" w:space="0" w:color="000000"/>
              <w:left w:val="single" w:sz="2" w:space="0" w:color="000000"/>
              <w:bottom w:val="single" w:sz="2" w:space="0" w:color="000000"/>
              <w:right w:val="single" w:sz="2" w:space="0" w:color="000000"/>
            </w:tcBorders>
            <w:vAlign w:val="bottom"/>
          </w:tcPr>
          <w:p w:rsidR="00DA121A" w:rsidRDefault="00904DD6">
            <w:pPr>
              <w:tabs>
                <w:tab w:val="right" w:pos="1656"/>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2.160.819,03 </w:t>
            </w:r>
          </w:p>
        </w:tc>
        <w:tc>
          <w:tcPr>
            <w:tcW w:w="1661" w:type="dxa"/>
            <w:tcBorders>
              <w:top w:val="single" w:sz="2" w:space="0" w:color="000000"/>
              <w:left w:val="single" w:sz="2" w:space="0" w:color="000000"/>
              <w:bottom w:val="single" w:sz="2" w:space="0" w:color="000000"/>
              <w:right w:val="single" w:sz="2" w:space="0" w:color="000000"/>
            </w:tcBorders>
            <w:vAlign w:val="bottom"/>
          </w:tcPr>
          <w:p w:rsidR="00DA121A" w:rsidRDefault="00904DD6">
            <w:pPr>
              <w:tabs>
                <w:tab w:val="right" w:pos="166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2.204.035,41 </w:t>
            </w:r>
          </w:p>
        </w:tc>
      </w:tr>
      <w:tr w:rsidR="00DA121A">
        <w:trPr>
          <w:trHeight w:val="526"/>
        </w:trPr>
        <w:tc>
          <w:tcPr>
            <w:tcW w:w="201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76" w:right="34" w:firstLine="0"/>
              <w:jc w:val="center"/>
            </w:pPr>
            <w:r>
              <w:rPr>
                <w:rFonts w:ascii="Times New Roman" w:eastAsia="Times New Roman" w:hAnsi="Times New Roman" w:cs="Times New Roman"/>
                <w:sz w:val="18"/>
              </w:rPr>
              <w:t xml:space="preserve">INVERSIONES REALES </w:t>
            </w:r>
            <w:r>
              <w:rPr>
                <w:rFonts w:ascii="Times New Roman" w:eastAsia="Times New Roman" w:hAnsi="Times New Roman" w:cs="Times New Roman"/>
                <w:sz w:val="24"/>
              </w:rPr>
              <w:t xml:space="preserve"> </w:t>
            </w:r>
          </w:p>
        </w:tc>
        <w:tc>
          <w:tcPr>
            <w:tcW w:w="142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7" w:firstLine="0"/>
              <w:jc w:val="right"/>
            </w:pPr>
            <w:r>
              <w:rPr>
                <w:rFonts w:ascii="Times New Roman" w:eastAsia="Times New Roman" w:hAnsi="Times New Roman" w:cs="Times New Roman"/>
                <w:sz w:val="18"/>
              </w:rPr>
              <w:t xml:space="preserve">899.943,32 </w:t>
            </w:r>
          </w:p>
        </w:tc>
        <w:tc>
          <w:tcPr>
            <w:tcW w:w="146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66"/>
              </w:tabs>
              <w:spacing w:after="0" w:line="259" w:lineRule="auto"/>
              <w:ind w:left="-1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406.774,38 </w:t>
            </w:r>
          </w:p>
        </w:tc>
        <w:tc>
          <w:tcPr>
            <w:tcW w:w="165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56"/>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333.554,99 </w:t>
            </w:r>
          </w:p>
        </w:tc>
        <w:tc>
          <w:tcPr>
            <w:tcW w:w="166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6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340.226,09 </w:t>
            </w:r>
          </w:p>
        </w:tc>
      </w:tr>
      <w:tr w:rsidR="00DA121A">
        <w:trPr>
          <w:trHeight w:val="542"/>
        </w:trPr>
        <w:tc>
          <w:tcPr>
            <w:tcW w:w="201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rFonts w:ascii="Times New Roman" w:eastAsia="Times New Roman" w:hAnsi="Times New Roman" w:cs="Times New Roman"/>
                <w:sz w:val="18"/>
              </w:rPr>
              <w:t xml:space="preserve">TRANSFERENCIAS DE CAPITAL </w:t>
            </w:r>
            <w:r>
              <w:rPr>
                <w:rFonts w:ascii="Times New Roman" w:eastAsia="Times New Roman" w:hAnsi="Times New Roman" w:cs="Times New Roman"/>
                <w:sz w:val="24"/>
              </w:rPr>
              <w:t xml:space="preserve"> </w:t>
            </w:r>
          </w:p>
        </w:tc>
        <w:tc>
          <w:tcPr>
            <w:tcW w:w="1426" w:type="dxa"/>
            <w:tcBorders>
              <w:top w:val="single" w:sz="2" w:space="0" w:color="000000"/>
              <w:left w:val="single" w:sz="2" w:space="0" w:color="000000"/>
              <w:bottom w:val="single" w:sz="2" w:space="0" w:color="000000"/>
              <w:right w:val="single" w:sz="2" w:space="0" w:color="000000"/>
            </w:tcBorders>
            <w:vAlign w:val="bottom"/>
          </w:tcPr>
          <w:p w:rsidR="00DA121A" w:rsidRDefault="00904DD6">
            <w:pPr>
              <w:spacing w:after="0" w:line="259" w:lineRule="auto"/>
              <w:ind w:left="0" w:right="60" w:firstLine="0"/>
              <w:jc w:val="right"/>
            </w:pPr>
            <w:r>
              <w:rPr>
                <w:rFonts w:ascii="Times New Roman" w:eastAsia="Times New Roman" w:hAnsi="Times New Roman" w:cs="Times New Roman"/>
                <w:sz w:val="18"/>
              </w:rPr>
              <w:t xml:space="preserve">20.000,00 </w:t>
            </w:r>
          </w:p>
        </w:tc>
        <w:tc>
          <w:tcPr>
            <w:tcW w:w="1466"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466"/>
              </w:tabs>
              <w:spacing w:after="0" w:line="259" w:lineRule="auto"/>
              <w:ind w:left="-1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20.000,00 </w:t>
            </w:r>
          </w:p>
        </w:tc>
        <w:tc>
          <w:tcPr>
            <w:tcW w:w="1656"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656"/>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20.000,00 </w:t>
            </w:r>
          </w:p>
        </w:tc>
        <w:tc>
          <w:tcPr>
            <w:tcW w:w="1661" w:type="dxa"/>
            <w:tcBorders>
              <w:top w:val="single" w:sz="2" w:space="0" w:color="000000"/>
              <w:left w:val="single" w:sz="2" w:space="0" w:color="000000"/>
              <w:bottom w:val="single" w:sz="2" w:space="0" w:color="000000"/>
              <w:right w:val="single" w:sz="2" w:space="0" w:color="000000"/>
            </w:tcBorders>
            <w:vAlign w:val="center"/>
          </w:tcPr>
          <w:p w:rsidR="00DA121A" w:rsidRDefault="00904DD6">
            <w:pPr>
              <w:tabs>
                <w:tab w:val="right" w:pos="166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20.000,00 </w:t>
            </w:r>
          </w:p>
        </w:tc>
      </w:tr>
      <w:tr w:rsidR="00DA121A">
        <w:trPr>
          <w:trHeight w:val="526"/>
        </w:trPr>
        <w:tc>
          <w:tcPr>
            <w:tcW w:w="201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21" w:firstLine="0"/>
              <w:jc w:val="center"/>
            </w:pPr>
            <w:r>
              <w:rPr>
                <w:rFonts w:ascii="Times New Roman" w:eastAsia="Times New Roman" w:hAnsi="Times New Roman" w:cs="Times New Roman"/>
                <w:sz w:val="18"/>
              </w:rPr>
              <w:t xml:space="preserve">ACTIVOS FINANCIEROS </w:t>
            </w:r>
            <w:r>
              <w:rPr>
                <w:rFonts w:ascii="Times New Roman" w:eastAsia="Times New Roman" w:hAnsi="Times New Roman" w:cs="Times New Roman"/>
                <w:sz w:val="24"/>
              </w:rPr>
              <w:t xml:space="preserve"> </w:t>
            </w:r>
          </w:p>
        </w:tc>
        <w:tc>
          <w:tcPr>
            <w:tcW w:w="142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60" w:firstLine="0"/>
              <w:jc w:val="right"/>
            </w:pPr>
            <w:r>
              <w:rPr>
                <w:rFonts w:ascii="Times New Roman" w:eastAsia="Times New Roman" w:hAnsi="Times New Roman" w:cs="Times New Roman"/>
                <w:sz w:val="18"/>
              </w:rPr>
              <w:t xml:space="preserve">50.000,00 </w:t>
            </w:r>
          </w:p>
        </w:tc>
        <w:tc>
          <w:tcPr>
            <w:tcW w:w="146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66"/>
              </w:tabs>
              <w:spacing w:after="0" w:line="259" w:lineRule="auto"/>
              <w:ind w:left="-1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50.000,00 </w:t>
            </w:r>
          </w:p>
        </w:tc>
        <w:tc>
          <w:tcPr>
            <w:tcW w:w="165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56"/>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50.000,00 </w:t>
            </w:r>
          </w:p>
        </w:tc>
        <w:tc>
          <w:tcPr>
            <w:tcW w:w="166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6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50.000,00 </w:t>
            </w:r>
          </w:p>
        </w:tc>
      </w:tr>
      <w:tr w:rsidR="00DA121A">
        <w:trPr>
          <w:trHeight w:val="526"/>
        </w:trPr>
        <w:tc>
          <w:tcPr>
            <w:tcW w:w="201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45" w:right="2" w:firstLine="0"/>
              <w:jc w:val="center"/>
            </w:pPr>
            <w:r>
              <w:rPr>
                <w:rFonts w:ascii="Times New Roman" w:eastAsia="Times New Roman" w:hAnsi="Times New Roman" w:cs="Times New Roman"/>
                <w:sz w:val="18"/>
              </w:rPr>
              <w:t xml:space="preserve">PASIVOS FINANCIEROS </w:t>
            </w:r>
            <w:r>
              <w:rPr>
                <w:rFonts w:ascii="Times New Roman" w:eastAsia="Times New Roman" w:hAnsi="Times New Roman" w:cs="Times New Roman"/>
                <w:sz w:val="24"/>
              </w:rPr>
              <w:t xml:space="preserve"> </w:t>
            </w:r>
          </w:p>
        </w:tc>
        <w:tc>
          <w:tcPr>
            <w:tcW w:w="142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9" w:firstLine="0"/>
              <w:jc w:val="right"/>
            </w:pPr>
            <w:r>
              <w:rPr>
                <w:rFonts w:ascii="Times New Roman" w:eastAsia="Times New Roman" w:hAnsi="Times New Roman" w:cs="Times New Roman"/>
                <w:sz w:val="18"/>
              </w:rPr>
              <w:t xml:space="preserve">0,00 </w:t>
            </w:r>
          </w:p>
        </w:tc>
        <w:tc>
          <w:tcPr>
            <w:tcW w:w="146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66"/>
              </w:tabs>
              <w:spacing w:after="0" w:line="259" w:lineRule="auto"/>
              <w:ind w:left="-1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c>
          <w:tcPr>
            <w:tcW w:w="165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56"/>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c>
          <w:tcPr>
            <w:tcW w:w="166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6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r>
      <w:tr w:rsidR="00DA121A">
        <w:trPr>
          <w:trHeight w:val="456"/>
        </w:trPr>
        <w:tc>
          <w:tcPr>
            <w:tcW w:w="201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c>
          <w:tcPr>
            <w:tcW w:w="142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rFonts w:ascii="Times New Roman" w:eastAsia="Times New Roman" w:hAnsi="Times New Roman" w:cs="Times New Roman"/>
                <w:b/>
                <w:sz w:val="18"/>
              </w:rPr>
              <w:t xml:space="preserve">28.051.432,62 </w:t>
            </w:r>
          </w:p>
        </w:tc>
        <w:tc>
          <w:tcPr>
            <w:tcW w:w="146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66"/>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28.883.281,46 </w:t>
            </w:r>
          </w:p>
        </w:tc>
        <w:tc>
          <w:tcPr>
            <w:tcW w:w="1656"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56"/>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30.204.102,24 </w:t>
            </w:r>
          </w:p>
        </w:tc>
        <w:tc>
          <w:tcPr>
            <w:tcW w:w="166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66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31.162.843,57 </w:t>
            </w:r>
          </w:p>
        </w:tc>
      </w:tr>
    </w:tbl>
    <w:p w:rsidR="00DA121A" w:rsidRDefault="00904DD6">
      <w:pPr>
        <w:spacing w:after="0" w:line="259" w:lineRule="auto"/>
        <w:ind w:left="284" w:firstLine="0"/>
        <w:jc w:val="left"/>
      </w:pPr>
      <w:r>
        <w:rPr>
          <w:rFonts w:ascii="Times New Roman" w:eastAsia="Times New Roman" w:hAnsi="Times New Roman" w:cs="Times New Roman"/>
          <w:b/>
          <w:sz w:val="20"/>
        </w:rPr>
        <w:t xml:space="preserve"> </w:t>
      </w:r>
      <w:r>
        <w:rPr>
          <w:rFonts w:ascii="Times New Roman" w:eastAsia="Times New Roman" w:hAnsi="Times New Roman" w:cs="Times New Roman"/>
          <w:sz w:val="24"/>
        </w:rPr>
        <w:t xml:space="preserve"> </w:t>
      </w:r>
    </w:p>
    <w:tbl>
      <w:tblPr>
        <w:tblStyle w:val="TableGrid"/>
        <w:tblW w:w="8435" w:type="dxa"/>
        <w:tblInd w:w="341" w:type="dxa"/>
        <w:tblCellMar>
          <w:top w:w="46" w:type="dxa"/>
          <w:left w:w="0" w:type="dxa"/>
          <w:bottom w:w="0" w:type="dxa"/>
          <w:right w:w="7" w:type="dxa"/>
        </w:tblCellMar>
        <w:tblLook w:val="04A0" w:firstRow="1" w:lastRow="0" w:firstColumn="1" w:lastColumn="0" w:noHBand="0" w:noVBand="1"/>
      </w:tblPr>
      <w:tblGrid>
        <w:gridCol w:w="2402"/>
        <w:gridCol w:w="1429"/>
        <w:gridCol w:w="1541"/>
        <w:gridCol w:w="1538"/>
        <w:gridCol w:w="1525"/>
      </w:tblGrid>
      <w:tr w:rsidR="00DA121A">
        <w:trPr>
          <w:trHeight w:val="674"/>
        </w:trPr>
        <w:tc>
          <w:tcPr>
            <w:tcW w:w="2402"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2" w:firstLine="0"/>
              <w:jc w:val="center"/>
            </w:pPr>
            <w:r>
              <w:rPr>
                <w:rFonts w:ascii="Times New Roman" w:eastAsia="Times New Roman" w:hAnsi="Times New Roman" w:cs="Times New Roman"/>
                <w:b/>
                <w:sz w:val="18"/>
              </w:rPr>
              <w:t xml:space="preserve">INGRESOS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28" w:line="259" w:lineRule="auto"/>
              <w:ind w:left="110" w:firstLine="0"/>
            </w:pPr>
            <w:r>
              <w:rPr>
                <w:rFonts w:ascii="Times New Roman" w:eastAsia="Times New Roman" w:hAnsi="Times New Roman" w:cs="Times New Roman"/>
                <w:b/>
                <w:sz w:val="18"/>
              </w:rPr>
              <w:t>PRESUPUESTO</w:t>
            </w:r>
          </w:p>
          <w:p w:rsidR="00DA121A" w:rsidRDefault="00904DD6">
            <w:pPr>
              <w:spacing w:after="0" w:line="259" w:lineRule="auto"/>
              <w:ind w:left="2" w:firstLine="0"/>
              <w:jc w:val="center"/>
            </w:pPr>
            <w:r>
              <w:rPr>
                <w:rFonts w:ascii="Times New Roman" w:eastAsia="Times New Roman" w:hAnsi="Times New Roman" w:cs="Times New Roman"/>
                <w:b/>
                <w:sz w:val="18"/>
              </w:rPr>
              <w:t xml:space="preserve">2022 </w:t>
            </w:r>
            <w:r>
              <w:rPr>
                <w:rFonts w:ascii="Times New Roman" w:eastAsia="Times New Roman" w:hAnsi="Times New Roman" w:cs="Times New Roman"/>
                <w:sz w:val="24"/>
              </w:rPr>
              <w:t xml:space="preserve"> </w:t>
            </w:r>
          </w:p>
        </w:tc>
        <w:tc>
          <w:tcPr>
            <w:tcW w:w="1541" w:type="dxa"/>
            <w:tcBorders>
              <w:top w:val="single" w:sz="2" w:space="0" w:color="000000"/>
              <w:left w:val="single" w:sz="2" w:space="0" w:color="000000"/>
              <w:bottom w:val="single" w:sz="2" w:space="0" w:color="000000"/>
              <w:right w:val="single" w:sz="2" w:space="0" w:color="000000"/>
            </w:tcBorders>
          </w:tcPr>
          <w:p w:rsidR="00DA121A" w:rsidRDefault="00904DD6">
            <w:pPr>
              <w:tabs>
                <w:tab w:val="center" w:pos="792"/>
              </w:tabs>
              <w:spacing w:after="0" w:line="259" w:lineRule="auto"/>
              <w:ind w:left="-10"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PREVISIÓN </w:t>
            </w:r>
          </w:p>
          <w:p w:rsidR="00DA121A" w:rsidRDefault="00904DD6">
            <w:pPr>
              <w:spacing w:after="28" w:line="259" w:lineRule="auto"/>
              <w:ind w:left="139" w:firstLine="0"/>
              <w:jc w:val="left"/>
            </w:pPr>
            <w:r>
              <w:rPr>
                <w:rFonts w:ascii="Times New Roman" w:eastAsia="Times New Roman" w:hAnsi="Times New Roman" w:cs="Times New Roman"/>
                <w:b/>
                <w:sz w:val="18"/>
              </w:rPr>
              <w:t xml:space="preserve">PRESUPUESTO </w:t>
            </w:r>
          </w:p>
          <w:p w:rsidR="00DA121A" w:rsidRDefault="00904DD6">
            <w:pPr>
              <w:spacing w:after="0" w:line="259" w:lineRule="auto"/>
              <w:ind w:left="51" w:firstLine="0"/>
              <w:jc w:val="center"/>
            </w:pPr>
            <w:r>
              <w:rPr>
                <w:rFonts w:ascii="Times New Roman" w:eastAsia="Times New Roman" w:hAnsi="Times New Roman" w:cs="Times New Roman"/>
                <w:b/>
                <w:sz w:val="18"/>
              </w:rPr>
              <w:t xml:space="preserve">2023 </w:t>
            </w:r>
            <w:r>
              <w:rPr>
                <w:rFonts w:ascii="Times New Roman" w:eastAsia="Times New Roman" w:hAnsi="Times New Roman" w:cs="Times New Roman"/>
                <w:sz w:val="24"/>
              </w:rPr>
              <w:t xml:space="preserve"> </w:t>
            </w:r>
          </w:p>
        </w:tc>
        <w:tc>
          <w:tcPr>
            <w:tcW w:w="153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3" w:firstLine="0"/>
              <w:jc w:val="center"/>
            </w:pPr>
            <w:r>
              <w:rPr>
                <w:rFonts w:ascii="Times New Roman" w:eastAsia="Times New Roman" w:hAnsi="Times New Roman" w:cs="Times New Roman"/>
                <w:b/>
                <w:sz w:val="18"/>
              </w:rPr>
              <w:t xml:space="preserve">PREVISIÓN </w:t>
            </w:r>
          </w:p>
          <w:p w:rsidR="00DA121A" w:rsidRDefault="00904DD6">
            <w:pPr>
              <w:spacing w:after="28" w:line="259" w:lineRule="auto"/>
              <w:ind w:left="137" w:firstLine="0"/>
              <w:jc w:val="left"/>
            </w:pPr>
            <w:r>
              <w:rPr>
                <w:rFonts w:ascii="Times New Roman" w:eastAsia="Times New Roman" w:hAnsi="Times New Roman" w:cs="Times New Roman"/>
                <w:b/>
                <w:sz w:val="18"/>
              </w:rPr>
              <w:t xml:space="preserve">PRESUPUESTO </w:t>
            </w:r>
          </w:p>
          <w:p w:rsidR="00DA121A" w:rsidRDefault="00904DD6">
            <w:pPr>
              <w:spacing w:after="0" w:line="259" w:lineRule="auto"/>
              <w:ind w:left="49" w:firstLine="0"/>
              <w:jc w:val="center"/>
            </w:pPr>
            <w:r>
              <w:rPr>
                <w:rFonts w:ascii="Times New Roman" w:eastAsia="Times New Roman" w:hAnsi="Times New Roman" w:cs="Times New Roman"/>
                <w:b/>
                <w:sz w:val="18"/>
              </w:rPr>
              <w:t xml:space="preserve">2024 </w:t>
            </w:r>
            <w:r>
              <w:rPr>
                <w:rFonts w:ascii="Times New Roman" w:eastAsia="Times New Roman" w:hAnsi="Times New Roman" w:cs="Times New Roman"/>
                <w:sz w:val="24"/>
              </w:rPr>
              <w:t xml:space="preserve"> </w:t>
            </w:r>
          </w:p>
        </w:tc>
        <w:tc>
          <w:tcPr>
            <w:tcW w:w="15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2" w:firstLine="0"/>
              <w:jc w:val="center"/>
            </w:pPr>
            <w:r>
              <w:rPr>
                <w:rFonts w:ascii="Times New Roman" w:eastAsia="Times New Roman" w:hAnsi="Times New Roman" w:cs="Times New Roman"/>
                <w:b/>
                <w:sz w:val="18"/>
              </w:rPr>
              <w:t xml:space="preserve">PREVISIÓN </w:t>
            </w:r>
          </w:p>
          <w:p w:rsidR="00DA121A" w:rsidRDefault="00904DD6">
            <w:pPr>
              <w:spacing w:after="28" w:line="259" w:lineRule="auto"/>
              <w:ind w:left="130" w:firstLine="0"/>
              <w:jc w:val="left"/>
            </w:pPr>
            <w:r>
              <w:rPr>
                <w:rFonts w:ascii="Times New Roman" w:eastAsia="Times New Roman" w:hAnsi="Times New Roman" w:cs="Times New Roman"/>
                <w:b/>
                <w:sz w:val="18"/>
              </w:rPr>
              <w:t xml:space="preserve">PRESUPUESTO </w:t>
            </w:r>
          </w:p>
          <w:p w:rsidR="00DA121A" w:rsidRDefault="00904DD6">
            <w:pPr>
              <w:spacing w:after="0" w:line="259" w:lineRule="auto"/>
              <w:ind w:left="48" w:firstLine="0"/>
              <w:jc w:val="center"/>
            </w:pPr>
            <w:r>
              <w:rPr>
                <w:rFonts w:ascii="Times New Roman" w:eastAsia="Times New Roman" w:hAnsi="Times New Roman" w:cs="Times New Roman"/>
                <w:b/>
                <w:sz w:val="18"/>
              </w:rPr>
              <w:t>2025</w:t>
            </w:r>
            <w:r>
              <w:rPr>
                <w:rFonts w:ascii="Times New Roman" w:eastAsia="Times New Roman" w:hAnsi="Times New Roman" w:cs="Times New Roman"/>
                <w:sz w:val="18"/>
              </w:rPr>
              <w:t xml:space="preserve"> </w:t>
            </w:r>
            <w:r>
              <w:rPr>
                <w:rFonts w:ascii="Times New Roman" w:eastAsia="Times New Roman" w:hAnsi="Times New Roman" w:cs="Times New Roman"/>
                <w:sz w:val="24"/>
              </w:rPr>
              <w:t xml:space="preserve"> </w:t>
            </w:r>
          </w:p>
        </w:tc>
      </w:tr>
      <w:tr w:rsidR="00DA121A">
        <w:trPr>
          <w:trHeight w:val="350"/>
        </w:trPr>
        <w:tc>
          <w:tcPr>
            <w:tcW w:w="240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rFonts w:ascii="Times New Roman" w:eastAsia="Times New Roman" w:hAnsi="Times New Roman" w:cs="Times New Roman"/>
                <w:sz w:val="18"/>
              </w:rPr>
              <w:t xml:space="preserve">IMPUESTOS DIRECTOS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48" w:firstLine="0"/>
              <w:jc w:val="right"/>
            </w:pPr>
            <w:r>
              <w:rPr>
                <w:rFonts w:ascii="Times New Roman" w:eastAsia="Times New Roman" w:hAnsi="Times New Roman" w:cs="Times New Roman"/>
                <w:sz w:val="18"/>
              </w:rPr>
              <w:t xml:space="preserve">8.132.000,00 </w:t>
            </w:r>
          </w:p>
        </w:tc>
        <w:tc>
          <w:tcPr>
            <w:tcW w:w="154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4"/>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8.172.661,63 </w:t>
            </w:r>
          </w:p>
        </w:tc>
        <w:tc>
          <w:tcPr>
            <w:tcW w:w="1538"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8.254.469,97 </w:t>
            </w:r>
          </w:p>
        </w:tc>
        <w:tc>
          <w:tcPr>
            <w:tcW w:w="152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17"/>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8.385.716,04 </w:t>
            </w:r>
          </w:p>
        </w:tc>
      </w:tr>
      <w:tr w:rsidR="00DA121A">
        <w:trPr>
          <w:trHeight w:val="346"/>
        </w:trPr>
        <w:tc>
          <w:tcPr>
            <w:tcW w:w="240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rFonts w:ascii="Times New Roman" w:eastAsia="Times New Roman" w:hAnsi="Times New Roman" w:cs="Times New Roman"/>
                <w:sz w:val="18"/>
              </w:rPr>
              <w:t xml:space="preserve">IMPUESTOS INDIRECTOS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48" w:firstLine="0"/>
              <w:jc w:val="right"/>
            </w:pPr>
            <w:r>
              <w:rPr>
                <w:rFonts w:ascii="Times New Roman" w:eastAsia="Times New Roman" w:hAnsi="Times New Roman" w:cs="Times New Roman"/>
                <w:sz w:val="18"/>
              </w:rPr>
              <w:t xml:space="preserve">4.129.099,68 </w:t>
            </w:r>
          </w:p>
        </w:tc>
        <w:tc>
          <w:tcPr>
            <w:tcW w:w="154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4"/>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4.252.972,67 </w:t>
            </w:r>
          </w:p>
        </w:tc>
        <w:tc>
          <w:tcPr>
            <w:tcW w:w="1538"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4.401.826,71 </w:t>
            </w:r>
          </w:p>
        </w:tc>
        <w:tc>
          <w:tcPr>
            <w:tcW w:w="152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17"/>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4.555.890,65 </w:t>
            </w:r>
          </w:p>
        </w:tc>
      </w:tr>
      <w:tr w:rsidR="00DA121A">
        <w:trPr>
          <w:trHeight w:val="377"/>
        </w:trPr>
        <w:tc>
          <w:tcPr>
            <w:tcW w:w="240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pPr>
            <w:r>
              <w:rPr>
                <w:rFonts w:ascii="Times New Roman" w:eastAsia="Times New Roman" w:hAnsi="Times New Roman" w:cs="Times New Roman"/>
                <w:sz w:val="18"/>
              </w:rPr>
              <w:t xml:space="preserve">TASAS Y OTROS INGRESOS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421"/>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2.348.541,02 </w:t>
            </w:r>
          </w:p>
        </w:tc>
        <w:tc>
          <w:tcPr>
            <w:tcW w:w="154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4"/>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2.418.997,25 </w:t>
            </w:r>
          </w:p>
        </w:tc>
        <w:tc>
          <w:tcPr>
            <w:tcW w:w="1538"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2.497.614,66 </w:t>
            </w:r>
          </w:p>
        </w:tc>
        <w:tc>
          <w:tcPr>
            <w:tcW w:w="152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17"/>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2.578.787,14 </w:t>
            </w:r>
          </w:p>
        </w:tc>
      </w:tr>
      <w:tr w:rsidR="00DA121A">
        <w:trPr>
          <w:trHeight w:val="350"/>
        </w:trPr>
        <w:tc>
          <w:tcPr>
            <w:tcW w:w="240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rFonts w:ascii="Times New Roman" w:eastAsia="Times New Roman" w:hAnsi="Times New Roman" w:cs="Times New Roman"/>
                <w:sz w:val="18"/>
              </w:rPr>
              <w:t xml:space="preserve">TRANSFERENCIAS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48" w:firstLine="0"/>
              <w:jc w:val="right"/>
            </w:pPr>
            <w:r>
              <w:rPr>
                <w:rFonts w:ascii="Times New Roman" w:eastAsia="Times New Roman" w:hAnsi="Times New Roman" w:cs="Times New Roman"/>
                <w:sz w:val="18"/>
              </w:rPr>
              <w:t xml:space="preserve">9.066.629,97 </w:t>
            </w:r>
          </w:p>
        </w:tc>
        <w:tc>
          <w:tcPr>
            <w:tcW w:w="154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4"/>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9.202.629,42 </w:t>
            </w:r>
          </w:p>
        </w:tc>
        <w:tc>
          <w:tcPr>
            <w:tcW w:w="1538"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9.377.111,27 </w:t>
            </w:r>
          </w:p>
        </w:tc>
        <w:tc>
          <w:tcPr>
            <w:tcW w:w="152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17"/>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9.554.901,30 </w:t>
            </w:r>
          </w:p>
        </w:tc>
      </w:tr>
      <w:tr w:rsidR="00DA121A">
        <w:trPr>
          <w:trHeight w:val="350"/>
        </w:trPr>
        <w:tc>
          <w:tcPr>
            <w:tcW w:w="240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rFonts w:ascii="Times New Roman" w:eastAsia="Times New Roman" w:hAnsi="Times New Roman" w:cs="Times New Roman"/>
                <w:sz w:val="18"/>
              </w:rPr>
              <w:t xml:space="preserve">CORRIENTES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DA121A">
            <w:pPr>
              <w:spacing w:after="160" w:line="259" w:lineRule="auto"/>
              <w:ind w:left="0" w:firstLine="0"/>
              <w:jc w:val="left"/>
            </w:pPr>
          </w:p>
        </w:tc>
        <w:tc>
          <w:tcPr>
            <w:tcW w:w="1541" w:type="dxa"/>
            <w:tcBorders>
              <w:top w:val="single" w:sz="2" w:space="0" w:color="000000"/>
              <w:left w:val="single" w:sz="2" w:space="0" w:color="000000"/>
              <w:bottom w:val="single" w:sz="2" w:space="0" w:color="000000"/>
              <w:right w:val="single" w:sz="2" w:space="0" w:color="000000"/>
            </w:tcBorders>
          </w:tcPr>
          <w:p w:rsidR="00DA121A" w:rsidRDefault="00DA121A">
            <w:pPr>
              <w:spacing w:after="160" w:line="259" w:lineRule="auto"/>
              <w:ind w:left="0" w:firstLine="0"/>
              <w:jc w:val="left"/>
            </w:pPr>
          </w:p>
        </w:tc>
        <w:tc>
          <w:tcPr>
            <w:tcW w:w="1538" w:type="dxa"/>
            <w:tcBorders>
              <w:top w:val="single" w:sz="2" w:space="0" w:color="000000"/>
              <w:left w:val="single" w:sz="2" w:space="0" w:color="000000"/>
              <w:bottom w:val="single" w:sz="2" w:space="0" w:color="000000"/>
              <w:right w:val="single" w:sz="2" w:space="0" w:color="000000"/>
            </w:tcBorders>
          </w:tcPr>
          <w:p w:rsidR="00DA121A" w:rsidRDefault="00DA121A">
            <w:pPr>
              <w:spacing w:after="160" w:line="259" w:lineRule="auto"/>
              <w:ind w:left="0" w:firstLine="0"/>
              <w:jc w:val="left"/>
            </w:pPr>
          </w:p>
        </w:tc>
        <w:tc>
          <w:tcPr>
            <w:tcW w:w="1525" w:type="dxa"/>
            <w:tcBorders>
              <w:top w:val="single" w:sz="2" w:space="0" w:color="000000"/>
              <w:left w:val="single" w:sz="2" w:space="0" w:color="000000"/>
              <w:bottom w:val="single" w:sz="2" w:space="0" w:color="000000"/>
              <w:right w:val="single" w:sz="2" w:space="0" w:color="000000"/>
            </w:tcBorders>
          </w:tcPr>
          <w:p w:rsidR="00DA121A" w:rsidRDefault="00DA121A">
            <w:pPr>
              <w:spacing w:after="160" w:line="259" w:lineRule="auto"/>
              <w:ind w:left="0" w:firstLine="0"/>
              <w:jc w:val="left"/>
            </w:pPr>
          </w:p>
        </w:tc>
      </w:tr>
      <w:tr w:rsidR="00DA121A">
        <w:trPr>
          <w:trHeight w:val="468"/>
        </w:trPr>
        <w:tc>
          <w:tcPr>
            <w:tcW w:w="2402" w:type="dxa"/>
            <w:tcBorders>
              <w:top w:val="single" w:sz="2" w:space="0" w:color="000000"/>
              <w:left w:val="single" w:sz="2" w:space="0" w:color="000000"/>
              <w:bottom w:val="single" w:sz="2" w:space="0" w:color="000000"/>
              <w:right w:val="single" w:sz="2" w:space="0" w:color="000000"/>
            </w:tcBorders>
          </w:tcPr>
          <w:p w:rsidR="00DA121A" w:rsidRDefault="00904DD6">
            <w:pPr>
              <w:spacing w:after="33" w:line="259" w:lineRule="auto"/>
              <w:ind w:left="55" w:firstLine="0"/>
              <w:jc w:val="left"/>
            </w:pPr>
            <w:r>
              <w:rPr>
                <w:rFonts w:ascii="Times New Roman" w:eastAsia="Times New Roman" w:hAnsi="Times New Roman" w:cs="Times New Roman"/>
                <w:sz w:val="18"/>
              </w:rPr>
              <w:t xml:space="preserve">INGRESOS </w:t>
            </w:r>
          </w:p>
          <w:p w:rsidR="00DA121A" w:rsidRDefault="00904DD6">
            <w:pPr>
              <w:spacing w:after="0" w:line="259" w:lineRule="auto"/>
              <w:ind w:left="55" w:firstLine="0"/>
              <w:jc w:val="left"/>
            </w:pPr>
            <w:r>
              <w:rPr>
                <w:rFonts w:ascii="Times New Roman" w:eastAsia="Times New Roman" w:hAnsi="Times New Roman" w:cs="Times New Roman"/>
                <w:sz w:val="18"/>
              </w:rPr>
              <w:t xml:space="preserve">PATRIMONIALES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48" w:firstLine="0"/>
              <w:jc w:val="right"/>
            </w:pPr>
            <w:r>
              <w:rPr>
                <w:rFonts w:ascii="Times New Roman" w:eastAsia="Times New Roman" w:hAnsi="Times New Roman" w:cs="Times New Roman"/>
                <w:sz w:val="18"/>
              </w:rPr>
              <w:t xml:space="preserve">12.000,00 </w:t>
            </w:r>
          </w:p>
        </w:tc>
        <w:tc>
          <w:tcPr>
            <w:tcW w:w="154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4"/>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12.000,00 </w:t>
            </w:r>
          </w:p>
        </w:tc>
        <w:tc>
          <w:tcPr>
            <w:tcW w:w="1538"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1"/>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12.000,00 </w:t>
            </w:r>
          </w:p>
        </w:tc>
        <w:tc>
          <w:tcPr>
            <w:tcW w:w="152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17"/>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12.000,00 </w:t>
            </w:r>
          </w:p>
        </w:tc>
      </w:tr>
      <w:tr w:rsidR="00DA121A">
        <w:trPr>
          <w:trHeight w:val="468"/>
        </w:trPr>
        <w:tc>
          <w:tcPr>
            <w:tcW w:w="240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rFonts w:ascii="Times New Roman" w:eastAsia="Times New Roman" w:hAnsi="Times New Roman" w:cs="Times New Roman"/>
                <w:sz w:val="18"/>
              </w:rPr>
              <w:t xml:space="preserve">TRANSFERENCIAS DE CAPITAL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48" w:firstLine="0"/>
              <w:jc w:val="right"/>
            </w:pPr>
            <w:r>
              <w:rPr>
                <w:rFonts w:ascii="Times New Roman" w:eastAsia="Times New Roman" w:hAnsi="Times New Roman" w:cs="Times New Roman"/>
                <w:sz w:val="18"/>
              </w:rPr>
              <w:t xml:space="preserve">1.613.437,12 </w:t>
            </w:r>
          </w:p>
        </w:tc>
        <w:tc>
          <w:tcPr>
            <w:tcW w:w="154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4"/>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1.694.108,98 </w:t>
            </w:r>
          </w:p>
        </w:tc>
        <w:tc>
          <w:tcPr>
            <w:tcW w:w="1538"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1.748.320,46 </w:t>
            </w:r>
          </w:p>
        </w:tc>
        <w:tc>
          <w:tcPr>
            <w:tcW w:w="152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17"/>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1.769.300,31 </w:t>
            </w:r>
          </w:p>
        </w:tc>
      </w:tr>
      <w:tr w:rsidR="00DA121A">
        <w:trPr>
          <w:trHeight w:val="346"/>
        </w:trPr>
        <w:tc>
          <w:tcPr>
            <w:tcW w:w="240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rFonts w:ascii="Times New Roman" w:eastAsia="Times New Roman" w:hAnsi="Times New Roman" w:cs="Times New Roman"/>
                <w:sz w:val="18"/>
              </w:rPr>
              <w:t xml:space="preserve">ACTIVOS FINANCIEROS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47" w:firstLine="0"/>
              <w:jc w:val="right"/>
            </w:pPr>
            <w:r>
              <w:rPr>
                <w:rFonts w:ascii="Times New Roman" w:eastAsia="Times New Roman" w:hAnsi="Times New Roman" w:cs="Times New Roman"/>
                <w:sz w:val="18"/>
              </w:rPr>
              <w:t xml:space="preserve">0,00 </w:t>
            </w:r>
          </w:p>
        </w:tc>
        <w:tc>
          <w:tcPr>
            <w:tcW w:w="154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4"/>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c>
          <w:tcPr>
            <w:tcW w:w="1538"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1"/>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c>
          <w:tcPr>
            <w:tcW w:w="152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17"/>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r>
      <w:tr w:rsidR="00DA121A">
        <w:trPr>
          <w:trHeight w:val="350"/>
        </w:trPr>
        <w:tc>
          <w:tcPr>
            <w:tcW w:w="240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rFonts w:ascii="Times New Roman" w:eastAsia="Times New Roman" w:hAnsi="Times New Roman" w:cs="Times New Roman"/>
                <w:sz w:val="18"/>
              </w:rPr>
              <w:t xml:space="preserve">PASIVOS FINANCIEROS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47" w:firstLine="0"/>
              <w:jc w:val="right"/>
            </w:pPr>
            <w:r>
              <w:rPr>
                <w:rFonts w:ascii="Times New Roman" w:eastAsia="Times New Roman" w:hAnsi="Times New Roman" w:cs="Times New Roman"/>
                <w:sz w:val="18"/>
              </w:rPr>
              <w:t xml:space="preserve">0,00 </w:t>
            </w:r>
          </w:p>
        </w:tc>
        <w:tc>
          <w:tcPr>
            <w:tcW w:w="154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4"/>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c>
          <w:tcPr>
            <w:tcW w:w="1538"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1"/>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c>
          <w:tcPr>
            <w:tcW w:w="152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17"/>
              </w:tabs>
              <w:spacing w:after="0" w:line="259" w:lineRule="auto"/>
              <w:ind w:left="-1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0,00 </w:t>
            </w:r>
          </w:p>
        </w:tc>
      </w:tr>
      <w:tr w:rsidR="00DA121A">
        <w:trPr>
          <w:trHeight w:val="361"/>
        </w:trPr>
        <w:tc>
          <w:tcPr>
            <w:tcW w:w="240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7" w:firstLine="0"/>
              <w:jc w:val="center"/>
            </w:pPr>
            <w:r>
              <w:rPr>
                <w:rFonts w:ascii="Times New Roman" w:eastAsia="Times New Roman" w:hAnsi="Times New Roman" w:cs="Times New Roman"/>
                <w:sz w:val="18"/>
              </w:rPr>
              <w:t xml:space="preserve">Total </w:t>
            </w:r>
            <w:r>
              <w:rPr>
                <w:rFonts w:ascii="Times New Roman" w:eastAsia="Times New Roman" w:hAnsi="Times New Roman" w:cs="Times New Roman"/>
                <w:sz w:val="24"/>
              </w:rPr>
              <w:t xml:space="preserve"> </w:t>
            </w:r>
          </w:p>
        </w:tc>
        <w:tc>
          <w:tcPr>
            <w:tcW w:w="1429"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48" w:firstLine="0"/>
              <w:jc w:val="right"/>
            </w:pPr>
            <w:r>
              <w:rPr>
                <w:rFonts w:ascii="Times New Roman" w:eastAsia="Times New Roman" w:hAnsi="Times New Roman" w:cs="Times New Roman"/>
                <w:sz w:val="18"/>
              </w:rPr>
              <w:t xml:space="preserve">25.298.707,79 </w:t>
            </w:r>
          </w:p>
        </w:tc>
        <w:tc>
          <w:tcPr>
            <w:tcW w:w="1541"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4"/>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25.753.369,94 </w:t>
            </w:r>
          </w:p>
        </w:tc>
        <w:tc>
          <w:tcPr>
            <w:tcW w:w="1538"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31"/>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26.291.343,08 </w:t>
            </w:r>
          </w:p>
        </w:tc>
        <w:tc>
          <w:tcPr>
            <w:tcW w:w="1525" w:type="dxa"/>
            <w:tcBorders>
              <w:top w:val="single" w:sz="2" w:space="0" w:color="000000"/>
              <w:left w:val="single" w:sz="2" w:space="0" w:color="000000"/>
              <w:bottom w:val="single" w:sz="2" w:space="0" w:color="000000"/>
              <w:right w:val="single" w:sz="2" w:space="0" w:color="000000"/>
            </w:tcBorders>
          </w:tcPr>
          <w:p w:rsidR="00DA121A" w:rsidRDefault="00904DD6">
            <w:pPr>
              <w:tabs>
                <w:tab w:val="right" w:pos="1517"/>
              </w:tabs>
              <w:spacing w:after="0" w:line="259" w:lineRule="auto"/>
              <w:ind w:left="-1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18"/>
              </w:rPr>
              <w:t xml:space="preserve">26.856.595,44 </w:t>
            </w:r>
          </w:p>
        </w:tc>
      </w:tr>
    </w:tbl>
    <w:p w:rsidR="00DA121A" w:rsidRDefault="00904DD6">
      <w:pPr>
        <w:spacing w:after="68" w:line="259" w:lineRule="auto"/>
        <w:ind w:left="284" w:firstLine="0"/>
        <w:jc w:val="left"/>
      </w:pPr>
      <w:r>
        <w:rPr>
          <w:rFonts w:ascii="Times New Roman" w:eastAsia="Times New Roman" w:hAnsi="Times New Roman" w:cs="Times New Roman"/>
          <w:b/>
          <w:sz w:val="20"/>
        </w:rPr>
        <w:t xml:space="preserve"> </w:t>
      </w:r>
      <w:r>
        <w:rPr>
          <w:rFonts w:ascii="Times New Roman" w:eastAsia="Times New Roman" w:hAnsi="Times New Roman" w:cs="Times New Roman"/>
          <w:sz w:val="24"/>
        </w:rPr>
        <w:t xml:space="preserve"> </w:t>
      </w:r>
    </w:p>
    <w:p w:rsidR="00DA121A" w:rsidRDefault="00904DD6">
      <w:pPr>
        <w:spacing w:after="88"/>
        <w:ind w:left="278" w:right="146" w:firstLine="698"/>
      </w:pPr>
      <w:r>
        <w:rPr>
          <w:b/>
        </w:rPr>
        <w:t xml:space="preserve">SEGUNDO. - </w:t>
      </w:r>
      <w:r>
        <w:t xml:space="preserve">El Presupuesto General definitivamente aprobados será insertado en el Boletín Oficial de la Provincia resumido por capítulos, además de la Plantilla Orgánica y resumen del Plan Presupuestario, y las Bases de Ejecución íntegramente. </w:t>
      </w:r>
      <w:r>
        <w:rPr>
          <w:rFonts w:ascii="Times New Roman" w:eastAsia="Times New Roman" w:hAnsi="Times New Roman" w:cs="Times New Roman"/>
          <w:sz w:val="24"/>
        </w:rPr>
        <w:t xml:space="preserve"> </w:t>
      </w:r>
    </w:p>
    <w:p w:rsidR="00DA121A" w:rsidRDefault="00904DD6">
      <w:pPr>
        <w:spacing w:after="88"/>
        <w:ind w:left="278" w:right="146" w:firstLine="698"/>
      </w:pPr>
      <w:r>
        <w:rPr>
          <w:b/>
        </w:rPr>
        <w:t xml:space="preserve">TERCERO. - </w:t>
      </w:r>
      <w:r>
        <w:t>Del Presupu</w:t>
      </w:r>
      <w:r>
        <w:t>esto General definitivamente aprobado se remitirá copia a la Administración del Estado y a la Comunidad Autónoma. La remisión será simultánea al envío al Boletín Oficial de la Provincia.</w:t>
      </w:r>
      <w:r>
        <w:rPr>
          <w:b/>
        </w:rPr>
        <w:t xml:space="preserve"> </w:t>
      </w:r>
      <w:r>
        <w:rPr>
          <w:rFonts w:ascii="Times New Roman" w:eastAsia="Times New Roman" w:hAnsi="Times New Roman" w:cs="Times New Roman"/>
          <w:sz w:val="24"/>
        </w:rPr>
        <w:t xml:space="preserve"> </w:t>
      </w:r>
    </w:p>
    <w:p w:rsidR="00DA121A" w:rsidRDefault="00904DD6">
      <w:pPr>
        <w:spacing w:after="51"/>
        <w:ind w:left="278" w:right="146" w:firstLine="698"/>
      </w:pPr>
      <w:r>
        <w:rPr>
          <w:b/>
        </w:rPr>
        <w:t xml:space="preserve">CUARTO. - </w:t>
      </w:r>
      <w:r>
        <w:t>Anular las Modificaciones por transferencias de crédito d</w:t>
      </w:r>
      <w:r>
        <w:t>el ejercicio 2022 que se detallan a continuación, al estar los importes contemplados en los créditos iniciales al amparo del artículo 21 del Real Decreto 500/1990, de 20 de abril por el que se desarrolla el capítulo primero del título sexto de la Ley 39/19</w:t>
      </w:r>
      <w:r>
        <w:t xml:space="preserve">88, de 28 de diciembre, reguladora de las Haciendas Locales, en materia de presupuestos.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r>
        <w:rPr>
          <w:rFonts w:ascii="Times New Roman" w:eastAsia="Times New Roman" w:hAnsi="Times New Roman" w:cs="Times New Roman"/>
          <w:sz w:val="24"/>
        </w:rPr>
        <w:t xml:space="preserve"> </w:t>
      </w:r>
    </w:p>
    <w:tbl>
      <w:tblPr>
        <w:tblStyle w:val="TableGrid"/>
        <w:tblW w:w="3839" w:type="dxa"/>
        <w:tblInd w:w="2741" w:type="dxa"/>
        <w:tblCellMar>
          <w:top w:w="51" w:type="dxa"/>
          <w:left w:w="115" w:type="dxa"/>
          <w:bottom w:w="0" w:type="dxa"/>
          <w:right w:w="0" w:type="dxa"/>
        </w:tblCellMar>
        <w:tblLook w:val="04A0" w:firstRow="1" w:lastRow="0" w:firstColumn="1" w:lastColumn="0" w:noHBand="0" w:noVBand="1"/>
      </w:tblPr>
      <w:tblGrid>
        <w:gridCol w:w="1405"/>
        <w:gridCol w:w="1150"/>
        <w:gridCol w:w="1284"/>
      </w:tblGrid>
      <w:tr w:rsidR="00DA121A">
        <w:trPr>
          <w:trHeight w:val="355"/>
        </w:trPr>
        <w:tc>
          <w:tcPr>
            <w:tcW w:w="140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rPr>
              <w:t xml:space="preserve">Expediente </w:t>
            </w:r>
            <w:r>
              <w:rPr>
                <w:rFonts w:ascii="Times New Roman" w:eastAsia="Times New Roman" w:hAnsi="Times New Roman" w:cs="Times New Roman"/>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left"/>
            </w:pPr>
            <w:r>
              <w:rPr>
                <w:b/>
              </w:rPr>
              <w:t xml:space="preserve">Decreto </w:t>
            </w:r>
            <w:r>
              <w:rPr>
                <w:rFonts w:ascii="Times New Roman" w:eastAsia="Times New Roman" w:hAnsi="Times New Roman" w:cs="Times New Roman"/>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15" w:firstLine="0"/>
              <w:jc w:val="center"/>
            </w:pPr>
            <w:r>
              <w:rPr>
                <w:b/>
              </w:rPr>
              <w:t xml:space="preserve">Fecha </w:t>
            </w:r>
            <w:r>
              <w:rPr>
                <w:rFonts w:ascii="Times New Roman" w:eastAsia="Times New Roman" w:hAnsi="Times New Roman" w:cs="Times New Roman"/>
                <w:sz w:val="24"/>
              </w:rPr>
              <w:t xml:space="preserve"> </w:t>
            </w:r>
          </w:p>
        </w:tc>
      </w:tr>
      <w:tr w:rsidR="00DA121A">
        <w:trPr>
          <w:trHeight w:val="355"/>
        </w:trPr>
        <w:tc>
          <w:tcPr>
            <w:tcW w:w="140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14" w:firstLine="0"/>
              <w:jc w:val="center"/>
            </w:pPr>
            <w:r>
              <w:t xml:space="preserve">857/2023 </w:t>
            </w:r>
            <w:r>
              <w:rPr>
                <w:rFonts w:ascii="Times New Roman" w:eastAsia="Times New Roman" w:hAnsi="Times New Roman" w:cs="Times New Roman"/>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t xml:space="preserve">138/2023 </w:t>
            </w:r>
            <w:r>
              <w:rPr>
                <w:rFonts w:ascii="Times New Roman" w:eastAsia="Times New Roman" w:hAnsi="Times New Roman" w:cs="Times New Roman"/>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t xml:space="preserve">27/01/2023 </w:t>
            </w:r>
          </w:p>
        </w:tc>
      </w:tr>
      <w:tr w:rsidR="00DA121A">
        <w:trPr>
          <w:trHeight w:val="355"/>
        </w:trPr>
        <w:tc>
          <w:tcPr>
            <w:tcW w:w="140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65" w:firstLine="0"/>
              <w:jc w:val="left"/>
            </w:pPr>
            <w:r>
              <w:t xml:space="preserve">1336/2023 </w:t>
            </w:r>
            <w:r>
              <w:rPr>
                <w:rFonts w:ascii="Times New Roman" w:eastAsia="Times New Roman" w:hAnsi="Times New Roman" w:cs="Times New Roman"/>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t xml:space="preserve">320/2023 </w:t>
            </w:r>
            <w:r>
              <w:rPr>
                <w:rFonts w:ascii="Times New Roman" w:eastAsia="Times New Roman" w:hAnsi="Times New Roman" w:cs="Times New Roman"/>
                <w:sz w:val="24"/>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t xml:space="preserve">10/02/2023 </w:t>
            </w:r>
          </w:p>
        </w:tc>
      </w:tr>
    </w:tbl>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ind w:left="288" w:right="146"/>
      </w:pPr>
      <w:r>
        <w:rPr>
          <w:rFonts w:ascii="Times New Roman" w:eastAsia="Times New Roman" w:hAnsi="Times New Roman" w:cs="Times New Roman"/>
          <w:sz w:val="20"/>
        </w:rPr>
        <w:t xml:space="preserve">  </w:t>
      </w:r>
      <w:r>
        <w:rPr>
          <w:b/>
        </w:rPr>
        <w:t>QUINTO</w:t>
      </w:r>
      <w:r>
        <w:t xml:space="preserve">. - </w:t>
      </w:r>
      <w:r>
        <w:t>Dar traslado de dicho acuerdo al Ministerio de Hacienda y administraciones Públicas a través de la plataforma telemática correspondiente.”</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DICTAMEN FAVORABLE DE LA COMISIÓN INFORMATIVA DE HACIENDA, RECURSOS HUMANOS Y SERVICIOS GENERALES DE 27 DE MARZO</w:t>
      </w:r>
      <w:r>
        <w:rPr>
          <w:b/>
        </w:rPr>
        <w:t xml:space="preserve"> DE 2023. </w:t>
      </w:r>
    </w:p>
    <w:p w:rsidR="00DA121A" w:rsidRDefault="00904DD6">
      <w:pPr>
        <w:spacing w:after="0" w:line="259" w:lineRule="auto"/>
        <w:ind w:left="284" w:firstLine="0"/>
        <w:jc w:val="left"/>
      </w:pPr>
      <w:r>
        <w:rPr>
          <w:b/>
        </w:rPr>
        <w:t xml:space="preserve"> </w:t>
      </w:r>
    </w:p>
    <w:p w:rsidR="00DA121A" w:rsidRDefault="00904DD6">
      <w:pPr>
        <w:ind w:left="288" w:right="146"/>
      </w:pPr>
      <w:r>
        <w:t xml:space="preserve">Votos a favor: 4. </w:t>
      </w:r>
    </w:p>
    <w:p w:rsidR="00DA121A" w:rsidRDefault="00904DD6">
      <w:pPr>
        <w:ind w:left="288" w:right="146"/>
      </w:pPr>
      <w:r>
        <w:t xml:space="preserve">Los 4 concejales del Grupo Socialista: Don Airam Pérez Chinea, Don Jorge Baute Delgado, Don José Francisco Pinto Ramos y Doña Margarita Eva Tendero Barroso. </w:t>
      </w:r>
    </w:p>
    <w:p w:rsidR="00DA121A" w:rsidRDefault="00904DD6">
      <w:pPr>
        <w:spacing w:after="0" w:line="259" w:lineRule="auto"/>
        <w:ind w:left="284" w:firstLine="0"/>
        <w:jc w:val="left"/>
      </w:pPr>
      <w:r>
        <w:t xml:space="preserve"> </w:t>
      </w:r>
    </w:p>
    <w:p w:rsidR="00DA121A" w:rsidRDefault="00904DD6">
      <w:pPr>
        <w:ind w:left="288" w:right="146"/>
      </w:pPr>
      <w:r>
        <w:t xml:space="preserve">Votos en contra: 0. </w:t>
      </w:r>
    </w:p>
    <w:p w:rsidR="00DA121A" w:rsidRDefault="00904DD6">
      <w:pPr>
        <w:spacing w:after="0" w:line="259" w:lineRule="auto"/>
        <w:ind w:left="284" w:firstLine="0"/>
        <w:jc w:val="left"/>
      </w:pPr>
      <w:r>
        <w:t xml:space="preserve"> </w:t>
      </w:r>
    </w:p>
    <w:p w:rsidR="00DA121A" w:rsidRDefault="00904DD6">
      <w:pPr>
        <w:ind w:left="288" w:right="146"/>
      </w:pPr>
      <w:r>
        <w:t xml:space="preserve">Abstenciones: 3. </w:t>
      </w:r>
    </w:p>
    <w:p w:rsidR="00DA121A" w:rsidRDefault="00904DD6">
      <w:pPr>
        <w:spacing w:after="0" w:line="259" w:lineRule="auto"/>
        <w:ind w:left="284" w:firstLine="0"/>
        <w:jc w:val="left"/>
      </w:pPr>
      <w:r>
        <w:t xml:space="preserve"> </w:t>
      </w:r>
    </w:p>
    <w:p w:rsidR="00DA121A" w:rsidRDefault="00904DD6">
      <w:pPr>
        <w:ind w:left="288" w:right="146"/>
      </w:pPr>
      <w:r>
        <w:t>El concejal del Grupo</w:t>
      </w:r>
      <w:r>
        <w:t xml:space="preserve"> Popular, Don Jacobo López Fariña. </w:t>
      </w:r>
    </w:p>
    <w:p w:rsidR="00DA121A" w:rsidRDefault="00904DD6">
      <w:pPr>
        <w:spacing w:after="0" w:line="259" w:lineRule="auto"/>
        <w:ind w:left="284" w:firstLine="0"/>
        <w:jc w:val="left"/>
      </w:pPr>
      <w:r>
        <w:t xml:space="preserve"> </w:t>
      </w:r>
    </w:p>
    <w:p w:rsidR="00DA121A" w:rsidRDefault="00904DD6">
      <w:pPr>
        <w:ind w:left="288" w:right="146"/>
      </w:pPr>
      <w:r>
        <w:t>La concejal del Grupo Mixto (SSP), Doña Lourdes del Carmen Mondejar Rondón.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La concejal del Grupo Mixto (CC-PNC): Doña Ángela Cruz Perera.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3344"/>
      </w:pPr>
      <w:r>
        <w:rPr>
          <w:b/>
        </w:rPr>
        <w:t xml:space="preserve"> JUNTA DE PORTAVOCES DE 27 DE MARZO DE 2023.  </w:t>
      </w:r>
      <w:r>
        <w:t xml:space="preserve">Quedó oída.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ACUERDO DEL PLENO DE 30 DE MARZO DE 2023. </w:t>
      </w:r>
    </w:p>
    <w:p w:rsidR="00DA121A" w:rsidRDefault="00904DD6">
      <w:pPr>
        <w:spacing w:after="0" w:line="259" w:lineRule="auto"/>
        <w:ind w:left="284" w:firstLine="0"/>
        <w:jc w:val="left"/>
      </w:pPr>
      <w:r>
        <w:t xml:space="preserve"> </w:t>
      </w:r>
    </w:p>
    <w:p w:rsidR="00DA121A" w:rsidRDefault="00904DD6">
      <w:pPr>
        <w:ind w:left="288" w:right="146"/>
      </w:pPr>
      <w:r>
        <w:t xml:space="preserve">Votos a favor: 13. </w:t>
      </w:r>
    </w:p>
    <w:p w:rsidR="00DA121A" w:rsidRDefault="00904DD6">
      <w:pPr>
        <w:ind w:left="288" w:right="146"/>
      </w:pPr>
      <w:r>
        <w:t>11 concejales del Grupo Socialista: Doña María Concepción Brito Núñez, Doña Don Jorge Baute Delgado, Doña Olivia Concepción Pérez Díaz, Don José Francisco Pinto Ramos, Doña Hilaria Cecilia Ot</w:t>
      </w:r>
      <w:r>
        <w:t xml:space="preserve">azo González, Don Airam Pérez Chinea, Doña Margarita Eva Tendero Barroso, Don Manuel Alberto González Pestano, Doña María del Carmen Clemente Díaz, Don Olegario Francisco Alonso Bello y Don Reinaldo José Triviño Blanco.  </w:t>
      </w:r>
    </w:p>
    <w:p w:rsidR="00DA121A" w:rsidRDefault="00904DD6">
      <w:pPr>
        <w:spacing w:after="0" w:line="259" w:lineRule="auto"/>
        <w:ind w:left="284" w:firstLine="0"/>
        <w:jc w:val="left"/>
      </w:pPr>
      <w:r>
        <w:t xml:space="preserve"> </w:t>
      </w:r>
    </w:p>
    <w:p w:rsidR="00DA121A" w:rsidRDefault="00904DD6">
      <w:pPr>
        <w:ind w:left="288" w:right="146"/>
      </w:pPr>
      <w:r>
        <w:t>1 de la concejal del Grupo Mixto</w:t>
      </w:r>
      <w:r>
        <w:t xml:space="preserve"> (Cs), Doña Marta Plasencia Gutiérrez.  </w:t>
      </w:r>
    </w:p>
    <w:p w:rsidR="00DA121A" w:rsidRDefault="00904DD6">
      <w:pPr>
        <w:spacing w:after="0" w:line="259" w:lineRule="auto"/>
        <w:ind w:left="284" w:firstLine="0"/>
        <w:jc w:val="left"/>
      </w:pPr>
      <w:r>
        <w:t xml:space="preserve"> </w:t>
      </w:r>
    </w:p>
    <w:p w:rsidR="00DA121A" w:rsidRDefault="00904DD6">
      <w:pPr>
        <w:numPr>
          <w:ilvl w:val="0"/>
          <w:numId w:val="22"/>
        </w:numPr>
        <w:ind w:right="146" w:hanging="184"/>
      </w:pPr>
      <w:r>
        <w:t xml:space="preserve">de la concejal del Grupo Mixto (VxC): Doña Alicia Mercedes Marrero Meneses.  </w:t>
      </w:r>
    </w:p>
    <w:p w:rsidR="00DA121A" w:rsidRDefault="00904DD6">
      <w:pPr>
        <w:spacing w:after="0" w:line="259" w:lineRule="auto"/>
        <w:ind w:left="284" w:firstLine="0"/>
        <w:jc w:val="left"/>
      </w:pPr>
      <w:r>
        <w:t xml:space="preserve"> </w:t>
      </w:r>
    </w:p>
    <w:p w:rsidR="00DA121A" w:rsidRDefault="00904DD6">
      <w:pPr>
        <w:ind w:left="288" w:right="146"/>
      </w:pPr>
      <w:r>
        <w:t xml:space="preserve">Votos en contra: 2. </w:t>
      </w:r>
    </w:p>
    <w:p w:rsidR="00DA121A" w:rsidRDefault="00904DD6">
      <w:pPr>
        <w:numPr>
          <w:ilvl w:val="0"/>
          <w:numId w:val="22"/>
        </w:numPr>
        <w:spacing w:after="111"/>
        <w:ind w:right="146" w:hanging="184"/>
      </w:pPr>
      <w:r>
        <w:t xml:space="preserve">de los concejales del Grupo Mixto (CC-PNC): Doña Ángela Cruz Perera y Don Emilio Jesús Atienzar Armas. </w:t>
      </w:r>
    </w:p>
    <w:p w:rsidR="00DA121A" w:rsidRDefault="00904DD6">
      <w:pPr>
        <w:ind w:left="288" w:right="146"/>
      </w:pPr>
      <w:r>
        <w:t>Abstenci</w:t>
      </w:r>
      <w:r>
        <w:t xml:space="preserve">ones: 4. </w:t>
      </w:r>
    </w:p>
    <w:p w:rsidR="00DA121A" w:rsidRDefault="00904DD6">
      <w:pPr>
        <w:ind w:left="288" w:right="146"/>
      </w:pPr>
      <w:r>
        <w:t xml:space="preserve">4 concejales del Grupo Popular: Don Andrés Rodríguez Delgado, Don Jacobo López Fariña, Doña Raquel Martín Castro y Don David Crego Cháves.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                          ACUERDO DEL PLENO DE 30 DE MARZO DE 2023. </w:t>
      </w:r>
    </w:p>
    <w:p w:rsidR="00DA121A" w:rsidRDefault="00904DD6">
      <w:pPr>
        <w:spacing w:after="0" w:line="259" w:lineRule="auto"/>
        <w:ind w:left="284" w:firstLine="0"/>
        <w:jc w:val="left"/>
      </w:pPr>
      <w:r>
        <w:rPr>
          <w:b/>
        </w:rPr>
        <w:t xml:space="preserve"> </w:t>
      </w:r>
    </w:p>
    <w:p w:rsidR="00DA121A" w:rsidRDefault="00904DD6">
      <w:pPr>
        <w:spacing w:after="4"/>
        <w:ind w:left="269" w:right="144" w:firstLine="710"/>
      </w:pPr>
      <w:r>
        <w:rPr>
          <w:b/>
        </w:rPr>
        <w:t>PRIMERO. - Desestimar las recl</w:t>
      </w:r>
      <w:r>
        <w:rPr>
          <w:b/>
        </w:rPr>
        <w:t xml:space="preserve">amaciones - alegaciones presentadas por los interesados, y en consecuencia aprobar definitivamente el Presupuesto General del ejercicio 2023, al que se incorpora Plantilla Orgánica y Plan Presupuestario, con el siguiente resumen: </w:t>
      </w:r>
      <w:r>
        <w:rPr>
          <w:rFonts w:ascii="Times New Roman" w:eastAsia="Times New Roman" w:hAnsi="Times New Roman" w:cs="Times New Roman"/>
          <w:sz w:val="24"/>
        </w:rPr>
        <w:t xml:space="preserve"> </w:t>
      </w:r>
    </w:p>
    <w:p w:rsidR="00DA121A" w:rsidRDefault="00904DD6">
      <w:pPr>
        <w:spacing w:after="76" w:line="259" w:lineRule="auto"/>
        <w:ind w:left="992" w:firstLine="0"/>
        <w:jc w:val="left"/>
      </w:pPr>
      <w:r>
        <w:rPr>
          <w:b/>
        </w:rPr>
        <w:t xml:space="preserve">  </w:t>
      </w:r>
    </w:p>
    <w:p w:rsidR="00DA121A" w:rsidRDefault="00904DD6">
      <w:pPr>
        <w:spacing w:after="123"/>
        <w:ind w:left="279" w:right="144"/>
      </w:pPr>
      <w:r>
        <w:rPr>
          <w:b/>
        </w:rPr>
        <w:t>I.-</w:t>
      </w:r>
      <w:r>
        <w:rPr>
          <w:b/>
        </w:rPr>
        <w:t xml:space="preserve">Estado de gastos e ingresos consolidados:  </w:t>
      </w:r>
    </w:p>
    <w:p w:rsidR="00DA121A" w:rsidRDefault="00904DD6">
      <w:pPr>
        <w:spacing w:after="112" w:line="259" w:lineRule="auto"/>
        <w:ind w:left="269" w:firstLine="0"/>
        <w:jc w:val="left"/>
      </w:pPr>
      <w:r>
        <w:rPr>
          <w:b/>
        </w:rPr>
        <w:t xml:space="preserve"> </w:t>
      </w:r>
    </w:p>
    <w:p w:rsidR="00DA121A" w:rsidRDefault="00904DD6">
      <w:pPr>
        <w:spacing w:after="110" w:line="259" w:lineRule="auto"/>
        <w:ind w:left="269" w:firstLine="0"/>
        <w:jc w:val="left"/>
      </w:pPr>
      <w:r>
        <w:rPr>
          <w:b/>
        </w:rPr>
        <w:t xml:space="preserve"> </w:t>
      </w:r>
    </w:p>
    <w:p w:rsidR="00DA121A" w:rsidRDefault="00904DD6">
      <w:pPr>
        <w:spacing w:after="112" w:line="259" w:lineRule="auto"/>
        <w:ind w:left="269" w:firstLine="0"/>
        <w:jc w:val="left"/>
      </w:pPr>
      <w:r>
        <w:rPr>
          <w:b/>
        </w:rPr>
        <w:t xml:space="preserve"> </w:t>
      </w:r>
    </w:p>
    <w:p w:rsidR="00DA121A" w:rsidRDefault="00904DD6">
      <w:pPr>
        <w:spacing w:after="112" w:line="259" w:lineRule="auto"/>
        <w:ind w:left="269" w:firstLine="0"/>
        <w:jc w:val="left"/>
      </w:pPr>
      <w:r>
        <w:rPr>
          <w:b/>
        </w:rPr>
        <w:t xml:space="preserve"> </w:t>
      </w:r>
    </w:p>
    <w:p w:rsidR="00DA121A" w:rsidRDefault="00904DD6">
      <w:pPr>
        <w:spacing w:after="112" w:line="259" w:lineRule="auto"/>
        <w:ind w:left="269" w:firstLine="0"/>
        <w:jc w:val="left"/>
      </w:pPr>
      <w:r>
        <w:rPr>
          <w:b/>
        </w:rPr>
        <w:t xml:space="preserve"> </w:t>
      </w:r>
    </w:p>
    <w:p w:rsidR="00DA121A" w:rsidRDefault="00904DD6">
      <w:pPr>
        <w:spacing w:after="129" w:line="259" w:lineRule="auto"/>
        <w:ind w:left="269" w:firstLine="0"/>
        <w:jc w:val="left"/>
      </w:pPr>
      <w:r>
        <w:rPr>
          <w:b/>
        </w:rPr>
        <w:t xml:space="preserve"> </w:t>
      </w:r>
    </w:p>
    <w:p w:rsidR="00DA121A" w:rsidRDefault="00904DD6">
      <w:pPr>
        <w:spacing w:after="0" w:line="259" w:lineRule="auto"/>
        <w:ind w:left="269" w:firstLine="0"/>
        <w:jc w:val="left"/>
      </w:pPr>
      <w:r>
        <w:rPr>
          <w:rFonts w:ascii="Times New Roman" w:eastAsia="Times New Roman" w:hAnsi="Times New Roman" w:cs="Times New Roman"/>
          <w:sz w:val="24"/>
        </w:rPr>
        <w:t xml:space="preserve"> </w:t>
      </w:r>
    </w:p>
    <w:p w:rsidR="00DA121A" w:rsidRDefault="00904DD6">
      <w:pPr>
        <w:shd w:val="clear" w:color="auto" w:fill="BFBFBF"/>
        <w:spacing w:after="15" w:line="259" w:lineRule="auto"/>
        <w:ind w:left="2813" w:firstLine="0"/>
        <w:jc w:val="left"/>
      </w:pPr>
      <w:r>
        <w:rPr>
          <w:rFonts w:ascii="Times New Roman" w:eastAsia="Times New Roman" w:hAnsi="Times New Roman" w:cs="Times New Roman"/>
          <w:b/>
          <w:sz w:val="20"/>
        </w:rPr>
        <w:t xml:space="preserve">      </w:t>
      </w:r>
      <w:r>
        <w:rPr>
          <w:rFonts w:ascii="Times New Roman" w:eastAsia="Times New Roman" w:hAnsi="Times New Roman" w:cs="Times New Roman"/>
          <w:b/>
          <w:sz w:val="18"/>
        </w:rPr>
        <w:t xml:space="preserve">PRESUPUESTO CONSOLIDADO EJERCICIO 2023 </w:t>
      </w:r>
      <w:r>
        <w:rPr>
          <w:rFonts w:ascii="Times New Roman" w:eastAsia="Times New Roman" w:hAnsi="Times New Roman" w:cs="Times New Roman"/>
          <w:sz w:val="24"/>
        </w:rPr>
        <w:t xml:space="preserve"> </w:t>
      </w:r>
    </w:p>
    <w:p w:rsidR="00DA121A" w:rsidRDefault="00904DD6">
      <w:pPr>
        <w:spacing w:after="3303" w:line="259" w:lineRule="auto"/>
        <w:ind w:left="776"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sz w:val="24"/>
        </w:rPr>
        <w:t xml:space="preserve"> </w:t>
      </w:r>
    </w:p>
    <w:tbl>
      <w:tblPr>
        <w:tblStyle w:val="TableGrid"/>
        <w:tblpPr w:vertAnchor="text" w:tblpX="299" w:tblpY="-3584"/>
        <w:tblOverlap w:val="never"/>
        <w:tblW w:w="8433" w:type="dxa"/>
        <w:tblInd w:w="0" w:type="dxa"/>
        <w:tblCellMar>
          <w:top w:w="0" w:type="dxa"/>
          <w:left w:w="0" w:type="dxa"/>
          <w:bottom w:w="0" w:type="dxa"/>
          <w:right w:w="0" w:type="dxa"/>
        </w:tblCellMar>
        <w:tblLook w:val="04A0" w:firstRow="1" w:lastRow="0" w:firstColumn="1" w:lastColumn="0" w:noHBand="0" w:noVBand="1"/>
      </w:tblPr>
      <w:tblGrid>
        <w:gridCol w:w="950"/>
        <w:gridCol w:w="1265"/>
        <w:gridCol w:w="1179"/>
        <w:gridCol w:w="1260"/>
        <w:gridCol w:w="1246"/>
        <w:gridCol w:w="1227"/>
        <w:gridCol w:w="1306"/>
      </w:tblGrid>
      <w:tr w:rsidR="00DA121A">
        <w:trPr>
          <w:trHeight w:val="419"/>
        </w:trPr>
        <w:tc>
          <w:tcPr>
            <w:tcW w:w="2218" w:type="dxa"/>
            <w:gridSpan w:val="2"/>
            <w:tcBorders>
              <w:top w:val="nil"/>
              <w:left w:val="nil"/>
              <w:bottom w:val="single" w:sz="4" w:space="0" w:color="000000"/>
              <w:right w:val="nil"/>
            </w:tcBorders>
            <w:shd w:val="clear" w:color="auto" w:fill="BFBFBF"/>
          </w:tcPr>
          <w:p w:rsidR="00DA121A" w:rsidRDefault="00904DD6">
            <w:pPr>
              <w:spacing w:after="0" w:line="259" w:lineRule="auto"/>
              <w:ind w:left="0" w:right="274" w:firstLine="0"/>
              <w:jc w:val="center"/>
            </w:pPr>
            <w:r>
              <w:rPr>
                <w:rFonts w:ascii="Times New Roman" w:eastAsia="Times New Roman" w:hAnsi="Times New Roman" w:cs="Times New Roman"/>
                <w:b/>
                <w:sz w:val="18"/>
              </w:rPr>
              <w:t xml:space="preserve"> </w:t>
            </w:r>
          </w:p>
          <w:p w:rsidR="00DA121A" w:rsidRDefault="00904DD6">
            <w:pPr>
              <w:spacing w:after="0" w:line="259" w:lineRule="auto"/>
              <w:ind w:left="-1" w:firstLine="0"/>
              <w:jc w:val="left"/>
            </w:pPr>
            <w:r>
              <w:rPr>
                <w:rFonts w:ascii="Times New Roman" w:eastAsia="Times New Roman" w:hAnsi="Times New Roman" w:cs="Times New Roman"/>
                <w:b/>
                <w:sz w:val="18"/>
              </w:rPr>
              <w:t xml:space="preserve"> </w:t>
            </w:r>
          </w:p>
        </w:tc>
        <w:tc>
          <w:tcPr>
            <w:tcW w:w="6215" w:type="dxa"/>
            <w:gridSpan w:val="5"/>
            <w:tcBorders>
              <w:top w:val="nil"/>
              <w:left w:val="nil"/>
              <w:bottom w:val="single" w:sz="4" w:space="0" w:color="000000"/>
              <w:right w:val="nil"/>
            </w:tcBorders>
            <w:shd w:val="clear" w:color="auto" w:fill="BFBFBF"/>
          </w:tcPr>
          <w:p w:rsidR="00DA121A" w:rsidRDefault="00904DD6">
            <w:pPr>
              <w:spacing w:after="0" w:line="259" w:lineRule="auto"/>
              <w:ind w:left="0" w:right="2590" w:firstLine="0"/>
              <w:jc w:val="right"/>
            </w:pPr>
            <w:r>
              <w:rPr>
                <w:rFonts w:ascii="Times New Roman" w:eastAsia="Times New Roman" w:hAnsi="Times New Roman" w:cs="Times New Roman"/>
                <w:b/>
                <w:sz w:val="18"/>
              </w:rPr>
              <w:t xml:space="preserve">ESTADO DE CONSOLIDACION DE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 GASTOS </w:t>
            </w:r>
            <w:r>
              <w:rPr>
                <w:rFonts w:ascii="Times New Roman" w:eastAsia="Times New Roman" w:hAnsi="Times New Roman" w:cs="Times New Roman"/>
                <w:sz w:val="24"/>
              </w:rPr>
              <w:t xml:space="preserve"> </w:t>
            </w:r>
          </w:p>
        </w:tc>
      </w:tr>
      <w:tr w:rsidR="00DA121A">
        <w:trPr>
          <w:trHeight w:val="632"/>
        </w:trPr>
        <w:tc>
          <w:tcPr>
            <w:tcW w:w="952"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09" w:firstLine="0"/>
              <w:jc w:val="left"/>
            </w:pPr>
            <w:r>
              <w:rPr>
                <w:rFonts w:ascii="Times New Roman" w:eastAsia="Times New Roman" w:hAnsi="Times New Roman" w:cs="Times New Roman"/>
                <w:b/>
                <w:sz w:val="18"/>
              </w:rPr>
              <w:t xml:space="preserve">Capítulos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91" w:firstLine="0"/>
              <w:jc w:val="left"/>
            </w:pPr>
            <w:r>
              <w:rPr>
                <w:rFonts w:ascii="Times New Roman" w:eastAsia="Times New Roman" w:hAnsi="Times New Roman" w:cs="Times New Roman"/>
                <w:b/>
                <w:sz w:val="18"/>
              </w:rPr>
              <w:t xml:space="preserve">Ayuntamiento </w:t>
            </w:r>
            <w:r>
              <w:rPr>
                <w:rFonts w:ascii="Times New Roman" w:eastAsia="Times New Roman" w:hAnsi="Times New Roman" w:cs="Times New Roman"/>
                <w:sz w:val="24"/>
              </w:rPr>
              <w:t xml:space="preserve"> </w:t>
            </w:r>
          </w:p>
        </w:tc>
        <w:tc>
          <w:tcPr>
            <w:tcW w:w="1179"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57" w:firstLine="0"/>
              <w:jc w:val="left"/>
            </w:pPr>
            <w:r>
              <w:rPr>
                <w:rFonts w:ascii="Times New Roman" w:eastAsia="Times New Roman" w:hAnsi="Times New Roman" w:cs="Times New Roman"/>
                <w:b/>
                <w:sz w:val="18"/>
              </w:rPr>
              <w:t xml:space="preserve">EPELCAN </w:t>
            </w:r>
            <w:r>
              <w:rPr>
                <w:rFonts w:ascii="Times New Roman" w:eastAsia="Times New Roman" w:hAnsi="Times New Roman" w:cs="Times New Roman"/>
                <w:sz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52" w:line="238" w:lineRule="auto"/>
              <w:ind w:left="18" w:firstLine="0"/>
              <w:jc w:val="center"/>
            </w:pPr>
            <w:r>
              <w:rPr>
                <w:rFonts w:ascii="Times New Roman" w:eastAsia="Times New Roman" w:hAnsi="Times New Roman" w:cs="Times New Roman"/>
                <w:b/>
                <w:sz w:val="18"/>
              </w:rPr>
              <w:t xml:space="preserve">Sdad. Municipal </w:t>
            </w:r>
          </w:p>
          <w:p w:rsidR="00DA121A" w:rsidRDefault="00904DD6">
            <w:pPr>
              <w:spacing w:after="0" w:line="259" w:lineRule="auto"/>
              <w:ind w:left="0" w:right="3" w:firstLine="0"/>
              <w:jc w:val="center"/>
            </w:pPr>
            <w:r>
              <w:rPr>
                <w:rFonts w:ascii="Times New Roman" w:eastAsia="Times New Roman" w:hAnsi="Times New Roman" w:cs="Times New Roman"/>
                <w:b/>
                <w:sz w:val="18"/>
              </w:rPr>
              <w:t xml:space="preserve">Viviendas </w:t>
            </w:r>
            <w:r>
              <w:rPr>
                <w:rFonts w:ascii="Times New Roman" w:eastAsia="Times New Roman" w:hAnsi="Times New Roman" w:cs="Times New Roman"/>
                <w:sz w:val="24"/>
              </w:rPr>
              <w:t xml:space="preserve"> </w:t>
            </w:r>
          </w:p>
        </w:tc>
        <w:tc>
          <w:tcPr>
            <w:tcW w:w="1246"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2" w:firstLine="0"/>
              <w:jc w:val="center"/>
            </w:pPr>
            <w:r>
              <w:rPr>
                <w:rFonts w:ascii="Times New Roman" w:eastAsia="Times New Roman" w:hAnsi="Times New Roman" w:cs="Times New Roman"/>
                <w:b/>
                <w:sz w:val="18"/>
              </w:rPr>
              <w:t xml:space="preserve">Total </w:t>
            </w:r>
            <w:r>
              <w:rPr>
                <w:rFonts w:ascii="Times New Roman" w:eastAsia="Times New Roman" w:hAnsi="Times New Roman" w:cs="Times New Roman"/>
                <w:sz w:val="24"/>
              </w:rPr>
              <w:t xml:space="preserve"> </w:t>
            </w:r>
          </w:p>
        </w:tc>
        <w:tc>
          <w:tcPr>
            <w:tcW w:w="1224"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36" w:firstLine="0"/>
              <w:jc w:val="left"/>
            </w:pPr>
            <w:r>
              <w:rPr>
                <w:rFonts w:ascii="Times New Roman" w:eastAsia="Times New Roman" w:hAnsi="Times New Roman" w:cs="Times New Roman"/>
                <w:b/>
                <w:sz w:val="18"/>
              </w:rPr>
              <w:t>Eliminaciones</w:t>
            </w:r>
          </w:p>
        </w:tc>
        <w:tc>
          <w:tcPr>
            <w:tcW w:w="1306"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36" w:firstLine="0"/>
              <w:jc w:val="left"/>
            </w:pPr>
            <w:r>
              <w:rPr>
                <w:rFonts w:ascii="Times New Roman" w:eastAsia="Times New Roman" w:hAnsi="Times New Roman" w:cs="Times New Roman"/>
                <w:b/>
                <w:sz w:val="18"/>
              </w:rPr>
              <w:t xml:space="preserve">Pº </w:t>
            </w:r>
          </w:p>
          <w:p w:rsidR="00DA121A" w:rsidRDefault="00904DD6">
            <w:pPr>
              <w:spacing w:after="0" w:line="259" w:lineRule="auto"/>
              <w:ind w:left="-11"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rFonts w:ascii="Times New Roman" w:eastAsia="Times New Roman" w:hAnsi="Times New Roman" w:cs="Times New Roman"/>
                <w:sz w:val="24"/>
              </w:rPr>
              <w:t xml:space="preserve"> </w:t>
            </w:r>
          </w:p>
          <w:p w:rsidR="00DA121A" w:rsidRDefault="00904DD6">
            <w:pPr>
              <w:spacing w:after="0" w:line="259" w:lineRule="auto"/>
              <w:ind w:left="136" w:firstLine="0"/>
              <w:jc w:val="left"/>
            </w:pPr>
            <w:r>
              <w:rPr>
                <w:rFonts w:ascii="Times New Roman" w:eastAsia="Times New Roman" w:hAnsi="Times New Roman" w:cs="Times New Roman"/>
                <w:b/>
                <w:sz w:val="18"/>
              </w:rPr>
              <w:t xml:space="preserve">Consolidado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jc w:val="center"/>
            </w:pPr>
            <w:r>
              <w:rPr>
                <w:rFonts w:ascii="Times New Roman" w:eastAsia="Times New Roman" w:hAnsi="Times New Roman" w:cs="Times New Roman"/>
                <w:b/>
                <w:sz w:val="18"/>
              </w:rPr>
              <w:t xml:space="preserve">1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b/>
                <w:sz w:val="18"/>
              </w:rPr>
              <w:t xml:space="preserve">12.153.558,01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179"/>
              </w:tabs>
              <w:spacing w:after="0" w:line="259" w:lineRule="auto"/>
              <w:ind w:left="-23"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574.140,86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60"/>
              </w:tabs>
              <w:spacing w:after="0" w:line="259" w:lineRule="auto"/>
              <w:ind w:left="-28"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1.052.802,64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0"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13.780.501,51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0"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20"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13.780.501,51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jc w:val="center"/>
            </w:pPr>
            <w:r>
              <w:rPr>
                <w:rFonts w:ascii="Times New Roman" w:eastAsia="Times New Roman" w:hAnsi="Times New Roman" w:cs="Times New Roman"/>
                <w:b/>
                <w:sz w:val="18"/>
              </w:rPr>
              <w:t xml:space="preserve">2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b/>
                <w:sz w:val="18"/>
              </w:rPr>
              <w:t xml:space="preserve">10.764.100,01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179"/>
              </w:tabs>
              <w:spacing w:after="0" w:line="259" w:lineRule="auto"/>
              <w:ind w:left="-23"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317.019,83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60"/>
              </w:tabs>
              <w:spacing w:after="0" w:line="259" w:lineRule="auto"/>
              <w:ind w:left="-28"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58.222,27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3"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11.139.342,11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24"/>
              </w:tabs>
              <w:spacing w:after="0" w:line="259" w:lineRule="auto"/>
              <w:ind w:left="-2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0,00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3"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11.139.342,11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jc w:val="center"/>
            </w:pPr>
            <w:r>
              <w:rPr>
                <w:rFonts w:ascii="Times New Roman" w:eastAsia="Times New Roman" w:hAnsi="Times New Roman" w:cs="Times New Roman"/>
                <w:b/>
                <w:sz w:val="18"/>
              </w:rPr>
              <w:t xml:space="preserve">3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b/>
                <w:sz w:val="18"/>
              </w:rPr>
              <w:t xml:space="preserve">85.000,00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5" w:right="-2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DA121A">
            <w:pPr>
              <w:spacing w:after="160" w:line="259" w:lineRule="auto"/>
              <w:ind w:left="0" w:firstLine="0"/>
              <w:jc w:val="left"/>
            </w:pP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20"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85.000,00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3"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20"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85.000,00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jc w:val="center"/>
            </w:pPr>
            <w:r>
              <w:rPr>
                <w:rFonts w:ascii="Times New Roman" w:eastAsia="Times New Roman" w:hAnsi="Times New Roman" w:cs="Times New Roman"/>
                <w:b/>
                <w:sz w:val="18"/>
              </w:rPr>
              <w:t xml:space="preserve">4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8" w:firstLine="0"/>
              <w:jc w:val="right"/>
            </w:pPr>
            <w:r>
              <w:rPr>
                <w:rFonts w:ascii="Times New Roman" w:eastAsia="Times New Roman" w:hAnsi="Times New Roman" w:cs="Times New Roman"/>
                <w:b/>
                <w:sz w:val="18"/>
              </w:rPr>
              <w:t xml:space="preserve">3.376.303,01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3" w:right="-2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DA121A">
            <w:pPr>
              <w:spacing w:after="160" w:line="259" w:lineRule="auto"/>
              <w:ind w:left="0" w:firstLine="0"/>
              <w:jc w:val="left"/>
            </w:pP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20"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3.376.303,01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0"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1.299.657,33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2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2.076.645,68 </w:t>
            </w:r>
          </w:p>
        </w:tc>
      </w:tr>
      <w:tr w:rsidR="00DA121A">
        <w:trPr>
          <w:trHeight w:val="288"/>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6" w:firstLine="0"/>
              <w:jc w:val="center"/>
            </w:pPr>
            <w:r>
              <w:rPr>
                <w:rFonts w:ascii="Times New Roman" w:eastAsia="Times New Roman" w:hAnsi="Times New Roman" w:cs="Times New Roman"/>
                <w:b/>
                <w:sz w:val="18"/>
              </w:rPr>
              <w:t xml:space="preserve">5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DA121A">
            <w:pPr>
              <w:spacing w:after="160" w:line="259" w:lineRule="auto"/>
              <w:ind w:left="0" w:firstLine="0"/>
              <w:jc w:val="left"/>
            </w:pP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b/>
                <w:sz w:val="1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b/>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6"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0,00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8"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0,00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6" w:firstLine="0"/>
              <w:jc w:val="center"/>
            </w:pPr>
            <w:r>
              <w:rPr>
                <w:rFonts w:ascii="Times New Roman" w:eastAsia="Times New Roman" w:hAnsi="Times New Roman" w:cs="Times New Roman"/>
                <w:b/>
                <w:sz w:val="18"/>
              </w:rPr>
              <w:t xml:space="preserve">6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4" w:firstLine="0"/>
              <w:jc w:val="right"/>
            </w:pPr>
            <w:r>
              <w:rPr>
                <w:rFonts w:ascii="Times New Roman" w:eastAsia="Times New Roman" w:hAnsi="Times New Roman" w:cs="Times New Roman"/>
                <w:b/>
                <w:sz w:val="18"/>
              </w:rPr>
              <w:t xml:space="preserve">899.943,32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b/>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6"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899.943,32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8"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899.943,32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6" w:firstLine="0"/>
              <w:jc w:val="center"/>
            </w:pPr>
            <w:r>
              <w:rPr>
                <w:rFonts w:ascii="Times New Roman" w:eastAsia="Times New Roman" w:hAnsi="Times New Roman" w:cs="Times New Roman"/>
                <w:b/>
                <w:sz w:val="18"/>
              </w:rPr>
              <w:t xml:space="preserve">7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6" w:firstLine="0"/>
              <w:jc w:val="right"/>
            </w:pPr>
            <w:r>
              <w:rPr>
                <w:rFonts w:ascii="Times New Roman" w:eastAsia="Times New Roman" w:hAnsi="Times New Roman" w:cs="Times New Roman"/>
                <w:b/>
                <w:sz w:val="18"/>
              </w:rPr>
              <w:t xml:space="preserve">20.000,00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b/>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6"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20.000,00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8"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20.000,00 </w:t>
            </w:r>
          </w:p>
        </w:tc>
      </w:tr>
      <w:tr w:rsidR="00DA121A">
        <w:trPr>
          <w:trHeight w:val="286"/>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6" w:firstLine="0"/>
              <w:jc w:val="center"/>
            </w:pPr>
            <w:r>
              <w:rPr>
                <w:rFonts w:ascii="Times New Roman" w:eastAsia="Times New Roman" w:hAnsi="Times New Roman" w:cs="Times New Roman"/>
                <w:b/>
                <w:sz w:val="18"/>
              </w:rPr>
              <w:t xml:space="preserve">8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56" w:firstLine="0"/>
              <w:jc w:val="right"/>
            </w:pPr>
            <w:r>
              <w:rPr>
                <w:rFonts w:ascii="Times New Roman" w:eastAsia="Times New Roman" w:hAnsi="Times New Roman" w:cs="Times New Roman"/>
                <w:b/>
                <w:sz w:val="18"/>
              </w:rPr>
              <w:t xml:space="preserve">50.000,00 </w:t>
            </w: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sz w:val="24"/>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b/>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6"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50.000,00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8"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50.000,00 </w:t>
            </w:r>
          </w:p>
        </w:tc>
      </w:tr>
      <w:tr w:rsidR="00DA121A">
        <w:trPr>
          <w:trHeight w:val="287"/>
        </w:trPr>
        <w:tc>
          <w:tcPr>
            <w:tcW w:w="95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96" w:firstLine="0"/>
              <w:jc w:val="center"/>
            </w:pPr>
            <w:r>
              <w:rPr>
                <w:rFonts w:ascii="Times New Roman" w:eastAsia="Times New Roman" w:hAnsi="Times New Roman" w:cs="Times New Roman"/>
                <w:b/>
                <w:sz w:val="18"/>
              </w:rPr>
              <w:t xml:space="preserve">9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tcPr>
          <w:p w:rsidR="00DA121A" w:rsidRDefault="00DA121A">
            <w:pPr>
              <w:spacing w:after="160" w:line="259" w:lineRule="auto"/>
              <w:ind w:left="0" w:firstLine="0"/>
              <w:jc w:val="left"/>
            </w:pPr>
          </w:p>
        </w:tc>
        <w:tc>
          <w:tcPr>
            <w:tcW w:w="117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b/>
                <w:sz w:val="18"/>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1" w:firstLine="0"/>
              <w:jc w:val="left"/>
            </w:pPr>
            <w:r>
              <w:rPr>
                <w:rFonts w:ascii="Times New Roman" w:eastAsia="Times New Roman" w:hAnsi="Times New Roman" w:cs="Times New Roman"/>
                <w:b/>
                <w:sz w:val="18"/>
              </w:rPr>
              <w:t xml:space="preserve"> </w:t>
            </w:r>
          </w:p>
        </w:tc>
        <w:tc>
          <w:tcPr>
            <w:tcW w:w="124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6"/>
              </w:tabs>
              <w:spacing w:after="0" w:line="259" w:lineRule="auto"/>
              <w:ind w:left="-6"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0,00 </w:t>
            </w:r>
          </w:p>
        </w:tc>
        <w:tc>
          <w:tcPr>
            <w:tcW w:w="122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 w:firstLine="0"/>
              <w:jc w:val="left"/>
            </w:pPr>
            <w:r>
              <w:rPr>
                <w:rFonts w:ascii="Times New Roman" w:eastAsia="Times New Roman" w:hAnsi="Times New Roman" w:cs="Times New Roman"/>
                <w:sz w:val="24"/>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306"/>
              </w:tabs>
              <w:spacing w:after="0" w:line="259" w:lineRule="auto"/>
              <w:ind w:left="-8"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0,00 </w:t>
            </w:r>
          </w:p>
        </w:tc>
      </w:tr>
      <w:tr w:rsidR="00DA121A">
        <w:trPr>
          <w:trHeight w:val="292"/>
        </w:trPr>
        <w:tc>
          <w:tcPr>
            <w:tcW w:w="952"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24" w:firstLine="0"/>
              <w:jc w:val="left"/>
            </w:pPr>
            <w:r>
              <w:rPr>
                <w:rFonts w:ascii="Times New Roman" w:eastAsia="Times New Roman" w:hAnsi="Times New Roman" w:cs="Times New Roman"/>
                <w:b/>
                <w:sz w:val="18"/>
              </w:rPr>
              <w:t xml:space="preserve">TOTAL </w:t>
            </w:r>
            <w:r>
              <w:rPr>
                <w:rFonts w:ascii="Times New Roman" w:eastAsia="Times New Roman" w:hAnsi="Times New Roman" w:cs="Times New Roman"/>
                <w:sz w:val="24"/>
              </w:rPr>
              <w:t xml:space="preserve"> </w:t>
            </w:r>
          </w:p>
        </w:tc>
        <w:tc>
          <w:tcPr>
            <w:tcW w:w="1266"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right="54" w:firstLine="0"/>
              <w:jc w:val="right"/>
            </w:pPr>
            <w:r>
              <w:rPr>
                <w:rFonts w:ascii="Times New Roman" w:eastAsia="Times New Roman" w:hAnsi="Times New Roman" w:cs="Times New Roman"/>
                <w:b/>
                <w:sz w:val="18"/>
              </w:rPr>
              <w:t xml:space="preserve">27.348.904,35 </w:t>
            </w:r>
          </w:p>
        </w:tc>
        <w:tc>
          <w:tcPr>
            <w:tcW w:w="1179"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179"/>
              </w:tabs>
              <w:spacing w:after="0" w:line="259" w:lineRule="auto"/>
              <w:ind w:left="-8"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891.160,69 </w:t>
            </w:r>
          </w:p>
        </w:tc>
        <w:tc>
          <w:tcPr>
            <w:tcW w:w="1260"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260"/>
              </w:tabs>
              <w:spacing w:after="0" w:line="259" w:lineRule="auto"/>
              <w:ind w:left="-11"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1.111.024,91 </w:t>
            </w:r>
          </w:p>
        </w:tc>
        <w:tc>
          <w:tcPr>
            <w:tcW w:w="1246"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6"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29.351.089,95 </w:t>
            </w:r>
          </w:p>
        </w:tc>
        <w:tc>
          <w:tcPr>
            <w:tcW w:w="1224"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6"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1.299.657,33 </w:t>
            </w:r>
          </w:p>
        </w:tc>
        <w:tc>
          <w:tcPr>
            <w:tcW w:w="1306"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306"/>
              </w:tabs>
              <w:spacing w:after="0" w:line="259" w:lineRule="auto"/>
              <w:ind w:left="-6"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28.051.432,62 </w:t>
            </w:r>
          </w:p>
        </w:tc>
      </w:tr>
    </w:tbl>
    <w:p w:rsidR="00DA121A" w:rsidRDefault="00904DD6">
      <w:pPr>
        <w:spacing w:after="107" w:line="259" w:lineRule="auto"/>
        <w:ind w:left="0" w:right="8574" w:firstLine="0"/>
        <w:jc w:val="right"/>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p w:rsidR="00DA121A" w:rsidRDefault="00904DD6">
      <w:pPr>
        <w:spacing w:after="2" w:line="259" w:lineRule="auto"/>
        <w:ind w:left="0" w:right="1274" w:firstLine="0"/>
        <w:jc w:val="right"/>
      </w:pPr>
      <w:r>
        <w:rPr>
          <w:rFonts w:ascii="Times New Roman" w:eastAsia="Times New Roman" w:hAnsi="Times New Roman" w:cs="Times New Roman"/>
          <w:b/>
          <w:sz w:val="16"/>
        </w:rPr>
        <w:t xml:space="preserve">  </w:t>
      </w:r>
      <w:r>
        <w:rPr>
          <w:rFonts w:ascii="Times New Roman" w:eastAsia="Times New Roman" w:hAnsi="Times New Roman" w:cs="Times New Roman"/>
          <w:b/>
          <w:sz w:val="16"/>
        </w:rPr>
        <w:tab/>
      </w:r>
      <w:r>
        <w:rPr>
          <w:rFonts w:ascii="Times New Roman" w:eastAsia="Times New Roman" w:hAnsi="Times New Roman" w:cs="Times New Roman"/>
          <w:b/>
          <w:sz w:val="20"/>
        </w:rPr>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b/>
          <w:sz w:val="20"/>
        </w:rPr>
        <w:tab/>
        <w:t xml:space="preserve"> </w:t>
      </w:r>
      <w:r>
        <w:rPr>
          <w:rFonts w:ascii="Times New Roman" w:eastAsia="Times New Roman" w:hAnsi="Times New Roman" w:cs="Times New Roman"/>
          <w:sz w:val="24"/>
        </w:rPr>
        <w:t xml:space="preserve"> </w:t>
      </w:r>
    </w:p>
    <w:p w:rsidR="00DA121A" w:rsidRDefault="00904DD6">
      <w:pPr>
        <w:spacing w:after="0" w:line="259" w:lineRule="auto"/>
        <w:ind w:left="1325" w:firstLine="0"/>
        <w:jc w:val="left"/>
      </w:pPr>
      <w:r>
        <w:rPr>
          <w:rFonts w:ascii="Times New Roman" w:eastAsia="Times New Roman" w:hAnsi="Times New Roman" w:cs="Times New Roman"/>
          <w:b/>
          <w:sz w:val="20"/>
        </w:rPr>
        <w:t xml:space="preserve"> </w:t>
      </w:r>
      <w:r>
        <w:rPr>
          <w:rFonts w:ascii="Times New Roman" w:eastAsia="Times New Roman" w:hAnsi="Times New Roman" w:cs="Times New Roman"/>
          <w:sz w:val="24"/>
        </w:rPr>
        <w:t xml:space="preserve"> </w:t>
      </w:r>
    </w:p>
    <w:p w:rsidR="00DA121A" w:rsidRDefault="00904DD6">
      <w:pPr>
        <w:spacing w:after="0" w:line="259" w:lineRule="auto"/>
        <w:ind w:left="1325" w:firstLine="0"/>
        <w:jc w:val="left"/>
      </w:pPr>
      <w:r>
        <w:rPr>
          <w:rFonts w:ascii="Times New Roman" w:eastAsia="Times New Roman" w:hAnsi="Times New Roman" w:cs="Times New Roman"/>
          <w:b/>
          <w:sz w:val="20"/>
        </w:rPr>
        <w:t xml:space="preserve"> </w:t>
      </w:r>
      <w:r>
        <w:rPr>
          <w:rFonts w:ascii="Times New Roman" w:eastAsia="Times New Roman" w:hAnsi="Times New Roman" w:cs="Times New Roman"/>
          <w:sz w:val="24"/>
        </w:rPr>
        <w:t xml:space="preserve"> </w:t>
      </w:r>
    </w:p>
    <w:tbl>
      <w:tblPr>
        <w:tblStyle w:val="TableGrid"/>
        <w:tblW w:w="8440" w:type="dxa"/>
        <w:tblInd w:w="302" w:type="dxa"/>
        <w:tblCellMar>
          <w:top w:w="25" w:type="dxa"/>
          <w:left w:w="0" w:type="dxa"/>
          <w:bottom w:w="0" w:type="dxa"/>
          <w:right w:w="0" w:type="dxa"/>
        </w:tblCellMar>
        <w:tblLook w:val="04A0" w:firstRow="1" w:lastRow="0" w:firstColumn="1" w:lastColumn="0" w:noHBand="0" w:noVBand="1"/>
      </w:tblPr>
      <w:tblGrid>
        <w:gridCol w:w="954"/>
        <w:gridCol w:w="1301"/>
        <w:gridCol w:w="1169"/>
        <w:gridCol w:w="1248"/>
        <w:gridCol w:w="1244"/>
        <w:gridCol w:w="1238"/>
        <w:gridCol w:w="1286"/>
      </w:tblGrid>
      <w:tr w:rsidR="00DA121A">
        <w:trPr>
          <w:trHeight w:val="347"/>
        </w:trPr>
        <w:tc>
          <w:tcPr>
            <w:tcW w:w="2255" w:type="dxa"/>
            <w:gridSpan w:val="2"/>
            <w:tcBorders>
              <w:top w:val="nil"/>
              <w:left w:val="nil"/>
              <w:bottom w:val="single" w:sz="4" w:space="0" w:color="000000"/>
              <w:right w:val="nil"/>
            </w:tcBorders>
            <w:shd w:val="clear" w:color="auto" w:fill="BFBFBF"/>
          </w:tcPr>
          <w:p w:rsidR="00DA121A" w:rsidRDefault="00904DD6">
            <w:pPr>
              <w:spacing w:after="0" w:line="259" w:lineRule="auto"/>
              <w:ind w:left="104"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 </w:t>
            </w:r>
          </w:p>
        </w:tc>
        <w:tc>
          <w:tcPr>
            <w:tcW w:w="6185" w:type="dxa"/>
            <w:gridSpan w:val="5"/>
            <w:tcBorders>
              <w:top w:val="nil"/>
              <w:left w:val="nil"/>
              <w:bottom w:val="single" w:sz="4" w:space="0" w:color="000000"/>
              <w:right w:val="nil"/>
            </w:tcBorders>
            <w:shd w:val="clear" w:color="auto" w:fill="BFBFBF"/>
          </w:tcPr>
          <w:p w:rsidR="00DA121A" w:rsidRDefault="00904DD6">
            <w:pPr>
              <w:tabs>
                <w:tab w:val="center" w:pos="2192"/>
                <w:tab w:val="center" w:pos="5005"/>
              </w:tabs>
              <w:spacing w:after="0" w:line="259" w:lineRule="auto"/>
              <w:ind w:left="0" w:firstLine="0"/>
              <w:jc w:val="left"/>
            </w:pPr>
            <w:r>
              <w:rPr>
                <w:rFonts w:ascii="Calibri" w:eastAsia="Calibri" w:hAnsi="Calibri" w:cs="Calibri"/>
              </w:rPr>
              <w:tab/>
            </w:r>
            <w:r>
              <w:rPr>
                <w:rFonts w:ascii="Times New Roman" w:eastAsia="Times New Roman" w:hAnsi="Times New Roman" w:cs="Times New Roman"/>
                <w:b/>
                <w:sz w:val="18"/>
              </w:rPr>
              <w:t xml:space="preserve">ESTADO DE CONSOLIDACION DE INGRESOS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 </w:t>
            </w:r>
          </w:p>
        </w:tc>
      </w:tr>
      <w:tr w:rsidR="00DA121A">
        <w:trPr>
          <w:trHeight w:val="661"/>
        </w:trPr>
        <w:tc>
          <w:tcPr>
            <w:tcW w:w="954"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07" w:firstLine="0"/>
              <w:jc w:val="left"/>
            </w:pPr>
            <w:r>
              <w:rPr>
                <w:rFonts w:ascii="Times New Roman" w:eastAsia="Times New Roman" w:hAnsi="Times New Roman" w:cs="Times New Roman"/>
                <w:b/>
                <w:sz w:val="18"/>
              </w:rPr>
              <w:t xml:space="preserve">Capítulos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06" w:firstLine="0"/>
              <w:jc w:val="left"/>
            </w:pPr>
            <w:r>
              <w:rPr>
                <w:rFonts w:ascii="Times New Roman" w:eastAsia="Times New Roman" w:hAnsi="Times New Roman" w:cs="Times New Roman"/>
                <w:b/>
                <w:sz w:val="18"/>
              </w:rPr>
              <w:t xml:space="preserve">Ayuntamiento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51" w:firstLine="0"/>
              <w:jc w:val="left"/>
            </w:pPr>
            <w:r>
              <w:rPr>
                <w:rFonts w:ascii="Times New Roman" w:eastAsia="Times New Roman" w:hAnsi="Times New Roman" w:cs="Times New Roman"/>
                <w:b/>
                <w:sz w:val="18"/>
              </w:rPr>
              <w:t xml:space="preserve">EPELCAN </w:t>
            </w:r>
            <w:r>
              <w:rPr>
                <w:rFonts w:ascii="Times New Roman" w:eastAsia="Times New Roman" w:hAnsi="Times New Roman" w:cs="Times New Roman"/>
                <w:sz w:val="24"/>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50" w:line="238" w:lineRule="auto"/>
              <w:ind w:left="55" w:firstLine="0"/>
              <w:jc w:val="center"/>
            </w:pPr>
            <w:r>
              <w:rPr>
                <w:rFonts w:ascii="Times New Roman" w:eastAsia="Times New Roman" w:hAnsi="Times New Roman" w:cs="Times New Roman"/>
                <w:b/>
                <w:sz w:val="18"/>
              </w:rPr>
              <w:t xml:space="preserve">Sdad. Municipal </w:t>
            </w:r>
          </w:p>
          <w:p w:rsidR="00DA121A" w:rsidRDefault="00904DD6">
            <w:pPr>
              <w:spacing w:after="0" w:line="259" w:lineRule="auto"/>
              <w:ind w:left="290" w:firstLine="0"/>
              <w:jc w:val="left"/>
            </w:pPr>
            <w:r>
              <w:rPr>
                <w:rFonts w:ascii="Times New Roman" w:eastAsia="Times New Roman" w:hAnsi="Times New Roman" w:cs="Times New Roman"/>
                <w:b/>
                <w:sz w:val="18"/>
              </w:rPr>
              <w:t xml:space="preserve">Viviendas </w:t>
            </w:r>
            <w:r>
              <w:rPr>
                <w:rFonts w:ascii="Times New Roman" w:eastAsia="Times New Roman" w:hAnsi="Times New Roman" w:cs="Times New Roman"/>
                <w:sz w:val="24"/>
              </w:rPr>
              <w:t xml:space="preserve"> </w:t>
            </w:r>
          </w:p>
        </w:tc>
        <w:tc>
          <w:tcPr>
            <w:tcW w:w="1244"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right="3" w:firstLine="0"/>
              <w:jc w:val="center"/>
            </w:pPr>
            <w:r>
              <w:rPr>
                <w:rFonts w:ascii="Times New Roman" w:eastAsia="Times New Roman" w:hAnsi="Times New Roman" w:cs="Times New Roman"/>
                <w:b/>
                <w:sz w:val="18"/>
              </w:rPr>
              <w:t xml:space="preserve">Total </w:t>
            </w:r>
            <w:r>
              <w:rPr>
                <w:rFonts w:ascii="Times New Roman" w:eastAsia="Times New Roman" w:hAnsi="Times New Roman" w:cs="Times New Roman"/>
                <w:sz w:val="24"/>
              </w:rPr>
              <w:t xml:space="preserve"> </w:t>
            </w:r>
          </w:p>
        </w:tc>
        <w:tc>
          <w:tcPr>
            <w:tcW w:w="123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134" w:firstLine="0"/>
              <w:jc w:val="left"/>
            </w:pPr>
            <w:r>
              <w:rPr>
                <w:rFonts w:ascii="Times New Roman" w:eastAsia="Times New Roman" w:hAnsi="Times New Roman" w:cs="Times New Roman"/>
                <w:b/>
                <w:sz w:val="18"/>
              </w:rPr>
              <w:t xml:space="preserve">Eliminaciones </w:t>
            </w:r>
          </w:p>
        </w:tc>
        <w:tc>
          <w:tcPr>
            <w:tcW w:w="1286"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32" w:line="259" w:lineRule="auto"/>
              <w:ind w:left="134" w:firstLine="0"/>
              <w:jc w:val="left"/>
            </w:pPr>
            <w:r>
              <w:rPr>
                <w:rFonts w:ascii="Times New Roman" w:eastAsia="Times New Roman" w:hAnsi="Times New Roman" w:cs="Times New Roman"/>
                <w:b/>
                <w:sz w:val="18"/>
              </w:rPr>
              <w:t xml:space="preserve">Pº </w:t>
            </w:r>
          </w:p>
          <w:p w:rsidR="00DA121A" w:rsidRDefault="00904DD6">
            <w:pPr>
              <w:spacing w:after="0" w:line="259" w:lineRule="auto"/>
              <w:ind w:left="134" w:firstLine="0"/>
              <w:jc w:val="left"/>
            </w:pPr>
            <w:r>
              <w:rPr>
                <w:rFonts w:ascii="Times New Roman" w:eastAsia="Times New Roman" w:hAnsi="Times New Roman" w:cs="Times New Roman"/>
                <w:b/>
                <w:sz w:val="18"/>
              </w:rPr>
              <w:t xml:space="preserve">Consolidado </w:t>
            </w:r>
            <w:r>
              <w:rPr>
                <w:rFonts w:ascii="Times New Roman" w:eastAsia="Times New Roman" w:hAnsi="Times New Roman" w:cs="Times New Roman"/>
                <w:sz w:val="24"/>
              </w:rPr>
              <w:t xml:space="preserve"> </w:t>
            </w:r>
          </w:p>
        </w:tc>
      </w:tr>
      <w:tr w:rsidR="00DA121A">
        <w:trPr>
          <w:trHeight w:val="314"/>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b/>
                <w:sz w:val="18"/>
              </w:rPr>
              <w:t xml:space="preserve">1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b/>
                <w:sz w:val="18"/>
              </w:rPr>
              <w:t xml:space="preserve">7.836.366,87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b/>
                <w:sz w:val="18"/>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b/>
                <w:sz w:val="18"/>
              </w:rPr>
              <w:t xml:space="preserve">7.836.366,87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4"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b/>
                <w:sz w:val="18"/>
              </w:rPr>
              <w:t xml:space="preserve">7.836.366,87 </w:t>
            </w:r>
          </w:p>
        </w:tc>
      </w:tr>
      <w:tr w:rsidR="00DA121A">
        <w:trPr>
          <w:trHeight w:val="314"/>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b/>
                <w:sz w:val="18"/>
              </w:rPr>
              <w:t xml:space="preserve">2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b/>
                <w:sz w:val="18"/>
              </w:rPr>
              <w:t xml:space="preserve">6.080.138,32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b/>
                <w:sz w:val="18"/>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b/>
                <w:sz w:val="18"/>
              </w:rPr>
              <w:t xml:space="preserve">6.080.138,32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4"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b/>
                <w:sz w:val="18"/>
              </w:rPr>
              <w:t xml:space="preserve">6.080.138,32 </w:t>
            </w:r>
          </w:p>
        </w:tc>
      </w:tr>
      <w:tr w:rsidR="00DA121A">
        <w:trPr>
          <w:trHeight w:val="314"/>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b/>
                <w:sz w:val="18"/>
              </w:rPr>
              <w:t xml:space="preserve">3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b/>
                <w:sz w:val="18"/>
              </w:rPr>
              <w:t xml:space="preserve">2.220.157,00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169"/>
              </w:tabs>
              <w:spacing w:after="0" w:line="259" w:lineRule="auto"/>
              <w:ind w:left="-26"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350.377,39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8"/>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10.654,00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4"/>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2.581.188,39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4"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b/>
                <w:sz w:val="18"/>
              </w:rPr>
              <w:t xml:space="preserve">2.581.188,39 </w:t>
            </w:r>
          </w:p>
        </w:tc>
      </w:tr>
      <w:tr w:rsidR="00DA121A">
        <w:trPr>
          <w:trHeight w:val="296"/>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b/>
                <w:sz w:val="18"/>
              </w:rPr>
              <w:t xml:space="preserve">4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b/>
                <w:sz w:val="18"/>
              </w:rPr>
              <w:t xml:space="preserve">9.201.396,00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169"/>
              </w:tabs>
              <w:spacing w:after="0" w:line="259" w:lineRule="auto"/>
              <w:ind w:left="-26"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541.435,01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48"/>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1.100.370,91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2"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10.843.201,92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38"/>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1.299.657,33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tabs>
                <w:tab w:val="right" w:pos="1286"/>
              </w:tabs>
              <w:spacing w:after="0" w:line="259" w:lineRule="auto"/>
              <w:ind w:left="-22"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9.543.544,59 </w:t>
            </w:r>
          </w:p>
        </w:tc>
      </w:tr>
      <w:tr w:rsidR="00DA121A">
        <w:trPr>
          <w:trHeight w:val="314"/>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b/>
                <w:sz w:val="18"/>
              </w:rPr>
              <w:t xml:space="preserve">5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4" w:firstLine="0"/>
              <w:jc w:val="right"/>
            </w:pPr>
            <w:r>
              <w:rPr>
                <w:rFonts w:ascii="Times New Roman" w:eastAsia="Times New Roman" w:hAnsi="Times New Roman" w:cs="Times New Roman"/>
                <w:b/>
                <w:sz w:val="18"/>
              </w:rPr>
              <w:t xml:space="preserve">7.115,00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9"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b/>
                <w:sz w:val="18"/>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b/>
                <w:sz w:val="18"/>
              </w:rPr>
              <w:t xml:space="preserve">7.115,00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1" w:firstLine="0"/>
              <w:jc w:val="right"/>
            </w:pPr>
            <w:r>
              <w:rPr>
                <w:rFonts w:ascii="Times New Roman" w:eastAsia="Times New Roman" w:hAnsi="Times New Roman" w:cs="Times New Roman"/>
                <w:b/>
                <w:sz w:val="18"/>
              </w:rPr>
              <w:t xml:space="preserve">7.115,00 </w:t>
            </w:r>
          </w:p>
        </w:tc>
      </w:tr>
      <w:tr w:rsidR="00DA121A">
        <w:trPr>
          <w:trHeight w:val="314"/>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b/>
                <w:sz w:val="18"/>
              </w:rPr>
              <w:t xml:space="preserve">7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2" w:firstLine="0"/>
              <w:jc w:val="right"/>
            </w:pPr>
            <w:r>
              <w:rPr>
                <w:rFonts w:ascii="Times New Roman" w:eastAsia="Times New Roman" w:hAnsi="Times New Roman" w:cs="Times New Roman"/>
                <w:b/>
                <w:sz w:val="18"/>
              </w:rPr>
              <w:t xml:space="preserve">2.003.731,16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b/>
                <w:sz w:val="18"/>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b/>
                <w:sz w:val="18"/>
              </w:rPr>
              <w:t xml:space="preserve">2.003.731,16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4"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69" w:firstLine="0"/>
              <w:jc w:val="right"/>
            </w:pPr>
            <w:r>
              <w:rPr>
                <w:rFonts w:ascii="Times New Roman" w:eastAsia="Times New Roman" w:hAnsi="Times New Roman" w:cs="Times New Roman"/>
                <w:b/>
                <w:sz w:val="18"/>
              </w:rPr>
              <w:t xml:space="preserve">2.003.731,16 </w:t>
            </w:r>
          </w:p>
        </w:tc>
      </w:tr>
      <w:tr w:rsidR="00DA121A">
        <w:trPr>
          <w:trHeight w:val="314"/>
        </w:trPr>
        <w:tc>
          <w:tcPr>
            <w:tcW w:w="95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b/>
                <w:sz w:val="18"/>
              </w:rPr>
              <w:t xml:space="preserve">8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9" w:firstLine="0"/>
              <w:jc w:val="right"/>
            </w:pPr>
            <w:r>
              <w:rPr>
                <w:rFonts w:ascii="Times New Roman" w:eastAsia="Times New Roman" w:hAnsi="Times New Roman" w:cs="Times New Roman"/>
                <w:b/>
                <w:sz w:val="18"/>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b/>
                <w:sz w:val="18"/>
              </w:rPr>
              <w:t xml:space="preserve"> </w:t>
            </w:r>
          </w:p>
        </w:tc>
        <w:tc>
          <w:tcPr>
            <w:tcW w:w="124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b/>
                <w:sz w:val="18"/>
              </w:rPr>
              <w:t xml:space="preserve"> </w:t>
            </w:r>
          </w:p>
        </w:tc>
        <w:tc>
          <w:tcPr>
            <w:tcW w:w="124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1" w:firstLine="0"/>
              <w:jc w:val="right"/>
            </w:pPr>
            <w:r>
              <w:rPr>
                <w:rFonts w:ascii="Times New Roman" w:eastAsia="Times New Roman" w:hAnsi="Times New Roman" w:cs="Times New Roman"/>
                <w:b/>
                <w:sz w:val="18"/>
              </w:rPr>
              <w:t xml:space="preserve">0,00 </w:t>
            </w:r>
          </w:p>
        </w:tc>
        <w:tc>
          <w:tcPr>
            <w:tcW w:w="123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b/>
                <w:sz w:val="18"/>
              </w:rPr>
              <w:t xml:space="preserve">0,00 </w:t>
            </w:r>
          </w:p>
        </w:tc>
      </w:tr>
      <w:tr w:rsidR="00DA121A">
        <w:trPr>
          <w:trHeight w:val="326"/>
        </w:trPr>
        <w:tc>
          <w:tcPr>
            <w:tcW w:w="954"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2" w:firstLine="0"/>
              <w:jc w:val="center"/>
            </w:pPr>
            <w:r>
              <w:rPr>
                <w:rFonts w:ascii="Times New Roman" w:eastAsia="Times New Roman" w:hAnsi="Times New Roman" w:cs="Times New Roman"/>
                <w:b/>
                <w:sz w:val="18"/>
              </w:rPr>
              <w:t xml:space="preserve">9 </w:t>
            </w:r>
            <w:r>
              <w:rPr>
                <w:rFonts w:ascii="Times New Roman" w:eastAsia="Times New Roman" w:hAnsi="Times New Roman" w:cs="Times New Roman"/>
                <w:sz w:val="24"/>
              </w:rPr>
              <w:t xml:space="preserve"> </w:t>
            </w:r>
          </w:p>
        </w:tc>
        <w:tc>
          <w:tcPr>
            <w:tcW w:w="1301"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19" w:firstLine="0"/>
              <w:jc w:val="right"/>
            </w:pPr>
            <w:r>
              <w:rPr>
                <w:rFonts w:ascii="Times New Roman" w:eastAsia="Times New Roman" w:hAnsi="Times New Roman" w:cs="Times New Roman"/>
                <w:b/>
                <w:sz w:val="18"/>
              </w:rPr>
              <w:t xml:space="preserve"> </w:t>
            </w:r>
          </w:p>
        </w:tc>
        <w:tc>
          <w:tcPr>
            <w:tcW w:w="1169"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b/>
                <w:sz w:val="18"/>
              </w:rPr>
              <w:t xml:space="preserve"> </w:t>
            </w:r>
          </w:p>
        </w:tc>
        <w:tc>
          <w:tcPr>
            <w:tcW w:w="1248"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21" w:firstLine="0"/>
              <w:jc w:val="right"/>
            </w:pPr>
            <w:r>
              <w:rPr>
                <w:rFonts w:ascii="Times New Roman" w:eastAsia="Times New Roman" w:hAnsi="Times New Roman" w:cs="Times New Roman"/>
                <w:b/>
                <w:sz w:val="18"/>
              </w:rPr>
              <w:t xml:space="preserve"> </w:t>
            </w:r>
          </w:p>
        </w:tc>
        <w:tc>
          <w:tcPr>
            <w:tcW w:w="1244"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71" w:firstLine="0"/>
              <w:jc w:val="right"/>
            </w:pPr>
            <w:r>
              <w:rPr>
                <w:rFonts w:ascii="Times New Roman" w:eastAsia="Times New Roman" w:hAnsi="Times New Roman" w:cs="Times New Roman"/>
                <w:b/>
                <w:sz w:val="18"/>
              </w:rPr>
              <w:t xml:space="preserve">0,00 </w:t>
            </w:r>
          </w:p>
        </w:tc>
        <w:tc>
          <w:tcPr>
            <w:tcW w:w="1238"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26" w:right="-21"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vertAlign w:val="subscript"/>
              </w:rPr>
              <w:t xml:space="preserve"> </w:t>
            </w:r>
          </w:p>
        </w:tc>
        <w:tc>
          <w:tcPr>
            <w:tcW w:w="1286" w:type="dxa"/>
            <w:tcBorders>
              <w:top w:val="single" w:sz="4" w:space="0" w:color="000000"/>
              <w:left w:val="single" w:sz="4" w:space="0" w:color="000000"/>
              <w:bottom w:val="single" w:sz="12" w:space="0" w:color="BFBFBF"/>
              <w:right w:val="single" w:sz="4" w:space="0" w:color="000000"/>
            </w:tcBorders>
          </w:tcPr>
          <w:p w:rsidR="00DA121A" w:rsidRDefault="00904DD6">
            <w:pPr>
              <w:spacing w:after="0" w:line="259" w:lineRule="auto"/>
              <w:ind w:left="0" w:right="70" w:firstLine="0"/>
              <w:jc w:val="right"/>
            </w:pPr>
            <w:r>
              <w:rPr>
                <w:rFonts w:ascii="Times New Roman" w:eastAsia="Times New Roman" w:hAnsi="Times New Roman" w:cs="Times New Roman"/>
                <w:b/>
                <w:sz w:val="18"/>
              </w:rPr>
              <w:t xml:space="preserve">0,00 </w:t>
            </w:r>
          </w:p>
        </w:tc>
      </w:tr>
      <w:tr w:rsidR="00DA121A">
        <w:trPr>
          <w:trHeight w:val="311"/>
        </w:trPr>
        <w:tc>
          <w:tcPr>
            <w:tcW w:w="954"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72" w:firstLine="0"/>
              <w:jc w:val="left"/>
            </w:pPr>
            <w:r>
              <w:rPr>
                <w:rFonts w:ascii="Times New Roman" w:eastAsia="Times New Roman" w:hAnsi="Times New Roman" w:cs="Times New Roman"/>
                <w:b/>
                <w:sz w:val="18"/>
              </w:rPr>
              <w:t xml:space="preserve">TOTAL </w:t>
            </w:r>
            <w:r>
              <w:rPr>
                <w:rFonts w:ascii="Times New Roman" w:eastAsia="Times New Roman" w:hAnsi="Times New Roman" w:cs="Times New Roman"/>
                <w:sz w:val="24"/>
              </w:rPr>
              <w:t xml:space="preserve"> </w:t>
            </w:r>
          </w:p>
        </w:tc>
        <w:tc>
          <w:tcPr>
            <w:tcW w:w="1301"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right="72" w:firstLine="0"/>
              <w:jc w:val="right"/>
            </w:pPr>
            <w:r>
              <w:rPr>
                <w:rFonts w:ascii="Times New Roman" w:eastAsia="Times New Roman" w:hAnsi="Times New Roman" w:cs="Times New Roman"/>
                <w:b/>
                <w:sz w:val="18"/>
              </w:rPr>
              <w:t xml:space="preserve">27.348.904,35 </w:t>
            </w:r>
          </w:p>
        </w:tc>
        <w:tc>
          <w:tcPr>
            <w:tcW w:w="1169"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tabs>
                <w:tab w:val="right" w:pos="1169"/>
              </w:tabs>
              <w:spacing w:after="0" w:line="259" w:lineRule="auto"/>
              <w:ind w:left="-26"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891.812,40 </w:t>
            </w:r>
          </w:p>
        </w:tc>
        <w:tc>
          <w:tcPr>
            <w:tcW w:w="1248"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tabs>
                <w:tab w:val="right" w:pos="1248"/>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1.111.024,91 </w:t>
            </w:r>
          </w:p>
        </w:tc>
        <w:tc>
          <w:tcPr>
            <w:tcW w:w="1244"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22"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29.351.741,66 </w:t>
            </w:r>
          </w:p>
        </w:tc>
        <w:tc>
          <w:tcPr>
            <w:tcW w:w="1238"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tabs>
                <w:tab w:val="right" w:pos="1238"/>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1.299.657,33 </w:t>
            </w:r>
          </w:p>
        </w:tc>
        <w:tc>
          <w:tcPr>
            <w:tcW w:w="1286" w:type="dxa"/>
            <w:tcBorders>
              <w:top w:val="single" w:sz="12" w:space="0" w:color="BFBFBF"/>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22" w:firstLine="0"/>
            </w:pPr>
            <w:r>
              <w:rPr>
                <w:rFonts w:ascii="Times New Roman" w:eastAsia="Times New Roman" w:hAnsi="Times New Roman" w:cs="Times New Roman"/>
                <w:sz w:val="24"/>
              </w:rPr>
              <w:t xml:space="preserve"> </w:t>
            </w:r>
            <w:r>
              <w:rPr>
                <w:rFonts w:ascii="Times New Roman" w:eastAsia="Times New Roman" w:hAnsi="Times New Roman" w:cs="Times New Roman"/>
                <w:b/>
                <w:sz w:val="18"/>
              </w:rPr>
              <w:t xml:space="preserve">28.052.084,33 </w:t>
            </w:r>
          </w:p>
        </w:tc>
      </w:tr>
    </w:tbl>
    <w:p w:rsidR="00DA121A" w:rsidRDefault="00904DD6">
      <w:pPr>
        <w:spacing w:after="0" w:line="259" w:lineRule="auto"/>
        <w:ind w:left="0" w:right="1279" w:firstLine="0"/>
        <w:jc w:val="right"/>
      </w:pP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b/>
          <w:sz w:val="18"/>
        </w:rPr>
        <w:tab/>
        <w:t xml:space="preserve"> </w:t>
      </w:r>
      <w:r>
        <w:rPr>
          <w:rFonts w:ascii="Times New Roman" w:eastAsia="Times New Roman" w:hAnsi="Times New Roman" w:cs="Times New Roman"/>
          <w:sz w:val="24"/>
        </w:rPr>
        <w:t xml:space="preserve"> </w:t>
      </w:r>
    </w:p>
    <w:tbl>
      <w:tblPr>
        <w:tblStyle w:val="TableGrid"/>
        <w:tblW w:w="8440" w:type="dxa"/>
        <w:tblInd w:w="306" w:type="dxa"/>
        <w:tblCellMar>
          <w:top w:w="32" w:type="dxa"/>
          <w:left w:w="0" w:type="dxa"/>
          <w:bottom w:w="0" w:type="dxa"/>
          <w:right w:w="0" w:type="dxa"/>
        </w:tblCellMar>
        <w:tblLook w:val="04A0" w:firstRow="1" w:lastRow="0" w:firstColumn="1" w:lastColumn="0" w:noHBand="0" w:noVBand="1"/>
      </w:tblPr>
      <w:tblGrid>
        <w:gridCol w:w="953"/>
        <w:gridCol w:w="1272"/>
        <w:gridCol w:w="1187"/>
        <w:gridCol w:w="1272"/>
        <w:gridCol w:w="1250"/>
        <w:gridCol w:w="1206"/>
        <w:gridCol w:w="1300"/>
      </w:tblGrid>
      <w:tr w:rsidR="00DA121A">
        <w:trPr>
          <w:trHeight w:val="321"/>
        </w:trPr>
        <w:tc>
          <w:tcPr>
            <w:tcW w:w="953"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09" w:firstLine="0"/>
              <w:jc w:val="left"/>
            </w:pPr>
            <w:r>
              <w:rPr>
                <w:rFonts w:ascii="Times New Roman" w:eastAsia="Times New Roman" w:hAnsi="Times New Roman" w:cs="Times New Roman"/>
                <w:b/>
                <w:sz w:val="18"/>
              </w:rPr>
              <w:t xml:space="preserve">Superávit </w:t>
            </w:r>
            <w:r>
              <w:rPr>
                <w:rFonts w:ascii="Times New Roman" w:eastAsia="Times New Roman" w:hAnsi="Times New Roman" w:cs="Times New Roman"/>
                <w:sz w:val="24"/>
              </w:rPr>
              <w:t xml:space="preserve"> </w:t>
            </w:r>
          </w:p>
        </w:tc>
        <w:tc>
          <w:tcPr>
            <w:tcW w:w="1272"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right="72" w:firstLine="0"/>
              <w:jc w:val="right"/>
            </w:pPr>
            <w:r>
              <w:rPr>
                <w:rFonts w:ascii="Times New Roman" w:eastAsia="Times New Roman" w:hAnsi="Times New Roman" w:cs="Times New Roman"/>
                <w:b/>
                <w:sz w:val="18"/>
              </w:rPr>
              <w:t xml:space="preserve">0,00 </w:t>
            </w:r>
          </w:p>
        </w:tc>
        <w:tc>
          <w:tcPr>
            <w:tcW w:w="1187"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187"/>
              </w:tabs>
              <w:spacing w:after="0" w:line="259" w:lineRule="auto"/>
              <w:ind w:left="-28"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651,71 </w:t>
            </w:r>
          </w:p>
        </w:tc>
        <w:tc>
          <w:tcPr>
            <w:tcW w:w="1272"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272"/>
              </w:tabs>
              <w:spacing w:after="0" w:line="259" w:lineRule="auto"/>
              <w:ind w:left="-26"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0,00 </w:t>
            </w:r>
          </w:p>
        </w:tc>
        <w:tc>
          <w:tcPr>
            <w:tcW w:w="1250"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250"/>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651,71 </w:t>
            </w:r>
          </w:p>
        </w:tc>
        <w:tc>
          <w:tcPr>
            <w:tcW w:w="1206"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206"/>
              </w:tabs>
              <w:spacing w:after="0" w:line="259" w:lineRule="auto"/>
              <w:ind w:left="-25"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0,00 </w:t>
            </w:r>
          </w:p>
        </w:tc>
        <w:tc>
          <w:tcPr>
            <w:tcW w:w="1300"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tabs>
                <w:tab w:val="right" w:pos="1300"/>
              </w:tabs>
              <w:spacing w:after="0" w:line="259" w:lineRule="auto"/>
              <w:ind w:left="-2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18"/>
              </w:rPr>
              <w:t xml:space="preserve">651,71 </w:t>
            </w:r>
          </w:p>
        </w:tc>
      </w:tr>
    </w:tbl>
    <w:p w:rsidR="00DA121A" w:rsidRDefault="00904DD6">
      <w:pPr>
        <w:spacing w:after="0" w:line="259" w:lineRule="auto"/>
        <w:ind w:left="284" w:firstLine="0"/>
        <w:jc w:val="left"/>
      </w:pPr>
      <w:r>
        <w:rPr>
          <w:rFonts w:ascii="Times New Roman" w:eastAsia="Times New Roman" w:hAnsi="Times New Roman" w:cs="Times New Roman"/>
          <w:b/>
          <w:sz w:val="18"/>
        </w:rPr>
        <w:t xml:space="preserve"> </w:t>
      </w:r>
      <w:r>
        <w:rPr>
          <w:rFonts w:ascii="Times New Roman" w:eastAsia="Times New Roman" w:hAnsi="Times New Roman" w:cs="Times New Roman"/>
          <w:sz w:val="24"/>
        </w:rPr>
        <w:t xml:space="preserve"> </w:t>
      </w:r>
    </w:p>
    <w:p w:rsidR="00DA121A" w:rsidRDefault="00904DD6">
      <w:pPr>
        <w:spacing w:after="52" w:line="259" w:lineRule="auto"/>
        <w:ind w:left="284"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DA121A" w:rsidRDefault="00904DD6">
      <w:pPr>
        <w:spacing w:after="237"/>
        <w:ind w:left="279" w:right="144"/>
      </w:pPr>
      <w:r>
        <w:rPr>
          <w:b/>
        </w:rPr>
        <w:t xml:space="preserve">II.-  Plantilla Orgánica 2.023 </w:t>
      </w:r>
      <w:r>
        <w:rPr>
          <w:rFonts w:ascii="Times New Roman" w:eastAsia="Times New Roman" w:hAnsi="Times New Roman" w:cs="Times New Roman"/>
          <w:sz w:val="24"/>
        </w:rPr>
        <w:t xml:space="preserve"> </w:t>
      </w:r>
    </w:p>
    <w:p w:rsidR="00DA121A" w:rsidRDefault="00904DD6">
      <w:pPr>
        <w:spacing w:after="0" w:line="259" w:lineRule="auto"/>
        <w:ind w:left="341" w:firstLine="0"/>
        <w:jc w:val="center"/>
      </w:pP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 </w:t>
      </w:r>
    </w:p>
    <w:p w:rsidR="00DA121A" w:rsidRDefault="00904DD6">
      <w:pPr>
        <w:spacing w:after="4"/>
        <w:ind w:left="279" w:right="144"/>
      </w:pPr>
      <w:r>
        <w:rPr>
          <w:b/>
        </w:rPr>
        <w:t xml:space="preserve">Plantilla Orgánica 2023  </w:t>
      </w:r>
    </w:p>
    <w:p w:rsidR="00DA121A" w:rsidRDefault="00904DD6">
      <w:pPr>
        <w:spacing w:after="0" w:line="259" w:lineRule="auto"/>
        <w:ind w:left="326" w:firstLine="0"/>
        <w:jc w:val="center"/>
      </w:pPr>
      <w:r>
        <w:rPr>
          <w:b/>
        </w:rPr>
        <w:t xml:space="preserve"> </w:t>
      </w:r>
      <w:r>
        <w:rPr>
          <w:rFonts w:ascii="Times New Roman" w:eastAsia="Times New Roman" w:hAnsi="Times New Roman" w:cs="Times New Roman"/>
          <w:sz w:val="24"/>
        </w:rPr>
        <w:t xml:space="preserve"> </w:t>
      </w:r>
    </w:p>
    <w:p w:rsidR="00DA121A" w:rsidRDefault="00904DD6">
      <w:pPr>
        <w:spacing w:after="0" w:line="259" w:lineRule="auto"/>
        <w:ind w:left="220" w:firstLine="0"/>
        <w:jc w:val="center"/>
      </w:pPr>
      <w:r>
        <w:rPr>
          <w:b/>
        </w:rPr>
        <w:t xml:space="preserve"> </w:t>
      </w:r>
    </w:p>
    <w:p w:rsidR="00DA121A" w:rsidRDefault="00904DD6">
      <w:pPr>
        <w:numPr>
          <w:ilvl w:val="0"/>
          <w:numId w:val="23"/>
        </w:numPr>
        <w:spacing w:after="36"/>
        <w:ind w:hanging="367"/>
        <w:jc w:val="left"/>
      </w:pPr>
      <w:r>
        <w:rPr>
          <w:b/>
        </w:rPr>
        <w:t xml:space="preserve">PLAZAS RESERVADAS A FUNCIONARIOS/AS  </w:t>
      </w:r>
    </w:p>
    <w:p w:rsidR="00DA121A" w:rsidRDefault="00904DD6">
      <w:pPr>
        <w:spacing w:after="0" w:line="259" w:lineRule="auto"/>
        <w:ind w:left="284" w:firstLine="0"/>
        <w:jc w:val="left"/>
      </w:pPr>
      <w:r>
        <w:rPr>
          <w:rFonts w:ascii="Times New Roman" w:eastAsia="Times New Roman" w:hAnsi="Times New Roman" w:cs="Times New Roman"/>
          <w:b/>
          <w:sz w:val="14"/>
        </w:rPr>
        <w:t xml:space="preserve"> </w:t>
      </w:r>
      <w:r>
        <w:rPr>
          <w:rFonts w:ascii="Times New Roman" w:eastAsia="Times New Roman" w:hAnsi="Times New Roman" w:cs="Times New Roman"/>
          <w:sz w:val="24"/>
        </w:rPr>
        <w:t xml:space="preserve"> </w:t>
      </w:r>
    </w:p>
    <w:tbl>
      <w:tblPr>
        <w:tblStyle w:val="TableGrid"/>
        <w:tblW w:w="8716" w:type="dxa"/>
        <w:tblInd w:w="296" w:type="dxa"/>
        <w:tblCellMar>
          <w:top w:w="0" w:type="dxa"/>
          <w:left w:w="106" w:type="dxa"/>
          <w:bottom w:w="0" w:type="dxa"/>
          <w:right w:w="0" w:type="dxa"/>
        </w:tblCellMar>
        <w:tblLook w:val="04A0" w:firstRow="1" w:lastRow="0" w:firstColumn="1" w:lastColumn="0" w:noHBand="0" w:noVBand="1"/>
      </w:tblPr>
      <w:tblGrid>
        <w:gridCol w:w="5154"/>
        <w:gridCol w:w="1126"/>
        <w:gridCol w:w="1267"/>
        <w:gridCol w:w="1169"/>
      </w:tblGrid>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Plazas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80" w:firstLine="0"/>
              <w:jc w:val="left"/>
            </w:pPr>
            <w:r>
              <w:rPr>
                <w:b/>
                <w:sz w:val="20"/>
              </w:rPr>
              <w:t xml:space="preserve">Número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5" w:firstLine="0"/>
              <w:jc w:val="left"/>
            </w:pPr>
            <w:r>
              <w:rPr>
                <w:b/>
                <w:sz w:val="20"/>
              </w:rPr>
              <w:t xml:space="preserve">Subgrupo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left"/>
            </w:pPr>
            <w:r>
              <w:rPr>
                <w:b/>
                <w:sz w:val="20"/>
              </w:rPr>
              <w:t xml:space="preserve">Vacantes </w:t>
            </w:r>
            <w:r>
              <w:rPr>
                <w:rFonts w:ascii="Times New Roman" w:eastAsia="Times New Roman" w:hAnsi="Times New Roman" w:cs="Times New Roman"/>
                <w:sz w:val="24"/>
              </w:rPr>
              <w:t xml:space="preserve"> </w:t>
            </w:r>
          </w:p>
        </w:tc>
      </w:tr>
      <w:tr w:rsidR="00DA121A">
        <w:trPr>
          <w:trHeight w:val="286"/>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b/>
                <w:sz w:val="20"/>
              </w:rPr>
              <w:t xml:space="preserve">I.- FUNCIONARIOS CON HABILITACIÓN NACIONAL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b/>
                <w:sz w:val="20"/>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1" w:firstLine="0"/>
              <w:jc w:val="center"/>
            </w:pPr>
            <w:r>
              <w:rPr>
                <w:b/>
                <w:sz w:val="20"/>
              </w:rPr>
              <w:t xml:space="preserve">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Interventor/a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0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Secretario/a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0 </w:t>
            </w:r>
            <w:r>
              <w:rPr>
                <w:rFonts w:ascii="Times New Roman" w:eastAsia="Times New Roman" w:hAnsi="Times New Roman" w:cs="Times New Roman"/>
                <w:sz w:val="24"/>
              </w:rPr>
              <w:t xml:space="preserve"> </w:t>
            </w:r>
          </w:p>
        </w:tc>
      </w:tr>
      <w:tr w:rsidR="00DA121A">
        <w:trPr>
          <w:trHeight w:val="243"/>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Tesorero/a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2" w:space="0" w:color="DADADA"/>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85"/>
        </w:trPr>
        <w:tc>
          <w:tcPr>
            <w:tcW w:w="5153" w:type="dxa"/>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12" w:firstLine="0"/>
              <w:jc w:val="right"/>
            </w:pPr>
            <w:r>
              <w:rPr>
                <w:b/>
                <w:sz w:val="20"/>
              </w:rPr>
              <w:t xml:space="preserve">Total Habilitados Nacionales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02" w:firstLine="0"/>
              <w:jc w:val="center"/>
            </w:pPr>
            <w:r>
              <w:rPr>
                <w:b/>
                <w:sz w:val="20"/>
              </w:rPr>
              <w:t xml:space="preserve">3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2" w:space="0" w:color="DADADA"/>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89"/>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II.- ADMINISTRACIÓN GENERAL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b/>
                <w:sz w:val="20"/>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1" w:firstLine="0"/>
              <w:jc w:val="center"/>
            </w:pPr>
            <w:r>
              <w:rPr>
                <w:b/>
                <w:sz w:val="20"/>
              </w:rPr>
              <w:t xml:space="preserve"> </w:t>
            </w:r>
            <w:r>
              <w:rPr>
                <w:rFonts w:ascii="Times New Roman" w:eastAsia="Times New Roman" w:hAnsi="Times New Roman" w:cs="Times New Roman"/>
                <w:sz w:val="24"/>
              </w:rPr>
              <w:t xml:space="preserve"> </w:t>
            </w:r>
          </w:p>
        </w:tc>
      </w:tr>
      <w:tr w:rsidR="00DA121A">
        <w:trPr>
          <w:trHeight w:val="286"/>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1556"/>
              </w:tabs>
              <w:spacing w:after="0" w:line="259" w:lineRule="auto"/>
              <w:ind w:left="0" w:firstLine="0"/>
              <w:jc w:val="left"/>
            </w:pPr>
            <w:r>
              <w:rPr>
                <w:b/>
                <w:sz w:val="20"/>
              </w:rPr>
              <w:t xml:space="preserve"> </w:t>
            </w:r>
            <w:r>
              <w:rPr>
                <w:b/>
                <w:sz w:val="20"/>
              </w:rPr>
              <w:tab/>
              <w:t xml:space="preserve">A) SUBESCALA TÉCNICA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b/>
                <w:sz w:val="20"/>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1" w:firstLine="0"/>
              <w:jc w:val="center"/>
            </w:pPr>
            <w:r>
              <w:rPr>
                <w:b/>
                <w:sz w:val="20"/>
              </w:rPr>
              <w:t xml:space="preserve">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Jurídico Alcaldía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Jurídico Área Gobierno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6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6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Gestión Presupuestaria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Contratación, compras y patrimonio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Jurídico Gestión Tributaria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88"/>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1946"/>
              </w:tabs>
              <w:spacing w:after="0" w:line="259" w:lineRule="auto"/>
              <w:ind w:left="0" w:firstLine="0"/>
              <w:jc w:val="left"/>
            </w:pPr>
            <w:r>
              <w:rPr>
                <w:b/>
                <w:sz w:val="20"/>
              </w:rPr>
              <w:t xml:space="preserve"> </w:t>
            </w:r>
            <w:r>
              <w:rPr>
                <w:b/>
                <w:sz w:val="20"/>
              </w:rPr>
              <w:tab/>
              <w:t xml:space="preserve">B) SUBESCALA ADMINISTRATIVA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b/>
                <w:sz w:val="20"/>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1" w:firstLine="0"/>
              <w:jc w:val="center"/>
            </w:pPr>
            <w:r>
              <w:rPr>
                <w:b/>
                <w:sz w:val="20"/>
              </w:rPr>
              <w:t xml:space="preserve">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Administrativo/a Área de Gobierno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4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10" w:firstLine="0"/>
              <w:jc w:val="center"/>
            </w:pPr>
            <w:r>
              <w:rPr>
                <w:b/>
                <w:sz w:val="20"/>
              </w:rPr>
              <w:t xml:space="preserve">C1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4 </w:t>
            </w:r>
            <w:r>
              <w:rPr>
                <w:rFonts w:ascii="Times New Roman" w:eastAsia="Times New Roman" w:hAnsi="Times New Roman" w:cs="Times New Roman"/>
                <w:sz w:val="24"/>
              </w:rPr>
              <w:t xml:space="preserve"> </w:t>
            </w:r>
          </w:p>
        </w:tc>
      </w:tr>
      <w:tr w:rsidR="00DA121A">
        <w:trPr>
          <w:trHeight w:val="288"/>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1575"/>
              </w:tabs>
              <w:spacing w:after="0" w:line="259" w:lineRule="auto"/>
              <w:ind w:left="0" w:firstLine="0"/>
              <w:jc w:val="left"/>
            </w:pPr>
            <w:r>
              <w:rPr>
                <w:b/>
                <w:sz w:val="20"/>
              </w:rPr>
              <w:t xml:space="preserve"> </w:t>
            </w:r>
            <w:r>
              <w:rPr>
                <w:b/>
                <w:sz w:val="20"/>
              </w:rPr>
              <w:tab/>
              <w:t xml:space="preserve">C) SUBESCALA AUXILIAR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b/>
                <w:sz w:val="20"/>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1" w:firstLine="0"/>
              <w:jc w:val="center"/>
            </w:pPr>
            <w:r>
              <w:rPr>
                <w:b/>
                <w:sz w:val="20"/>
              </w:rPr>
              <w:t xml:space="preserve">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Auxiliar Apoyo Servicios Informáticos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10" w:firstLine="0"/>
              <w:jc w:val="center"/>
            </w:pPr>
            <w:r>
              <w:rPr>
                <w:b/>
                <w:sz w:val="20"/>
              </w:rPr>
              <w:t xml:space="preserve">C2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Auxiliar Áreas de Gobierno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39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10" w:firstLine="0"/>
              <w:jc w:val="center"/>
            </w:pPr>
            <w:r>
              <w:rPr>
                <w:b/>
                <w:sz w:val="20"/>
              </w:rPr>
              <w:t xml:space="preserve">C2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32 </w:t>
            </w:r>
            <w:r>
              <w:rPr>
                <w:rFonts w:ascii="Times New Roman" w:eastAsia="Times New Roman" w:hAnsi="Times New Roman" w:cs="Times New Roman"/>
                <w:sz w:val="24"/>
              </w:rPr>
              <w:t xml:space="preserve"> </w:t>
            </w:r>
          </w:p>
        </w:tc>
      </w:tr>
      <w:tr w:rsidR="00DA121A">
        <w:trPr>
          <w:trHeight w:val="244"/>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Gestor/a de Información y atención ciudadana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5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10" w:firstLine="0"/>
              <w:jc w:val="center"/>
            </w:pPr>
            <w:r>
              <w:rPr>
                <w:b/>
                <w:sz w:val="20"/>
              </w:rPr>
              <w:t xml:space="preserve">C2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2" w:space="0" w:color="DADADA"/>
              <w:right w:val="single" w:sz="4" w:space="0" w:color="000000"/>
            </w:tcBorders>
          </w:tcPr>
          <w:p w:rsidR="00DA121A" w:rsidRDefault="00904DD6">
            <w:pPr>
              <w:spacing w:after="0" w:line="259" w:lineRule="auto"/>
              <w:ind w:left="0" w:right="102" w:firstLine="0"/>
              <w:jc w:val="center"/>
            </w:pPr>
            <w:r>
              <w:rPr>
                <w:b/>
                <w:sz w:val="20"/>
              </w:rPr>
              <w:t xml:space="preserve">4 </w:t>
            </w:r>
            <w:r>
              <w:rPr>
                <w:rFonts w:ascii="Times New Roman" w:eastAsia="Times New Roman" w:hAnsi="Times New Roman" w:cs="Times New Roman"/>
                <w:sz w:val="24"/>
              </w:rPr>
              <w:t xml:space="preserve"> </w:t>
            </w:r>
          </w:p>
        </w:tc>
      </w:tr>
      <w:tr w:rsidR="00DA121A">
        <w:trPr>
          <w:trHeight w:val="283"/>
        </w:trPr>
        <w:tc>
          <w:tcPr>
            <w:tcW w:w="5153" w:type="dxa"/>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12" w:firstLine="0"/>
              <w:jc w:val="right"/>
            </w:pPr>
            <w:r>
              <w:rPr>
                <w:b/>
                <w:sz w:val="20"/>
              </w:rPr>
              <w:t xml:space="preserve">Total Administración General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02" w:firstLine="0"/>
              <w:jc w:val="center"/>
            </w:pPr>
            <w:r>
              <w:rPr>
                <w:b/>
                <w:sz w:val="20"/>
              </w:rPr>
              <w:t xml:space="preserve">59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2" w:space="0" w:color="DADADA"/>
              <w:left w:val="single" w:sz="4" w:space="0" w:color="000000"/>
              <w:bottom w:val="single" w:sz="4" w:space="0" w:color="000000"/>
              <w:right w:val="single" w:sz="4" w:space="0" w:color="000000"/>
            </w:tcBorders>
            <w:shd w:val="clear" w:color="auto" w:fill="DADADA"/>
          </w:tcPr>
          <w:p w:rsidR="00DA121A" w:rsidRDefault="00904DD6">
            <w:pPr>
              <w:spacing w:after="0" w:line="259" w:lineRule="auto"/>
              <w:ind w:left="0" w:right="107" w:firstLine="0"/>
              <w:jc w:val="center"/>
            </w:pPr>
            <w:r>
              <w:rPr>
                <w:b/>
                <w:sz w:val="20"/>
              </w:rPr>
              <w:t xml:space="preserve">51 </w:t>
            </w:r>
            <w:r>
              <w:rPr>
                <w:rFonts w:ascii="Times New Roman" w:eastAsia="Times New Roman" w:hAnsi="Times New Roman" w:cs="Times New Roman"/>
                <w:sz w:val="24"/>
              </w:rPr>
              <w:t xml:space="preserve"> </w:t>
            </w:r>
          </w:p>
        </w:tc>
      </w:tr>
      <w:tr w:rsidR="00DA121A">
        <w:trPr>
          <w:trHeight w:val="288"/>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III.- ADMINISTRACIÓN ESPECIAL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b/>
                <w:sz w:val="20"/>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9" w:firstLine="0"/>
              <w:jc w:val="center"/>
            </w:pPr>
            <w:r>
              <w:rPr>
                <w:b/>
                <w:sz w:val="20"/>
              </w:rPr>
              <w:t xml:space="preserve"> </w:t>
            </w:r>
            <w:r>
              <w:rPr>
                <w:rFonts w:ascii="Times New Roman" w:eastAsia="Times New Roman" w:hAnsi="Times New Roman" w:cs="Times New Roman"/>
                <w:sz w:val="24"/>
              </w:rPr>
              <w:t xml:space="preserve"> </w:t>
            </w:r>
          </w:p>
        </w:tc>
      </w:tr>
      <w:tr w:rsidR="00DA121A">
        <w:trPr>
          <w:trHeight w:val="286"/>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101"/>
              </w:tabs>
              <w:spacing w:after="0" w:line="259" w:lineRule="auto"/>
              <w:ind w:left="0" w:firstLine="0"/>
              <w:jc w:val="left"/>
            </w:pPr>
            <w:r>
              <w:rPr>
                <w:b/>
                <w:sz w:val="20"/>
              </w:rPr>
              <w:t xml:space="preserve"> </w:t>
            </w:r>
            <w:r>
              <w:rPr>
                <w:b/>
                <w:sz w:val="20"/>
              </w:rPr>
              <w:tab/>
            </w:r>
            <w:r>
              <w:rPr>
                <w:b/>
                <w:sz w:val="20"/>
              </w:rPr>
              <w:t xml:space="preserve">A) SUBESCALA TÉCNICA SUPERIOR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b/>
                <w:sz w:val="20"/>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9" w:firstLine="0"/>
              <w:jc w:val="center"/>
            </w:pPr>
            <w:r>
              <w:rPr>
                <w:b/>
                <w:sz w:val="20"/>
              </w:rPr>
              <w:t xml:space="preserve">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Arquitecto/a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de Accesibilidad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Psicologo/a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Pedagogo/a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Logopeda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3"/>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de Sanidad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47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7" w:firstLine="0"/>
              <w:jc w:val="left"/>
            </w:pPr>
            <w:r>
              <w:rPr>
                <w:b/>
                <w:sz w:val="20"/>
              </w:rPr>
              <w:t xml:space="preserve">Técnico/a de Identidad Canaria, Tradiciones y museo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2"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de Desarrollo y Medio Ambiente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473"/>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de Recursos patrimoniales, artesanía y etnografía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en Participación ciudadana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Agente de Desarrollo Local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3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3 </w:t>
            </w:r>
            <w:r>
              <w:rPr>
                <w:rFonts w:ascii="Times New Roman" w:eastAsia="Times New Roman" w:hAnsi="Times New Roman" w:cs="Times New Roman"/>
                <w:sz w:val="24"/>
              </w:rPr>
              <w:t xml:space="preserve"> </w:t>
            </w:r>
          </w:p>
        </w:tc>
      </w:tr>
      <w:tr w:rsidR="00DA121A">
        <w:trPr>
          <w:trHeight w:val="286"/>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1900"/>
              </w:tabs>
              <w:spacing w:after="0" w:line="259" w:lineRule="auto"/>
              <w:ind w:left="0" w:firstLine="0"/>
              <w:jc w:val="left"/>
            </w:pPr>
            <w:r>
              <w:rPr>
                <w:b/>
                <w:sz w:val="20"/>
              </w:rPr>
              <w:t xml:space="preserve"> </w:t>
            </w:r>
            <w:r>
              <w:rPr>
                <w:b/>
                <w:sz w:val="20"/>
              </w:rPr>
              <w:tab/>
              <w:t xml:space="preserve">B) SUBESCALA TÉCNICA MEDIA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b/>
                <w:sz w:val="20"/>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9" w:firstLine="0"/>
              <w:jc w:val="center"/>
            </w:pPr>
            <w:r>
              <w:rPr>
                <w:b/>
                <w:sz w:val="20"/>
              </w:rPr>
              <w:t xml:space="preserve">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Arquitecto Técnico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5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5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Ingeniero/a Técnico/a Topógrafo/a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Ingeniero/a Técnico/a Industrial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Servicios de Igualdad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de Menor y familia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3"/>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de Servicios Mayores y Discapacidad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47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Servicios de Información, Orientación y Valoración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47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de Servicios Drogodependencias e Inserción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Trabajador/a Social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5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5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Educador/a-Maestro/a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Fisioterapeuta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Archivero/a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Técnico/a Comercio y Turismo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Gestor de Recursos Humanos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Informador/a Turístico/a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86"/>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1664"/>
              </w:tabs>
              <w:spacing w:after="0" w:line="259" w:lineRule="auto"/>
              <w:ind w:left="0" w:firstLine="0"/>
              <w:jc w:val="left"/>
            </w:pPr>
            <w:r>
              <w:rPr>
                <w:b/>
                <w:sz w:val="20"/>
              </w:rPr>
              <w:t xml:space="preserve"> </w:t>
            </w:r>
            <w:r>
              <w:rPr>
                <w:b/>
                <w:sz w:val="20"/>
              </w:rPr>
              <w:tab/>
              <w:t xml:space="preserve">C) SERVICIOS ESPECIALES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b/>
                <w:sz w:val="20"/>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9" w:firstLine="0"/>
              <w:jc w:val="center"/>
            </w:pPr>
            <w:r>
              <w:rPr>
                <w:b/>
                <w:sz w:val="20"/>
              </w:rPr>
              <w:t xml:space="preserve"> </w:t>
            </w:r>
            <w:r>
              <w:rPr>
                <w:rFonts w:ascii="Times New Roman" w:eastAsia="Times New Roman" w:hAnsi="Times New Roman" w:cs="Times New Roman"/>
                <w:sz w:val="24"/>
              </w:rPr>
              <w:t xml:space="preserve"> </w:t>
            </w:r>
          </w:p>
        </w:tc>
      </w:tr>
      <w:tr w:rsidR="00DA121A">
        <w:trPr>
          <w:trHeight w:val="243"/>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Inspector/a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Subinspector/a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2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8" w:firstLine="0"/>
              <w:jc w:val="center"/>
            </w:pPr>
            <w:r>
              <w:rPr>
                <w:b/>
                <w:sz w:val="20"/>
              </w:rPr>
              <w:t xml:space="preserve">A2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2"/>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Oficial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7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10" w:firstLine="0"/>
              <w:jc w:val="center"/>
            </w:pPr>
            <w:r>
              <w:rPr>
                <w:b/>
                <w:sz w:val="20"/>
              </w:rPr>
              <w:t xml:space="preserve">C1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5 </w:t>
            </w:r>
            <w:r>
              <w:rPr>
                <w:rFonts w:ascii="Times New Roman" w:eastAsia="Times New Roman" w:hAnsi="Times New Roman" w:cs="Times New Roman"/>
                <w:sz w:val="24"/>
              </w:rPr>
              <w:t xml:space="preserve"> </w:t>
            </w:r>
          </w:p>
        </w:tc>
      </w:tr>
      <w:tr w:rsidR="00DA121A">
        <w:trPr>
          <w:trHeight w:val="240"/>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Policía Local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27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10" w:firstLine="0"/>
              <w:jc w:val="center"/>
            </w:pPr>
            <w:r>
              <w:rPr>
                <w:b/>
                <w:sz w:val="20"/>
              </w:rPr>
              <w:t xml:space="preserve">C1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5" w:firstLine="0"/>
              <w:jc w:val="center"/>
            </w:pPr>
            <w:r>
              <w:rPr>
                <w:b/>
                <w:sz w:val="20"/>
              </w:rPr>
              <w:t xml:space="preserve">3 </w:t>
            </w:r>
            <w:r>
              <w:rPr>
                <w:rFonts w:ascii="Times New Roman" w:eastAsia="Times New Roman" w:hAnsi="Times New Roman" w:cs="Times New Roman"/>
                <w:sz w:val="24"/>
              </w:rPr>
              <w:t xml:space="preserve"> </w:t>
            </w:r>
          </w:p>
        </w:tc>
      </w:tr>
      <w:tr w:rsidR="00DA121A">
        <w:trPr>
          <w:trHeight w:val="288"/>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11" w:firstLine="0"/>
              <w:jc w:val="right"/>
            </w:pPr>
            <w:r>
              <w:rPr>
                <w:b/>
                <w:sz w:val="20"/>
              </w:rPr>
              <w:t xml:space="preserve">Administración Especial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73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9" w:firstLine="0"/>
              <w:jc w:val="center"/>
            </w:pPr>
            <w:r>
              <w:rPr>
                <w:b/>
                <w:sz w:val="20"/>
              </w:rPr>
              <w:t xml:space="preserve">46 </w:t>
            </w:r>
            <w:r>
              <w:rPr>
                <w:rFonts w:ascii="Times New Roman" w:eastAsia="Times New Roman" w:hAnsi="Times New Roman" w:cs="Times New Roman"/>
                <w:sz w:val="24"/>
              </w:rPr>
              <w:t xml:space="preserve"> </w:t>
            </w:r>
          </w:p>
        </w:tc>
      </w:tr>
      <w:tr w:rsidR="00DA121A">
        <w:trPr>
          <w:trHeight w:val="286"/>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6" w:firstLine="0"/>
              <w:jc w:val="center"/>
            </w:pPr>
            <w:r>
              <w:rPr>
                <w:b/>
                <w:sz w:val="20"/>
              </w:rPr>
              <w:t xml:space="preserve">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9" w:firstLine="0"/>
              <w:jc w:val="center"/>
            </w:pPr>
            <w:r>
              <w:rPr>
                <w:b/>
                <w:sz w:val="20"/>
              </w:rPr>
              <w:t xml:space="preserve"> </w:t>
            </w:r>
            <w:r>
              <w:rPr>
                <w:rFonts w:ascii="Times New Roman" w:eastAsia="Times New Roman" w:hAnsi="Times New Roman" w:cs="Times New Roman"/>
                <w:sz w:val="24"/>
              </w:rPr>
              <w:t xml:space="preserve"> </w:t>
            </w:r>
          </w:p>
        </w:tc>
      </w:tr>
      <w:tr w:rsidR="00DA121A">
        <w:trPr>
          <w:trHeight w:val="288"/>
        </w:trPr>
        <w:tc>
          <w:tcPr>
            <w:tcW w:w="515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12" w:firstLine="0"/>
              <w:jc w:val="right"/>
            </w:pPr>
            <w:r>
              <w:rPr>
                <w:b/>
                <w:sz w:val="20"/>
              </w:rPr>
              <w:t xml:space="preserve">Total Funcionarios </w:t>
            </w:r>
            <w:r>
              <w:rPr>
                <w:rFonts w:ascii="Times New Roman" w:eastAsia="Times New Roman" w:hAnsi="Times New Roman" w:cs="Times New Roman"/>
                <w:sz w:val="24"/>
              </w:rPr>
              <w:t xml:space="preserve"> </w:t>
            </w:r>
          </w:p>
        </w:tc>
        <w:tc>
          <w:tcPr>
            <w:tcW w:w="1126"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7" w:firstLine="0"/>
              <w:jc w:val="center"/>
            </w:pPr>
            <w:r>
              <w:rPr>
                <w:b/>
                <w:sz w:val="20"/>
              </w:rPr>
              <w:t xml:space="preserve">132 </w:t>
            </w:r>
            <w:r>
              <w:rPr>
                <w:rFonts w:ascii="Times New Roman" w:eastAsia="Times New Roman" w:hAnsi="Times New Roman" w:cs="Times New Roman"/>
                <w:sz w:val="24"/>
              </w:rPr>
              <w:t xml:space="preserve"> </w:t>
            </w:r>
          </w:p>
        </w:tc>
        <w:tc>
          <w:tcPr>
            <w:tcW w:w="12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center"/>
            </w:pPr>
            <w:r>
              <w:rPr>
                <w:b/>
                <w:sz w:val="20"/>
              </w:rPr>
              <w:t xml:space="preserve"> </w:t>
            </w:r>
            <w:r>
              <w:rPr>
                <w:rFonts w:ascii="Times New Roman" w:eastAsia="Times New Roman" w:hAnsi="Times New Roman" w:cs="Times New Roman"/>
                <w:sz w:val="24"/>
              </w:rPr>
              <w:t xml:space="preserve"> </w:t>
            </w:r>
          </w:p>
        </w:tc>
        <w:tc>
          <w:tcPr>
            <w:tcW w:w="116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09" w:firstLine="0"/>
              <w:jc w:val="center"/>
            </w:pPr>
            <w:r>
              <w:rPr>
                <w:b/>
                <w:sz w:val="20"/>
              </w:rPr>
              <w:t xml:space="preserve">97 </w:t>
            </w:r>
            <w:r>
              <w:rPr>
                <w:rFonts w:ascii="Times New Roman" w:eastAsia="Times New Roman" w:hAnsi="Times New Roman" w:cs="Times New Roman"/>
                <w:sz w:val="24"/>
              </w:rPr>
              <w:t xml:space="preserve"> </w:t>
            </w:r>
          </w:p>
        </w:tc>
      </w:tr>
    </w:tbl>
    <w:p w:rsidR="00DA121A" w:rsidRDefault="00904DD6">
      <w:pPr>
        <w:spacing w:after="0" w:line="259" w:lineRule="auto"/>
        <w:ind w:left="284" w:firstLine="0"/>
        <w:jc w:val="left"/>
      </w:pPr>
      <w:r>
        <w:rPr>
          <w:b/>
          <w:sz w:val="20"/>
        </w:rPr>
        <w:t xml:space="preserve"> </w:t>
      </w:r>
      <w:r>
        <w:rPr>
          <w:rFonts w:ascii="Times New Roman" w:eastAsia="Times New Roman" w:hAnsi="Times New Roman" w:cs="Times New Roman"/>
          <w:sz w:val="24"/>
        </w:rPr>
        <w:t xml:space="preserve"> </w:t>
      </w:r>
    </w:p>
    <w:p w:rsidR="00DA121A" w:rsidRDefault="00904DD6">
      <w:pPr>
        <w:numPr>
          <w:ilvl w:val="0"/>
          <w:numId w:val="23"/>
        </w:numPr>
        <w:spacing w:after="33" w:line="259" w:lineRule="auto"/>
        <w:ind w:hanging="367"/>
        <w:jc w:val="left"/>
      </w:pPr>
      <w:r>
        <w:rPr>
          <w:b/>
          <w:sz w:val="20"/>
        </w:rPr>
        <w:t xml:space="preserve">PLAZAS RESERVADAS A PERSONAL LABORAL  </w:t>
      </w:r>
    </w:p>
    <w:p w:rsidR="00DA121A" w:rsidRDefault="00904DD6">
      <w:pPr>
        <w:spacing w:after="0" w:line="259" w:lineRule="auto"/>
        <w:ind w:left="284" w:firstLine="0"/>
        <w:jc w:val="left"/>
      </w:pPr>
      <w:r>
        <w:rPr>
          <w:b/>
          <w:sz w:val="20"/>
        </w:rPr>
        <w:t xml:space="preserve"> </w:t>
      </w:r>
      <w:r>
        <w:rPr>
          <w:rFonts w:ascii="Times New Roman" w:eastAsia="Times New Roman" w:hAnsi="Times New Roman" w:cs="Times New Roman"/>
          <w:sz w:val="24"/>
        </w:rPr>
        <w:t xml:space="preserve"> </w:t>
      </w:r>
    </w:p>
    <w:tbl>
      <w:tblPr>
        <w:tblStyle w:val="TableGrid"/>
        <w:tblW w:w="6913" w:type="dxa"/>
        <w:tblInd w:w="293" w:type="dxa"/>
        <w:tblCellMar>
          <w:top w:w="0" w:type="dxa"/>
          <w:left w:w="5" w:type="dxa"/>
          <w:bottom w:w="0" w:type="dxa"/>
          <w:right w:w="103" w:type="dxa"/>
        </w:tblCellMar>
        <w:tblLook w:val="04A0" w:firstRow="1" w:lastRow="0" w:firstColumn="1" w:lastColumn="0" w:noHBand="0" w:noVBand="1"/>
      </w:tblPr>
      <w:tblGrid>
        <w:gridCol w:w="6201"/>
        <w:gridCol w:w="437"/>
        <w:gridCol w:w="881"/>
      </w:tblGrid>
      <w:tr w:rsidR="00DA121A">
        <w:trPr>
          <w:trHeight w:val="242"/>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0" w:line="259" w:lineRule="auto"/>
              <w:ind w:left="0" w:firstLine="0"/>
              <w:jc w:val="left"/>
            </w:pPr>
            <w:r>
              <w:rPr>
                <w:b/>
                <w:sz w:val="20"/>
              </w:rPr>
              <w:t xml:space="preserve">Plaza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 w:firstLine="0"/>
              <w:jc w:val="center"/>
            </w:pPr>
            <w:r>
              <w:rPr>
                <w:b/>
                <w:sz w:val="20"/>
              </w:rPr>
              <w:t xml:space="preserve">Nº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jc w:val="center"/>
            </w:pPr>
            <w:r>
              <w:rPr>
                <w:b/>
                <w:sz w:val="20"/>
              </w:rPr>
              <w:t xml:space="preserve">Vacante </w:t>
            </w:r>
            <w:r>
              <w:rPr>
                <w:rFonts w:ascii="Times New Roman" w:eastAsia="Times New Roman" w:hAnsi="Times New Roman" w:cs="Times New Roman"/>
                <w:sz w:val="24"/>
              </w:rPr>
              <w:t xml:space="preserve"> </w:t>
            </w:r>
          </w:p>
        </w:tc>
      </w:tr>
      <w:tr w:rsidR="00DA121A">
        <w:trPr>
          <w:trHeight w:val="240"/>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0" w:line="259" w:lineRule="auto"/>
              <w:ind w:left="0" w:firstLine="0"/>
              <w:jc w:val="left"/>
            </w:pPr>
            <w:r>
              <w:rPr>
                <w:b/>
                <w:sz w:val="20"/>
              </w:rPr>
              <w:t xml:space="preserve">Fosero/a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 w:firstLine="0"/>
              <w:jc w:val="center"/>
            </w:pPr>
            <w:r>
              <w:rPr>
                <w:b/>
                <w:sz w:val="20"/>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473"/>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22" w:line="259" w:lineRule="auto"/>
              <w:ind w:left="0" w:firstLine="0"/>
              <w:jc w:val="left"/>
            </w:pPr>
            <w:r>
              <w:rPr>
                <w:b/>
                <w:sz w:val="20"/>
              </w:rPr>
              <w:t xml:space="preserve">Encargado/a de obras y </w:t>
            </w:r>
            <w:r>
              <w:rPr>
                <w:b/>
                <w:sz w:val="20"/>
              </w:rPr>
              <w:tab/>
              <w:t xml:space="preserve"> </w:t>
            </w:r>
          </w:p>
          <w:p w:rsidR="00DA121A" w:rsidRDefault="00904DD6">
            <w:pPr>
              <w:spacing w:after="0" w:line="259" w:lineRule="auto"/>
              <w:ind w:left="0" w:firstLine="0"/>
              <w:jc w:val="left"/>
            </w:pPr>
            <w:r>
              <w:rPr>
                <w:b/>
                <w:sz w:val="20"/>
              </w:rPr>
              <w:t xml:space="preserve">servicios </w:t>
            </w: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 w:firstLine="0"/>
              <w:jc w:val="center"/>
            </w:pPr>
            <w:r>
              <w:rPr>
                <w:b/>
                <w:sz w:val="20"/>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2"/>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0" w:line="259" w:lineRule="auto"/>
              <w:ind w:left="0" w:firstLine="0"/>
              <w:jc w:val="left"/>
            </w:pPr>
            <w:r>
              <w:rPr>
                <w:b/>
                <w:sz w:val="20"/>
              </w:rPr>
              <w:t xml:space="preserve">Jefe/a de equipo de </w:t>
            </w:r>
            <w:r>
              <w:rPr>
                <w:b/>
                <w:sz w:val="20"/>
              </w:rPr>
              <w:tab/>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 w:firstLine="0"/>
              <w:jc w:val="center"/>
            </w:pPr>
            <w:r>
              <w:rPr>
                <w:b/>
                <w:sz w:val="20"/>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2"/>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20"/>
              </w:rPr>
              <w:t xml:space="preserve">electricidad </w:t>
            </w: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DA121A">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vAlign w:val="center"/>
          </w:tcPr>
          <w:p w:rsidR="00DA121A" w:rsidRDefault="00DA121A">
            <w:pPr>
              <w:spacing w:after="160" w:line="259" w:lineRule="auto"/>
              <w:ind w:left="0" w:firstLine="0"/>
              <w:jc w:val="left"/>
            </w:pPr>
          </w:p>
        </w:tc>
      </w:tr>
      <w:tr w:rsidR="00DA121A">
        <w:trPr>
          <w:trHeight w:val="242"/>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0" w:line="259" w:lineRule="auto"/>
              <w:ind w:left="0" w:firstLine="0"/>
              <w:jc w:val="left"/>
            </w:pPr>
            <w:r>
              <w:rPr>
                <w:b/>
                <w:sz w:val="20"/>
              </w:rPr>
              <w:t xml:space="preserve">Oficial de primera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9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9 </w:t>
            </w:r>
            <w:r>
              <w:rPr>
                <w:rFonts w:ascii="Times New Roman" w:eastAsia="Times New Roman" w:hAnsi="Times New Roman" w:cs="Times New Roman"/>
                <w:sz w:val="24"/>
              </w:rPr>
              <w:t xml:space="preserve"> </w:t>
            </w:r>
          </w:p>
        </w:tc>
      </w:tr>
      <w:tr w:rsidR="00DA121A">
        <w:trPr>
          <w:trHeight w:val="242"/>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0" w:line="259" w:lineRule="auto"/>
              <w:ind w:left="0" w:firstLine="0"/>
              <w:jc w:val="left"/>
            </w:pPr>
            <w:r>
              <w:rPr>
                <w:b/>
                <w:sz w:val="20"/>
              </w:rPr>
              <w:t xml:space="preserve">Oficial de segunda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8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8 </w:t>
            </w:r>
            <w:r>
              <w:rPr>
                <w:rFonts w:ascii="Times New Roman" w:eastAsia="Times New Roman" w:hAnsi="Times New Roman" w:cs="Times New Roman"/>
                <w:sz w:val="24"/>
              </w:rPr>
              <w:t xml:space="preserve"> </w:t>
            </w:r>
          </w:p>
        </w:tc>
      </w:tr>
      <w:tr w:rsidR="00DA121A">
        <w:trPr>
          <w:trHeight w:val="242"/>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0" w:line="259" w:lineRule="auto"/>
              <w:ind w:left="0" w:firstLine="0"/>
              <w:jc w:val="left"/>
            </w:pPr>
            <w:r>
              <w:rPr>
                <w:b/>
                <w:sz w:val="20"/>
              </w:rPr>
              <w:t xml:space="preserve">Conductor/a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4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4 </w:t>
            </w:r>
            <w:r>
              <w:rPr>
                <w:rFonts w:ascii="Times New Roman" w:eastAsia="Times New Roman" w:hAnsi="Times New Roman" w:cs="Times New Roman"/>
                <w:sz w:val="24"/>
              </w:rPr>
              <w:t xml:space="preserve"> </w:t>
            </w:r>
          </w:p>
        </w:tc>
      </w:tr>
      <w:tr w:rsidR="00DA121A">
        <w:trPr>
          <w:trHeight w:val="240"/>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0" w:line="259" w:lineRule="auto"/>
              <w:ind w:left="0" w:firstLine="0"/>
              <w:jc w:val="left"/>
            </w:pPr>
            <w:r>
              <w:rPr>
                <w:b/>
                <w:sz w:val="20"/>
              </w:rPr>
              <w:t xml:space="preserve">Operario/a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21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21 </w:t>
            </w:r>
            <w:r>
              <w:rPr>
                <w:rFonts w:ascii="Times New Roman" w:eastAsia="Times New Roman" w:hAnsi="Times New Roman" w:cs="Times New Roman"/>
                <w:sz w:val="24"/>
              </w:rPr>
              <w:t xml:space="preserve"> </w:t>
            </w:r>
          </w:p>
        </w:tc>
      </w:tr>
      <w:tr w:rsidR="00DA121A">
        <w:trPr>
          <w:trHeight w:val="242"/>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0" w:line="259" w:lineRule="auto"/>
              <w:ind w:left="0" w:firstLine="0"/>
              <w:jc w:val="left"/>
            </w:pPr>
            <w:r>
              <w:rPr>
                <w:b/>
                <w:sz w:val="20"/>
              </w:rPr>
              <w:t xml:space="preserve">Encargado/a jardines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242"/>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20"/>
              </w:rPr>
              <w:t xml:space="preserve">Jefe/a de equpo de jardines </w:t>
            </w:r>
            <w:r>
              <w:rPr>
                <w:rFonts w:ascii="Times New Roman" w:eastAsia="Times New Roman" w:hAnsi="Times New Roman" w:cs="Times New Roman"/>
                <w:sz w:val="24"/>
              </w:rPr>
              <w:t xml:space="preserve"> </w:t>
            </w:r>
            <w:r>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473"/>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22" w:line="259" w:lineRule="auto"/>
              <w:ind w:left="0" w:firstLine="0"/>
              <w:jc w:val="left"/>
            </w:pPr>
            <w:r>
              <w:rPr>
                <w:b/>
                <w:sz w:val="20"/>
              </w:rPr>
              <w:t xml:space="preserve">Auxiliar de Ayuda a </w:t>
            </w:r>
            <w:r>
              <w:rPr>
                <w:b/>
                <w:sz w:val="20"/>
              </w:rPr>
              <w:tab/>
              <w:t xml:space="preserve"> </w:t>
            </w:r>
          </w:p>
          <w:p w:rsidR="00DA121A" w:rsidRDefault="00904DD6">
            <w:pPr>
              <w:spacing w:after="0" w:line="259" w:lineRule="auto"/>
              <w:ind w:left="108" w:firstLine="0"/>
              <w:jc w:val="left"/>
            </w:pPr>
            <w:r>
              <w:rPr>
                <w:b/>
                <w:sz w:val="20"/>
              </w:rPr>
              <w:t xml:space="preserve">domicilio </w:t>
            </w: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3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3 </w:t>
            </w:r>
            <w:r>
              <w:rPr>
                <w:rFonts w:ascii="Times New Roman" w:eastAsia="Times New Roman" w:hAnsi="Times New Roman" w:cs="Times New Roman"/>
                <w:sz w:val="24"/>
              </w:rPr>
              <w:t xml:space="preserve"> </w:t>
            </w:r>
          </w:p>
        </w:tc>
      </w:tr>
      <w:tr w:rsidR="00DA121A">
        <w:trPr>
          <w:trHeight w:val="242"/>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0" w:line="259" w:lineRule="auto"/>
              <w:ind w:left="0" w:firstLine="0"/>
              <w:jc w:val="left"/>
            </w:pPr>
            <w:r>
              <w:rPr>
                <w:b/>
                <w:sz w:val="20"/>
              </w:rPr>
              <w:t xml:space="preserve">Conserje-Notificador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470"/>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8" w:firstLine="0"/>
              <w:jc w:val="left"/>
            </w:pPr>
            <w:r>
              <w:rPr>
                <w:b/>
                <w:sz w:val="20"/>
              </w:rPr>
              <w:t xml:space="preserve">Conserje Edificios </w:t>
            </w:r>
            <w:r>
              <w:rPr>
                <w:b/>
                <w:sz w:val="20"/>
              </w:rPr>
              <w:tab/>
              <w:t xml:space="preserve"> Municipales </w:t>
            </w: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8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8 </w:t>
            </w:r>
            <w:r>
              <w:rPr>
                <w:rFonts w:ascii="Times New Roman" w:eastAsia="Times New Roman" w:hAnsi="Times New Roman" w:cs="Times New Roman"/>
                <w:sz w:val="24"/>
              </w:rPr>
              <w:t xml:space="preserve"> </w:t>
            </w:r>
          </w:p>
        </w:tc>
      </w:tr>
      <w:tr w:rsidR="00DA121A">
        <w:trPr>
          <w:trHeight w:val="242"/>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tabs>
                <w:tab w:val="center" w:pos="2835"/>
              </w:tabs>
              <w:spacing w:after="0" w:line="259" w:lineRule="auto"/>
              <w:ind w:left="0" w:firstLine="0"/>
              <w:jc w:val="left"/>
            </w:pPr>
            <w:r>
              <w:rPr>
                <w:b/>
                <w:sz w:val="20"/>
              </w:rPr>
              <w:t xml:space="preserve">Decorador/a </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1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473"/>
        </w:trPr>
        <w:tc>
          <w:tcPr>
            <w:tcW w:w="393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835" w:hanging="2835"/>
              <w:jc w:val="left"/>
            </w:pPr>
            <w:r>
              <w:rPr>
                <w:b/>
                <w:sz w:val="20"/>
              </w:rPr>
              <w:t xml:space="preserve"> </w:t>
            </w:r>
            <w:r>
              <w:rPr>
                <w:b/>
                <w:sz w:val="20"/>
              </w:rPr>
              <w:tab/>
              <w:t xml:space="preserve">Total laborales </w:t>
            </w:r>
            <w:r>
              <w:rPr>
                <w:rFonts w:ascii="Times New Roman" w:eastAsia="Times New Roman" w:hAnsi="Times New Roman" w:cs="Times New Roman"/>
                <w:sz w:val="24"/>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60 </w:t>
            </w: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06" w:firstLine="0"/>
              <w:jc w:val="center"/>
            </w:pPr>
            <w:r>
              <w:rPr>
                <w:b/>
                <w:sz w:val="20"/>
              </w:rPr>
              <w:t xml:space="preserve">60 </w:t>
            </w:r>
            <w:r>
              <w:rPr>
                <w:rFonts w:ascii="Times New Roman" w:eastAsia="Times New Roman" w:hAnsi="Times New Roman" w:cs="Times New Roman"/>
                <w:sz w:val="24"/>
              </w:rPr>
              <w:t xml:space="preserve"> </w:t>
            </w:r>
          </w:p>
        </w:tc>
      </w:tr>
    </w:tbl>
    <w:p w:rsidR="00DA121A" w:rsidRDefault="00904DD6">
      <w:pPr>
        <w:spacing w:after="19" w:line="259" w:lineRule="auto"/>
        <w:ind w:left="284" w:firstLine="0"/>
        <w:jc w:val="left"/>
      </w:pPr>
      <w:r>
        <w:rPr>
          <w:b/>
          <w:sz w:val="20"/>
        </w:rPr>
        <w:t xml:space="preserve"> </w:t>
      </w:r>
      <w:r>
        <w:rPr>
          <w:rFonts w:ascii="Times New Roman" w:eastAsia="Times New Roman" w:hAnsi="Times New Roman" w:cs="Times New Roman"/>
          <w:sz w:val="24"/>
        </w:rPr>
        <w:t xml:space="preserve"> </w:t>
      </w:r>
    </w:p>
    <w:p w:rsidR="00DA121A" w:rsidRDefault="00904DD6">
      <w:pPr>
        <w:numPr>
          <w:ilvl w:val="0"/>
          <w:numId w:val="23"/>
        </w:numPr>
        <w:spacing w:after="0" w:line="259" w:lineRule="auto"/>
        <w:ind w:hanging="367"/>
        <w:jc w:val="left"/>
      </w:pPr>
      <w:r>
        <w:rPr>
          <w:b/>
          <w:sz w:val="20"/>
        </w:rPr>
        <w:t xml:space="preserve">PERRSONAL EVENTUAL </w:t>
      </w:r>
      <w:r>
        <w:rPr>
          <w:b/>
          <w:sz w:val="28"/>
        </w:rPr>
        <w:t xml:space="preserve"> </w:t>
      </w:r>
    </w:p>
    <w:p w:rsidR="00DA121A" w:rsidRDefault="00904DD6">
      <w:pPr>
        <w:spacing w:after="0" w:line="259" w:lineRule="auto"/>
        <w:ind w:left="284" w:firstLine="0"/>
        <w:jc w:val="left"/>
      </w:pPr>
      <w:r>
        <w:rPr>
          <w:b/>
          <w:sz w:val="20"/>
        </w:rPr>
        <w:t xml:space="preserve">  </w:t>
      </w:r>
      <w:r>
        <w:rPr>
          <w:b/>
          <w:sz w:val="20"/>
        </w:rPr>
        <w:tab/>
        <w:t xml:space="preserve"> </w:t>
      </w:r>
      <w:r>
        <w:rPr>
          <w:rFonts w:ascii="Times New Roman" w:eastAsia="Times New Roman" w:hAnsi="Times New Roman" w:cs="Times New Roman"/>
          <w:sz w:val="24"/>
        </w:rPr>
        <w:t xml:space="preserve"> </w:t>
      </w:r>
    </w:p>
    <w:tbl>
      <w:tblPr>
        <w:tblStyle w:val="TableGrid"/>
        <w:tblW w:w="4645" w:type="dxa"/>
        <w:tblInd w:w="293" w:type="dxa"/>
        <w:tblCellMar>
          <w:top w:w="0" w:type="dxa"/>
          <w:left w:w="108" w:type="dxa"/>
          <w:bottom w:w="0" w:type="dxa"/>
          <w:right w:w="72" w:type="dxa"/>
        </w:tblCellMar>
        <w:tblLook w:val="04A0" w:firstRow="1" w:lastRow="0" w:firstColumn="1" w:lastColumn="0" w:noHBand="0" w:noVBand="1"/>
      </w:tblPr>
      <w:tblGrid>
        <w:gridCol w:w="2883"/>
        <w:gridCol w:w="1762"/>
      </w:tblGrid>
      <w:tr w:rsidR="00DA121A">
        <w:trPr>
          <w:trHeight w:val="240"/>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Personal eventual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0" w:firstLine="0"/>
              <w:jc w:val="center"/>
            </w:pPr>
            <w:r>
              <w:rPr>
                <w:b/>
                <w:sz w:val="20"/>
              </w:rPr>
              <w:t xml:space="preserve">Nº </w:t>
            </w:r>
            <w:r>
              <w:rPr>
                <w:rFonts w:ascii="Times New Roman" w:eastAsia="Times New Roman" w:hAnsi="Times New Roman" w:cs="Times New Roman"/>
                <w:sz w:val="24"/>
              </w:rPr>
              <w:t xml:space="preserve"> </w:t>
            </w:r>
          </w:p>
        </w:tc>
      </w:tr>
      <w:tr w:rsidR="00DA121A">
        <w:trPr>
          <w:trHeight w:val="242"/>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4" w:firstLine="0"/>
              <w:jc w:val="left"/>
            </w:pPr>
            <w:r>
              <w:rPr>
                <w:b/>
                <w:sz w:val="20"/>
              </w:rPr>
              <w:t xml:space="preserve">Asesor/a Cultura y Fiestas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0"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473"/>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center"/>
            </w:pPr>
            <w:r>
              <w:rPr>
                <w:b/>
                <w:sz w:val="20"/>
              </w:rPr>
              <w:t xml:space="preserve">Asesor/a Comunicación y Prensa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0"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473"/>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center"/>
            </w:pPr>
            <w:r>
              <w:rPr>
                <w:b/>
                <w:sz w:val="20"/>
              </w:rPr>
              <w:t xml:space="preserve">Asesor/a Alcaldía Presidencia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0"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701"/>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2" w:firstLine="0"/>
              <w:jc w:val="center"/>
            </w:pPr>
            <w:r>
              <w:rPr>
                <w:b/>
                <w:sz w:val="20"/>
              </w:rPr>
              <w:t xml:space="preserve">Asesor/a Alcaldía </w:t>
            </w:r>
            <w:r>
              <w:rPr>
                <w:rFonts w:ascii="Times New Roman" w:eastAsia="Times New Roman" w:hAnsi="Times New Roman" w:cs="Times New Roman"/>
                <w:sz w:val="24"/>
              </w:rPr>
              <w:t xml:space="preserve"> </w:t>
            </w:r>
          </w:p>
          <w:p w:rsidR="00DA121A" w:rsidRDefault="00904DD6">
            <w:pPr>
              <w:spacing w:after="0" w:line="259" w:lineRule="auto"/>
              <w:ind w:left="0" w:firstLine="0"/>
              <w:jc w:val="center"/>
            </w:pPr>
            <w:r>
              <w:rPr>
                <w:b/>
                <w:sz w:val="20"/>
              </w:rPr>
              <w:t xml:space="preserve">Pres./Concejales/as delegados/as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0" w:firstLine="0"/>
              <w:jc w:val="center"/>
            </w:pPr>
            <w:r>
              <w:rPr>
                <w:b/>
                <w:sz w:val="20"/>
              </w:rPr>
              <w:t xml:space="preserve">1 </w:t>
            </w:r>
            <w:r>
              <w:rPr>
                <w:rFonts w:ascii="Times New Roman" w:eastAsia="Times New Roman" w:hAnsi="Times New Roman" w:cs="Times New Roman"/>
                <w:sz w:val="24"/>
              </w:rPr>
              <w:t xml:space="preserve"> </w:t>
            </w:r>
          </w:p>
        </w:tc>
      </w:tr>
      <w:tr w:rsidR="00DA121A">
        <w:trPr>
          <w:trHeight w:val="518"/>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7" w:firstLine="0"/>
              <w:jc w:val="left"/>
            </w:pPr>
            <w:r>
              <w:rPr>
                <w:b/>
                <w:sz w:val="20"/>
              </w:rPr>
              <w:t xml:space="preserve">Asesor/a Concejales/as delegados/as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0" w:firstLine="0"/>
              <w:jc w:val="center"/>
            </w:pPr>
            <w:r>
              <w:rPr>
                <w:b/>
                <w:sz w:val="20"/>
              </w:rPr>
              <w:t xml:space="preserve">3 </w:t>
            </w:r>
            <w:r>
              <w:rPr>
                <w:rFonts w:ascii="Times New Roman" w:eastAsia="Times New Roman" w:hAnsi="Times New Roman" w:cs="Times New Roman"/>
                <w:sz w:val="24"/>
              </w:rPr>
              <w:t xml:space="preserve"> </w:t>
            </w:r>
          </w:p>
          <w:p w:rsidR="00DA121A" w:rsidRDefault="00904DD6">
            <w:pPr>
              <w:spacing w:after="0" w:line="259" w:lineRule="auto"/>
              <w:ind w:left="113" w:firstLine="0"/>
              <w:jc w:val="center"/>
            </w:pPr>
            <w:r>
              <w:rPr>
                <w:b/>
                <w:sz w:val="20"/>
              </w:rPr>
              <w:t xml:space="preserve"> </w:t>
            </w:r>
            <w:r>
              <w:rPr>
                <w:rFonts w:ascii="Times New Roman" w:eastAsia="Times New Roman" w:hAnsi="Times New Roman" w:cs="Times New Roman"/>
                <w:sz w:val="24"/>
              </w:rPr>
              <w:t xml:space="preserve"> </w:t>
            </w:r>
          </w:p>
        </w:tc>
      </w:tr>
      <w:tr w:rsidR="00DA121A">
        <w:trPr>
          <w:trHeight w:val="298"/>
        </w:trPr>
        <w:tc>
          <w:tcPr>
            <w:tcW w:w="2883"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35" w:firstLine="0"/>
              <w:jc w:val="center"/>
            </w:pPr>
            <w:r>
              <w:rPr>
                <w:b/>
                <w:sz w:val="20"/>
              </w:rPr>
              <w:t xml:space="preserve">TOTAL </w:t>
            </w:r>
            <w:r>
              <w:rPr>
                <w:rFonts w:ascii="Times New Roman" w:eastAsia="Times New Roman" w:hAnsi="Times New Roman" w:cs="Times New Roman"/>
                <w:sz w:val="24"/>
              </w:rPr>
              <w:t xml:space="preserve"> </w:t>
            </w:r>
          </w:p>
        </w:tc>
        <w:tc>
          <w:tcPr>
            <w:tcW w:w="176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0" w:firstLine="0"/>
              <w:jc w:val="center"/>
            </w:pPr>
            <w:r>
              <w:rPr>
                <w:b/>
                <w:sz w:val="20"/>
              </w:rPr>
              <w:t xml:space="preserve">7 </w:t>
            </w:r>
            <w:r>
              <w:rPr>
                <w:rFonts w:ascii="Times New Roman" w:eastAsia="Times New Roman" w:hAnsi="Times New Roman" w:cs="Times New Roman"/>
                <w:sz w:val="24"/>
              </w:rPr>
              <w:t xml:space="preserve"> </w:t>
            </w:r>
          </w:p>
        </w:tc>
      </w:tr>
    </w:tbl>
    <w:p w:rsidR="00DA121A" w:rsidRDefault="00904DD6">
      <w:pPr>
        <w:spacing w:after="83" w:line="259" w:lineRule="auto"/>
        <w:ind w:left="284" w:firstLine="0"/>
        <w:jc w:val="left"/>
      </w:pPr>
      <w:r>
        <w:rPr>
          <w:b/>
          <w:sz w:val="20"/>
        </w:rPr>
        <w:t xml:space="preserve"> </w:t>
      </w:r>
      <w:r>
        <w:rPr>
          <w:rFonts w:ascii="Times New Roman" w:eastAsia="Times New Roman" w:hAnsi="Times New Roman" w:cs="Times New Roman"/>
          <w:sz w:val="24"/>
        </w:rPr>
        <w:t xml:space="preserve"> </w:t>
      </w:r>
    </w:p>
    <w:p w:rsidR="00DA121A" w:rsidRDefault="00904DD6">
      <w:pPr>
        <w:spacing w:after="95" w:line="259" w:lineRule="auto"/>
        <w:ind w:left="279"/>
        <w:jc w:val="left"/>
      </w:pPr>
      <w:r>
        <w:rPr>
          <w:b/>
          <w:sz w:val="20"/>
        </w:rPr>
        <w:t xml:space="preserve">III.- Plan Presupuestario 2024-2026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sz w:val="20"/>
        </w:rPr>
        <w:t xml:space="preserve"> </w:t>
      </w:r>
      <w:r>
        <w:rPr>
          <w:rFonts w:ascii="Times New Roman" w:eastAsia="Times New Roman" w:hAnsi="Times New Roman" w:cs="Times New Roman"/>
          <w:sz w:val="24"/>
        </w:rPr>
        <w:t xml:space="preserve"> </w:t>
      </w:r>
    </w:p>
    <w:tbl>
      <w:tblPr>
        <w:tblStyle w:val="TableGrid"/>
        <w:tblW w:w="8450" w:type="dxa"/>
        <w:tblInd w:w="341" w:type="dxa"/>
        <w:tblCellMar>
          <w:top w:w="48" w:type="dxa"/>
          <w:left w:w="0" w:type="dxa"/>
          <w:bottom w:w="0" w:type="dxa"/>
          <w:right w:w="0" w:type="dxa"/>
        </w:tblCellMar>
        <w:tblLook w:val="04A0" w:firstRow="1" w:lastRow="0" w:firstColumn="1" w:lastColumn="0" w:noHBand="0" w:noVBand="1"/>
      </w:tblPr>
      <w:tblGrid>
        <w:gridCol w:w="1935"/>
        <w:gridCol w:w="1625"/>
        <w:gridCol w:w="1695"/>
        <w:gridCol w:w="1598"/>
        <w:gridCol w:w="1597"/>
      </w:tblGrid>
      <w:tr w:rsidR="00DA121A">
        <w:trPr>
          <w:trHeight w:val="742"/>
        </w:trPr>
        <w:tc>
          <w:tcPr>
            <w:tcW w:w="1934"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7" w:firstLine="0"/>
              <w:jc w:val="center"/>
            </w:pPr>
            <w:r>
              <w:rPr>
                <w:b/>
                <w:sz w:val="20"/>
              </w:rPr>
              <w:t xml:space="preserve">INGRESOS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11" w:line="259" w:lineRule="auto"/>
              <w:ind w:left="108" w:firstLine="0"/>
            </w:pPr>
            <w:r>
              <w:rPr>
                <w:b/>
                <w:sz w:val="20"/>
              </w:rPr>
              <w:t>PRESUPUESTO</w:t>
            </w:r>
          </w:p>
          <w:p w:rsidR="00DA121A" w:rsidRDefault="00904DD6">
            <w:pPr>
              <w:spacing w:after="0" w:line="259" w:lineRule="auto"/>
              <w:ind w:left="0" w:right="7" w:firstLine="0"/>
              <w:jc w:val="center"/>
            </w:pPr>
            <w:r>
              <w:rPr>
                <w:b/>
                <w:sz w:val="20"/>
              </w:rPr>
              <w:t xml:space="preserve">2023 </w:t>
            </w:r>
            <w:r>
              <w:rPr>
                <w:rFonts w:ascii="Times New Roman" w:eastAsia="Times New Roman" w:hAnsi="Times New Roman" w:cs="Times New Roman"/>
                <w:sz w:val="24"/>
              </w:rPr>
              <w:t xml:space="preserve"> </w:t>
            </w:r>
          </w:p>
        </w:tc>
        <w:tc>
          <w:tcPr>
            <w:tcW w:w="169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3" w:firstLine="0"/>
              <w:jc w:val="center"/>
            </w:pPr>
            <w:r>
              <w:rPr>
                <w:b/>
                <w:sz w:val="20"/>
              </w:rPr>
              <w:t xml:space="preserve">PREVISIÓN </w:t>
            </w:r>
            <w:r>
              <w:rPr>
                <w:rFonts w:ascii="Times New Roman" w:eastAsia="Times New Roman" w:hAnsi="Times New Roman" w:cs="Times New Roman"/>
                <w:sz w:val="24"/>
              </w:rPr>
              <w:t xml:space="preserve"> </w:t>
            </w:r>
          </w:p>
          <w:p w:rsidR="00DA121A" w:rsidRDefault="00904DD6">
            <w:pPr>
              <w:spacing w:after="0" w:line="259" w:lineRule="auto"/>
              <w:ind w:left="-11" w:firstLine="0"/>
              <w:jc w:val="left"/>
            </w:pPr>
            <w:r>
              <w:rPr>
                <w:b/>
                <w:sz w:val="20"/>
              </w:rPr>
              <w:t xml:space="preserve"> </w:t>
            </w:r>
          </w:p>
          <w:p w:rsidR="00DA121A" w:rsidRDefault="00904DD6">
            <w:pPr>
              <w:spacing w:after="11" w:line="259" w:lineRule="auto"/>
              <w:ind w:left="178" w:firstLine="0"/>
              <w:jc w:val="left"/>
            </w:pPr>
            <w:r>
              <w:rPr>
                <w:b/>
                <w:sz w:val="20"/>
              </w:rPr>
              <w:t>PRESUPUESTO</w:t>
            </w:r>
          </w:p>
          <w:p w:rsidR="00DA121A" w:rsidRDefault="00904DD6">
            <w:pPr>
              <w:spacing w:after="0" w:line="259" w:lineRule="auto"/>
              <w:ind w:left="0" w:right="9" w:firstLine="0"/>
              <w:jc w:val="center"/>
            </w:pPr>
            <w:r>
              <w:rPr>
                <w:b/>
                <w:sz w:val="20"/>
              </w:rPr>
              <w:t xml:space="preserve">2024 </w:t>
            </w:r>
            <w:r>
              <w:rPr>
                <w:rFonts w:ascii="Times New Roman" w:eastAsia="Times New Roman" w:hAnsi="Times New Roman" w:cs="Times New Roman"/>
                <w:sz w:val="24"/>
              </w:rPr>
              <w:t xml:space="preserve"> </w:t>
            </w:r>
          </w:p>
        </w:tc>
        <w:tc>
          <w:tcPr>
            <w:tcW w:w="159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69" w:firstLine="0"/>
              <w:jc w:val="center"/>
            </w:pPr>
            <w:r>
              <w:rPr>
                <w:b/>
                <w:sz w:val="20"/>
              </w:rPr>
              <w:t xml:space="preserve">PREVISIÓN </w:t>
            </w:r>
          </w:p>
          <w:p w:rsidR="00DA121A" w:rsidRDefault="00904DD6">
            <w:pPr>
              <w:spacing w:after="11" w:line="259" w:lineRule="auto"/>
              <w:ind w:left="-10" w:firstLine="0"/>
            </w:pPr>
            <w:r>
              <w:rPr>
                <w:b/>
                <w:sz w:val="20"/>
              </w:rPr>
              <w:t xml:space="preserve"> PRESUPUESTO</w:t>
            </w:r>
          </w:p>
          <w:p w:rsidR="00DA121A" w:rsidRDefault="00904DD6">
            <w:pPr>
              <w:spacing w:after="0" w:line="259" w:lineRule="auto"/>
              <w:ind w:left="68" w:firstLine="0"/>
              <w:jc w:val="center"/>
            </w:pPr>
            <w:r>
              <w:rPr>
                <w:b/>
                <w:sz w:val="20"/>
              </w:rPr>
              <w:t xml:space="preserve">2025 </w:t>
            </w:r>
            <w:r>
              <w:rPr>
                <w:rFonts w:ascii="Times New Roman" w:eastAsia="Times New Roman" w:hAnsi="Times New Roman" w:cs="Times New Roman"/>
                <w:sz w:val="24"/>
              </w:rPr>
              <w:t xml:space="preserve"> </w:t>
            </w:r>
          </w:p>
        </w:tc>
        <w:tc>
          <w:tcPr>
            <w:tcW w:w="1597"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66" w:firstLine="0"/>
              <w:jc w:val="center"/>
            </w:pPr>
            <w:r>
              <w:rPr>
                <w:b/>
                <w:sz w:val="20"/>
              </w:rPr>
              <w:t xml:space="preserve">PREVISIÓN </w:t>
            </w:r>
          </w:p>
          <w:p w:rsidR="00DA121A" w:rsidRDefault="00904DD6">
            <w:pPr>
              <w:spacing w:after="11" w:line="259" w:lineRule="auto"/>
              <w:ind w:left="-10" w:firstLine="0"/>
            </w:pPr>
            <w:r>
              <w:rPr>
                <w:b/>
                <w:sz w:val="20"/>
              </w:rPr>
              <w:t xml:space="preserve"> PRESUPUESTO </w:t>
            </w:r>
          </w:p>
          <w:p w:rsidR="00DA121A" w:rsidRDefault="00904DD6">
            <w:pPr>
              <w:spacing w:after="0" w:line="259" w:lineRule="auto"/>
              <w:ind w:left="65" w:firstLine="0"/>
              <w:jc w:val="center"/>
            </w:pPr>
            <w:r>
              <w:rPr>
                <w:b/>
                <w:sz w:val="20"/>
              </w:rPr>
              <w:t xml:space="preserve">2026 </w:t>
            </w:r>
            <w:r>
              <w:rPr>
                <w:rFonts w:ascii="Times New Roman" w:eastAsia="Times New Roman" w:hAnsi="Times New Roman" w:cs="Times New Roman"/>
                <w:sz w:val="24"/>
              </w:rPr>
              <w:t xml:space="preserve"> </w:t>
            </w:r>
          </w:p>
        </w:tc>
      </w:tr>
      <w:tr w:rsidR="00DA121A">
        <w:trPr>
          <w:trHeight w:val="514"/>
        </w:trPr>
        <w:tc>
          <w:tcPr>
            <w:tcW w:w="193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b/>
                <w:sz w:val="20"/>
              </w:rPr>
              <w:t xml:space="preserve">IMPUESTOS DIRECTOS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7.836.366,87 </w:t>
            </w:r>
          </w:p>
        </w:tc>
        <w:tc>
          <w:tcPr>
            <w:tcW w:w="169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7.926.955,27 </w:t>
            </w:r>
          </w:p>
        </w:tc>
        <w:tc>
          <w:tcPr>
            <w:tcW w:w="159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0" w:firstLine="0"/>
              <w:jc w:val="right"/>
            </w:pPr>
            <w:r>
              <w:rPr>
                <w:b/>
                <w:sz w:val="20"/>
              </w:rPr>
              <w:t xml:space="preserve">8.106.104,46 </w:t>
            </w:r>
          </w:p>
        </w:tc>
        <w:tc>
          <w:tcPr>
            <w:tcW w:w="1597"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8.253.278,89 </w:t>
            </w:r>
          </w:p>
        </w:tc>
      </w:tr>
      <w:tr w:rsidR="00DA121A">
        <w:trPr>
          <w:trHeight w:val="514"/>
        </w:trPr>
        <w:tc>
          <w:tcPr>
            <w:tcW w:w="193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b/>
                <w:sz w:val="20"/>
              </w:rPr>
              <w:t xml:space="preserve">IMPUESTOS INDIRECTOS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6.080.138,32 </w:t>
            </w:r>
          </w:p>
        </w:tc>
        <w:tc>
          <w:tcPr>
            <w:tcW w:w="169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6.253.665,47 </w:t>
            </w:r>
          </w:p>
        </w:tc>
        <w:tc>
          <w:tcPr>
            <w:tcW w:w="159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0" w:firstLine="0"/>
              <w:jc w:val="right"/>
            </w:pPr>
            <w:r>
              <w:rPr>
                <w:b/>
                <w:sz w:val="20"/>
              </w:rPr>
              <w:t xml:space="preserve">6.432.145,08 </w:t>
            </w:r>
          </w:p>
        </w:tc>
        <w:tc>
          <w:tcPr>
            <w:tcW w:w="1597"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6.615.718,50 </w:t>
            </w:r>
          </w:p>
        </w:tc>
      </w:tr>
      <w:tr w:rsidR="00DA121A">
        <w:trPr>
          <w:trHeight w:val="511"/>
        </w:trPr>
        <w:tc>
          <w:tcPr>
            <w:tcW w:w="193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82" w:firstLine="0"/>
              <w:jc w:val="left"/>
            </w:pPr>
            <w:r>
              <w:rPr>
                <w:b/>
                <w:sz w:val="20"/>
              </w:rPr>
              <w:t xml:space="preserve">TASAS Y OTROS INGRESOS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11" w:firstLine="0"/>
              <w:jc w:val="left"/>
            </w:pPr>
            <w:r>
              <w:rPr>
                <w:b/>
                <w:sz w:val="20"/>
              </w:rPr>
              <w:t xml:space="preserve"> </w:t>
            </w:r>
          </w:p>
          <w:p w:rsidR="00DA121A" w:rsidRDefault="00904DD6">
            <w:pPr>
              <w:spacing w:after="0" w:line="259" w:lineRule="auto"/>
              <w:ind w:left="0" w:right="53" w:firstLine="0"/>
              <w:jc w:val="right"/>
            </w:pPr>
            <w:r>
              <w:rPr>
                <w:b/>
                <w:sz w:val="20"/>
              </w:rPr>
              <w:t xml:space="preserve">2.581.188,39 </w:t>
            </w:r>
          </w:p>
        </w:tc>
        <w:tc>
          <w:tcPr>
            <w:tcW w:w="1695"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1" w:firstLine="0"/>
              <w:jc w:val="right"/>
            </w:pPr>
            <w:r>
              <w:rPr>
                <w:b/>
                <w:sz w:val="20"/>
              </w:rPr>
              <w:t xml:space="preserve">2.640.684,78 </w:t>
            </w:r>
          </w:p>
        </w:tc>
        <w:tc>
          <w:tcPr>
            <w:tcW w:w="1598"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0" w:firstLine="0"/>
              <w:jc w:val="right"/>
            </w:pPr>
            <w:r>
              <w:rPr>
                <w:b/>
                <w:sz w:val="20"/>
              </w:rPr>
              <w:t xml:space="preserve">2.701.552,57 </w:t>
            </w:r>
          </w:p>
        </w:tc>
        <w:tc>
          <w:tcPr>
            <w:tcW w:w="1597"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1" w:firstLine="0"/>
              <w:jc w:val="right"/>
            </w:pPr>
            <w:r>
              <w:rPr>
                <w:b/>
                <w:sz w:val="20"/>
              </w:rPr>
              <w:t xml:space="preserve">2.763.823,35 </w:t>
            </w:r>
          </w:p>
        </w:tc>
      </w:tr>
      <w:tr w:rsidR="00DA121A">
        <w:trPr>
          <w:trHeight w:val="514"/>
        </w:trPr>
        <w:tc>
          <w:tcPr>
            <w:tcW w:w="193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b/>
                <w:sz w:val="20"/>
              </w:rPr>
              <w:t xml:space="preserve">TRANSFERENCIAS CORRIENTES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13" w:firstLine="0"/>
              <w:jc w:val="left"/>
            </w:pPr>
            <w:r>
              <w:rPr>
                <w:b/>
                <w:sz w:val="20"/>
              </w:rPr>
              <w:t xml:space="preserve"> </w:t>
            </w:r>
          </w:p>
          <w:p w:rsidR="00DA121A" w:rsidRDefault="00904DD6">
            <w:pPr>
              <w:spacing w:after="0" w:line="259" w:lineRule="auto"/>
              <w:ind w:left="0" w:right="53" w:firstLine="0"/>
              <w:jc w:val="right"/>
            </w:pPr>
            <w:r>
              <w:rPr>
                <w:b/>
                <w:sz w:val="20"/>
              </w:rPr>
              <w:t xml:space="preserve">9.543.544,59 </w:t>
            </w:r>
          </w:p>
        </w:tc>
        <w:tc>
          <w:tcPr>
            <w:tcW w:w="1695"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1" w:firstLine="0"/>
              <w:jc w:val="right"/>
            </w:pPr>
            <w:r>
              <w:rPr>
                <w:b/>
                <w:sz w:val="20"/>
              </w:rPr>
              <w:t xml:space="preserve">9.987.892,03 </w:t>
            </w:r>
          </w:p>
        </w:tc>
        <w:tc>
          <w:tcPr>
            <w:tcW w:w="1598"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1" w:firstLine="0"/>
              <w:jc w:val="right"/>
            </w:pPr>
            <w:r>
              <w:rPr>
                <w:b/>
                <w:sz w:val="20"/>
              </w:rPr>
              <w:t xml:space="preserve">10.452.928,28 </w:t>
            </w:r>
          </w:p>
        </w:tc>
        <w:tc>
          <w:tcPr>
            <w:tcW w:w="1597"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1" w:firstLine="0"/>
              <w:jc w:val="right"/>
            </w:pPr>
            <w:r>
              <w:rPr>
                <w:b/>
                <w:sz w:val="20"/>
              </w:rPr>
              <w:t xml:space="preserve">10.939.616,62 </w:t>
            </w:r>
          </w:p>
        </w:tc>
      </w:tr>
      <w:tr w:rsidR="00DA121A">
        <w:trPr>
          <w:trHeight w:val="514"/>
        </w:trPr>
        <w:tc>
          <w:tcPr>
            <w:tcW w:w="1934" w:type="dxa"/>
            <w:tcBorders>
              <w:top w:val="single" w:sz="2" w:space="0" w:color="000000"/>
              <w:left w:val="single" w:sz="2" w:space="0" w:color="000000"/>
              <w:bottom w:val="single" w:sz="2" w:space="0" w:color="000000"/>
              <w:right w:val="single" w:sz="2" w:space="0" w:color="000000"/>
            </w:tcBorders>
          </w:tcPr>
          <w:p w:rsidR="00DA121A" w:rsidRDefault="00904DD6">
            <w:pPr>
              <w:spacing w:after="15" w:line="259" w:lineRule="auto"/>
              <w:ind w:left="79" w:firstLine="0"/>
              <w:jc w:val="left"/>
            </w:pPr>
            <w:r>
              <w:rPr>
                <w:b/>
                <w:sz w:val="20"/>
              </w:rPr>
              <w:t xml:space="preserve">INGRESOS </w:t>
            </w:r>
          </w:p>
          <w:p w:rsidR="00DA121A" w:rsidRDefault="00904DD6">
            <w:pPr>
              <w:spacing w:after="0" w:line="259" w:lineRule="auto"/>
              <w:ind w:left="79" w:firstLine="0"/>
            </w:pPr>
            <w:r>
              <w:rPr>
                <w:b/>
                <w:sz w:val="20"/>
              </w:rPr>
              <w:t xml:space="preserve">PATRIMONIALES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5" w:firstLine="0"/>
              <w:jc w:val="right"/>
            </w:pPr>
            <w:r>
              <w:rPr>
                <w:b/>
                <w:sz w:val="20"/>
              </w:rPr>
              <w:t xml:space="preserve">7.115,00 </w:t>
            </w:r>
          </w:p>
        </w:tc>
        <w:tc>
          <w:tcPr>
            <w:tcW w:w="169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7.115,00 </w:t>
            </w:r>
          </w:p>
        </w:tc>
        <w:tc>
          <w:tcPr>
            <w:tcW w:w="159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7.115,00 </w:t>
            </w:r>
          </w:p>
        </w:tc>
        <w:tc>
          <w:tcPr>
            <w:tcW w:w="1597"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7.115,00 </w:t>
            </w:r>
          </w:p>
        </w:tc>
      </w:tr>
      <w:tr w:rsidR="00DA121A">
        <w:trPr>
          <w:trHeight w:val="509"/>
        </w:trPr>
        <w:tc>
          <w:tcPr>
            <w:tcW w:w="193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b/>
                <w:sz w:val="20"/>
              </w:rPr>
              <w:t xml:space="preserve">TRANSFERENCIAS DE CAPITAL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13" w:firstLine="0"/>
              <w:jc w:val="left"/>
            </w:pPr>
            <w:r>
              <w:rPr>
                <w:b/>
                <w:sz w:val="20"/>
              </w:rPr>
              <w:t xml:space="preserve"> </w:t>
            </w:r>
          </w:p>
          <w:p w:rsidR="00DA121A" w:rsidRDefault="00904DD6">
            <w:pPr>
              <w:spacing w:after="0" w:line="259" w:lineRule="auto"/>
              <w:ind w:left="0" w:right="53" w:firstLine="0"/>
              <w:jc w:val="right"/>
            </w:pPr>
            <w:r>
              <w:rPr>
                <w:b/>
                <w:sz w:val="20"/>
              </w:rPr>
              <w:t xml:space="preserve">2.003.731,16 </w:t>
            </w:r>
          </w:p>
        </w:tc>
        <w:tc>
          <w:tcPr>
            <w:tcW w:w="1695"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1" w:firstLine="0"/>
              <w:jc w:val="right"/>
            </w:pPr>
            <w:r>
              <w:rPr>
                <w:b/>
                <w:sz w:val="20"/>
              </w:rPr>
              <w:t xml:space="preserve">2.066.968,92 </w:t>
            </w:r>
          </w:p>
        </w:tc>
        <w:tc>
          <w:tcPr>
            <w:tcW w:w="1598"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0" w:firstLine="0"/>
              <w:jc w:val="right"/>
            </w:pPr>
            <w:r>
              <w:rPr>
                <w:b/>
                <w:sz w:val="20"/>
              </w:rPr>
              <w:t xml:space="preserve">2.504.256,86 </w:t>
            </w:r>
          </w:p>
        </w:tc>
        <w:tc>
          <w:tcPr>
            <w:tcW w:w="1597"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1" w:firstLine="0"/>
              <w:jc w:val="right"/>
            </w:pPr>
            <w:r>
              <w:rPr>
                <w:b/>
                <w:sz w:val="20"/>
              </w:rPr>
              <w:t xml:space="preserve">2.583.291,21 </w:t>
            </w:r>
          </w:p>
        </w:tc>
      </w:tr>
      <w:tr w:rsidR="00DA121A">
        <w:trPr>
          <w:trHeight w:val="514"/>
        </w:trPr>
        <w:tc>
          <w:tcPr>
            <w:tcW w:w="193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245"/>
              <w:jc w:val="left"/>
            </w:pPr>
            <w:r>
              <w:rPr>
                <w:b/>
                <w:sz w:val="20"/>
              </w:rPr>
              <w:t xml:space="preserve">ACTIVOS FINANCIEROS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5" w:firstLine="0"/>
              <w:jc w:val="right"/>
            </w:pPr>
            <w:r>
              <w:rPr>
                <w:b/>
                <w:sz w:val="20"/>
              </w:rPr>
              <w:t xml:space="preserve">0,00 </w:t>
            </w:r>
          </w:p>
        </w:tc>
        <w:tc>
          <w:tcPr>
            <w:tcW w:w="169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0,00 </w:t>
            </w:r>
          </w:p>
        </w:tc>
        <w:tc>
          <w:tcPr>
            <w:tcW w:w="159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0,00 </w:t>
            </w:r>
          </w:p>
        </w:tc>
        <w:tc>
          <w:tcPr>
            <w:tcW w:w="1597"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0,00 </w:t>
            </w:r>
          </w:p>
        </w:tc>
      </w:tr>
      <w:tr w:rsidR="00DA121A">
        <w:trPr>
          <w:trHeight w:val="514"/>
        </w:trPr>
        <w:tc>
          <w:tcPr>
            <w:tcW w:w="193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252"/>
              <w:jc w:val="left"/>
            </w:pPr>
            <w:r>
              <w:rPr>
                <w:b/>
                <w:sz w:val="20"/>
              </w:rPr>
              <w:t xml:space="preserve">PASIVOS FINANCIEROS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5" w:firstLine="0"/>
              <w:jc w:val="right"/>
            </w:pPr>
            <w:r>
              <w:rPr>
                <w:b/>
                <w:sz w:val="20"/>
              </w:rPr>
              <w:t xml:space="preserve">0,00 </w:t>
            </w:r>
          </w:p>
        </w:tc>
        <w:tc>
          <w:tcPr>
            <w:tcW w:w="169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0,00 </w:t>
            </w:r>
          </w:p>
        </w:tc>
        <w:tc>
          <w:tcPr>
            <w:tcW w:w="159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0,00 </w:t>
            </w:r>
          </w:p>
        </w:tc>
        <w:tc>
          <w:tcPr>
            <w:tcW w:w="1597"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0,00 </w:t>
            </w:r>
          </w:p>
        </w:tc>
      </w:tr>
      <w:tr w:rsidR="00DA121A">
        <w:trPr>
          <w:trHeight w:val="350"/>
        </w:trPr>
        <w:tc>
          <w:tcPr>
            <w:tcW w:w="193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139" w:firstLine="0"/>
              <w:jc w:val="center"/>
            </w:pPr>
            <w:r>
              <w:rPr>
                <w:b/>
                <w:sz w:val="20"/>
              </w:rPr>
              <w:t xml:space="preserve">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4" w:firstLine="0"/>
              <w:jc w:val="right"/>
            </w:pPr>
            <w:r>
              <w:rPr>
                <w:b/>
                <w:sz w:val="20"/>
              </w:rPr>
              <w:t xml:space="preserve">28.052.084,33 </w:t>
            </w:r>
          </w:p>
        </w:tc>
        <w:tc>
          <w:tcPr>
            <w:tcW w:w="169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28.883.281,46 </w:t>
            </w:r>
          </w:p>
        </w:tc>
        <w:tc>
          <w:tcPr>
            <w:tcW w:w="1598"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30.204.102,24 </w:t>
            </w:r>
          </w:p>
        </w:tc>
        <w:tc>
          <w:tcPr>
            <w:tcW w:w="1597"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31.162.843,57 </w:t>
            </w:r>
          </w:p>
        </w:tc>
      </w:tr>
    </w:tbl>
    <w:p w:rsidR="00DA121A" w:rsidRDefault="00904DD6">
      <w:pPr>
        <w:spacing w:after="0" w:line="259" w:lineRule="auto"/>
        <w:ind w:left="284" w:firstLine="0"/>
      </w:pPr>
      <w:r>
        <w:rPr>
          <w:b/>
          <w:sz w:val="20"/>
        </w:rPr>
        <w:t xml:space="preserve"> </w:t>
      </w:r>
      <w:r>
        <w:rPr>
          <w:rFonts w:ascii="Times New Roman" w:eastAsia="Times New Roman" w:hAnsi="Times New Roman" w:cs="Times New Roman"/>
          <w:sz w:val="24"/>
        </w:rPr>
        <w:t xml:space="preserve"> </w:t>
      </w:r>
    </w:p>
    <w:tbl>
      <w:tblPr>
        <w:tblStyle w:val="TableGrid"/>
        <w:tblW w:w="8306" w:type="dxa"/>
        <w:tblInd w:w="341" w:type="dxa"/>
        <w:tblCellMar>
          <w:top w:w="53" w:type="dxa"/>
          <w:left w:w="0" w:type="dxa"/>
          <w:bottom w:w="63" w:type="dxa"/>
          <w:right w:w="0" w:type="dxa"/>
        </w:tblCellMar>
        <w:tblLook w:val="04A0" w:firstRow="1" w:lastRow="0" w:firstColumn="1" w:lastColumn="0" w:noHBand="0" w:noVBand="1"/>
      </w:tblPr>
      <w:tblGrid>
        <w:gridCol w:w="1911"/>
        <w:gridCol w:w="1626"/>
        <w:gridCol w:w="1622"/>
        <w:gridCol w:w="1572"/>
        <w:gridCol w:w="1575"/>
      </w:tblGrid>
      <w:tr w:rsidR="00DA121A">
        <w:trPr>
          <w:trHeight w:val="802"/>
        </w:trPr>
        <w:tc>
          <w:tcPr>
            <w:tcW w:w="191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7" w:firstLine="0"/>
              <w:jc w:val="center"/>
            </w:pPr>
            <w:r>
              <w:rPr>
                <w:b/>
                <w:sz w:val="20"/>
              </w:rPr>
              <w:t xml:space="preserve">GASTOS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88" w:hanging="480"/>
              <w:jc w:val="left"/>
            </w:pPr>
            <w:r>
              <w:rPr>
                <w:b/>
                <w:sz w:val="20"/>
              </w:rPr>
              <w:t xml:space="preserve">PRESUPUESTO 2023 </w:t>
            </w:r>
            <w:r>
              <w:rPr>
                <w:rFonts w:ascii="Times New Roman" w:eastAsia="Times New Roman" w:hAnsi="Times New Roman" w:cs="Times New Roman"/>
                <w:sz w:val="24"/>
              </w:rPr>
              <w:t xml:space="preserve"> </w:t>
            </w:r>
          </w:p>
        </w:tc>
        <w:tc>
          <w:tcPr>
            <w:tcW w:w="1622" w:type="dxa"/>
            <w:tcBorders>
              <w:top w:val="single" w:sz="2" w:space="0" w:color="000000"/>
              <w:left w:val="single" w:sz="2" w:space="0" w:color="000000"/>
              <w:bottom w:val="single" w:sz="2" w:space="0" w:color="000000"/>
              <w:right w:val="single" w:sz="2" w:space="0" w:color="000000"/>
            </w:tcBorders>
          </w:tcPr>
          <w:p w:rsidR="00DA121A" w:rsidRDefault="00904DD6">
            <w:pPr>
              <w:tabs>
                <w:tab w:val="center" w:pos="807"/>
              </w:tabs>
              <w:spacing w:after="0" w:line="259" w:lineRule="auto"/>
              <w:ind w:left="-11" w:firstLine="0"/>
              <w:jc w:val="left"/>
            </w:pPr>
            <w:r>
              <w:rPr>
                <w:b/>
                <w:sz w:val="20"/>
              </w:rPr>
              <w:t xml:space="preserve"> </w:t>
            </w:r>
            <w:r>
              <w:rPr>
                <w:b/>
                <w:sz w:val="20"/>
              </w:rPr>
              <w:tab/>
              <w:t xml:space="preserve">PREVISIÓN </w:t>
            </w:r>
            <w:r>
              <w:rPr>
                <w:rFonts w:ascii="Times New Roman" w:eastAsia="Times New Roman" w:hAnsi="Times New Roman" w:cs="Times New Roman"/>
                <w:sz w:val="24"/>
              </w:rPr>
              <w:t xml:space="preserve"> </w:t>
            </w:r>
          </w:p>
          <w:p w:rsidR="00DA121A" w:rsidRDefault="00904DD6">
            <w:pPr>
              <w:spacing w:after="13" w:line="259" w:lineRule="auto"/>
              <w:ind w:left="55" w:firstLine="0"/>
            </w:pPr>
            <w:r>
              <w:rPr>
                <w:b/>
                <w:sz w:val="20"/>
              </w:rPr>
              <w:t xml:space="preserve">PRESUPUESTO </w:t>
            </w:r>
          </w:p>
          <w:p w:rsidR="00DA121A" w:rsidRDefault="00904DD6">
            <w:pPr>
              <w:spacing w:after="0" w:line="259" w:lineRule="auto"/>
              <w:ind w:left="0" w:right="9" w:firstLine="0"/>
              <w:jc w:val="center"/>
            </w:pPr>
            <w:r>
              <w:rPr>
                <w:b/>
                <w:sz w:val="20"/>
              </w:rPr>
              <w:t xml:space="preserve">2024 </w:t>
            </w:r>
            <w:r>
              <w:rPr>
                <w:rFonts w:ascii="Times New Roman" w:eastAsia="Times New Roman" w:hAnsi="Times New Roman" w:cs="Times New Roman"/>
                <w:sz w:val="24"/>
              </w:rPr>
              <w:t xml:space="preserve">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13" w:line="259" w:lineRule="auto"/>
              <w:ind w:left="43" w:firstLine="0"/>
              <w:jc w:val="center"/>
            </w:pPr>
            <w:r>
              <w:rPr>
                <w:b/>
                <w:sz w:val="20"/>
              </w:rPr>
              <w:t xml:space="preserve">PREVISIÓN </w:t>
            </w:r>
          </w:p>
          <w:p w:rsidR="00DA121A" w:rsidRDefault="00904DD6">
            <w:pPr>
              <w:spacing w:after="0" w:line="259" w:lineRule="auto"/>
              <w:ind w:left="-5" w:firstLine="0"/>
            </w:pPr>
            <w:r>
              <w:rPr>
                <w:rFonts w:ascii="Times New Roman" w:eastAsia="Times New Roman" w:hAnsi="Times New Roman" w:cs="Times New Roman"/>
                <w:sz w:val="24"/>
              </w:rPr>
              <w:t xml:space="preserve"> </w:t>
            </w:r>
            <w:r>
              <w:rPr>
                <w:b/>
                <w:sz w:val="20"/>
              </w:rPr>
              <w:t>PRESUPUESTO</w:t>
            </w:r>
          </w:p>
          <w:p w:rsidR="00DA121A" w:rsidRDefault="00904DD6">
            <w:pPr>
              <w:spacing w:after="0" w:line="259" w:lineRule="auto"/>
              <w:ind w:left="42" w:firstLine="0"/>
              <w:jc w:val="center"/>
            </w:pPr>
            <w:r>
              <w:rPr>
                <w:b/>
                <w:sz w:val="20"/>
              </w:rPr>
              <w:t xml:space="preserve">2025 </w:t>
            </w:r>
            <w:r>
              <w:rPr>
                <w:rFonts w:ascii="Times New Roman" w:eastAsia="Times New Roman" w:hAnsi="Times New Roman" w:cs="Times New Roman"/>
                <w:sz w:val="24"/>
              </w:rPr>
              <w:t xml:space="preserve"> </w:t>
            </w:r>
          </w:p>
        </w:tc>
        <w:tc>
          <w:tcPr>
            <w:tcW w:w="157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40" w:firstLine="0"/>
              <w:jc w:val="center"/>
            </w:pPr>
            <w:r>
              <w:rPr>
                <w:b/>
                <w:sz w:val="20"/>
              </w:rPr>
              <w:t xml:space="preserve">PREVISIÓN </w:t>
            </w:r>
          </w:p>
          <w:p w:rsidR="00DA121A" w:rsidRDefault="00904DD6">
            <w:pPr>
              <w:spacing w:after="13" w:line="259" w:lineRule="auto"/>
              <w:ind w:left="-10" w:firstLine="0"/>
            </w:pPr>
            <w:r>
              <w:rPr>
                <w:b/>
                <w:sz w:val="20"/>
              </w:rPr>
              <w:t xml:space="preserve"> PRESUPUESTO </w:t>
            </w:r>
          </w:p>
          <w:p w:rsidR="00DA121A" w:rsidRDefault="00904DD6">
            <w:pPr>
              <w:spacing w:after="0" w:line="259" w:lineRule="auto"/>
              <w:ind w:left="38" w:firstLine="0"/>
              <w:jc w:val="center"/>
            </w:pPr>
            <w:r>
              <w:rPr>
                <w:b/>
                <w:sz w:val="20"/>
              </w:rPr>
              <w:t xml:space="preserve">2026 </w:t>
            </w:r>
            <w:r>
              <w:rPr>
                <w:rFonts w:ascii="Times New Roman" w:eastAsia="Times New Roman" w:hAnsi="Times New Roman" w:cs="Times New Roman"/>
                <w:sz w:val="24"/>
              </w:rPr>
              <w:t xml:space="preserve"> </w:t>
            </w:r>
          </w:p>
        </w:tc>
      </w:tr>
      <w:tr w:rsidR="00DA121A">
        <w:trPr>
          <w:trHeight w:val="571"/>
        </w:trPr>
        <w:tc>
          <w:tcPr>
            <w:tcW w:w="191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b/>
                <w:sz w:val="20"/>
              </w:rPr>
              <w:t xml:space="preserve">GASTOS DE PERSONAL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4" w:firstLine="0"/>
              <w:jc w:val="right"/>
            </w:pPr>
            <w:r>
              <w:rPr>
                <w:b/>
                <w:sz w:val="20"/>
              </w:rPr>
              <w:t xml:space="preserve">13.780.501,51 </w:t>
            </w:r>
          </w:p>
        </w:tc>
        <w:tc>
          <w:tcPr>
            <w:tcW w:w="162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b/>
                <w:sz w:val="20"/>
              </w:rPr>
              <w:t xml:space="preserve">14.056.111,54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14.337.233,77 </w:t>
            </w:r>
          </w:p>
        </w:tc>
        <w:tc>
          <w:tcPr>
            <w:tcW w:w="157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4" w:firstLine="0"/>
              <w:jc w:val="right"/>
            </w:pPr>
            <w:r>
              <w:rPr>
                <w:b/>
                <w:sz w:val="20"/>
              </w:rPr>
              <w:t xml:space="preserve">14.623.978,45 </w:t>
            </w:r>
          </w:p>
        </w:tc>
      </w:tr>
      <w:tr w:rsidR="00DA121A">
        <w:trPr>
          <w:trHeight w:val="1030"/>
        </w:trPr>
        <w:tc>
          <w:tcPr>
            <w:tcW w:w="191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43" w:firstLine="0"/>
              <w:jc w:val="center"/>
            </w:pPr>
            <w:r>
              <w:rPr>
                <w:b/>
                <w:sz w:val="20"/>
              </w:rPr>
              <w:t xml:space="preserve">GASTOS EN </w:t>
            </w:r>
          </w:p>
          <w:p w:rsidR="00DA121A" w:rsidRDefault="00904DD6">
            <w:pPr>
              <w:spacing w:after="0" w:line="259" w:lineRule="auto"/>
              <w:ind w:left="46" w:firstLine="0"/>
              <w:jc w:val="center"/>
            </w:pPr>
            <w:r>
              <w:rPr>
                <w:b/>
                <w:sz w:val="20"/>
              </w:rPr>
              <w:t xml:space="preserve">BIENES </w:t>
            </w:r>
          </w:p>
          <w:p w:rsidR="00DA121A" w:rsidRDefault="00904DD6">
            <w:pPr>
              <w:spacing w:after="0" w:line="259" w:lineRule="auto"/>
              <w:ind w:left="0" w:firstLine="0"/>
              <w:jc w:val="center"/>
            </w:pPr>
            <w:r>
              <w:rPr>
                <w:b/>
                <w:sz w:val="20"/>
              </w:rPr>
              <w:t xml:space="preserve">CORRIENTES Y SERVICIOS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vAlign w:val="bottom"/>
          </w:tcPr>
          <w:p w:rsidR="00DA121A" w:rsidRDefault="00904DD6">
            <w:pPr>
              <w:spacing w:after="0" w:line="259" w:lineRule="auto"/>
              <w:ind w:left="0" w:right="54" w:firstLine="0"/>
              <w:jc w:val="right"/>
            </w:pPr>
            <w:r>
              <w:rPr>
                <w:b/>
                <w:sz w:val="20"/>
              </w:rPr>
              <w:t xml:space="preserve">11.139.342,11 </w:t>
            </w:r>
          </w:p>
        </w:tc>
        <w:tc>
          <w:tcPr>
            <w:tcW w:w="1622" w:type="dxa"/>
            <w:tcBorders>
              <w:top w:val="single" w:sz="2" w:space="0" w:color="000000"/>
              <w:left w:val="single" w:sz="2" w:space="0" w:color="000000"/>
              <w:bottom w:val="single" w:sz="2" w:space="0" w:color="000000"/>
              <w:right w:val="single" w:sz="2" w:space="0" w:color="000000"/>
            </w:tcBorders>
            <w:vAlign w:val="bottom"/>
          </w:tcPr>
          <w:p w:rsidR="00DA121A" w:rsidRDefault="00904DD6">
            <w:pPr>
              <w:spacing w:after="0" w:line="259" w:lineRule="auto"/>
              <w:ind w:left="0" w:right="55" w:firstLine="0"/>
              <w:jc w:val="right"/>
            </w:pPr>
            <w:r>
              <w:rPr>
                <w:b/>
                <w:sz w:val="20"/>
              </w:rPr>
              <w:t xml:space="preserve">12.476.063,16 </w:t>
            </w:r>
          </w:p>
        </w:tc>
        <w:tc>
          <w:tcPr>
            <w:tcW w:w="1572" w:type="dxa"/>
            <w:tcBorders>
              <w:top w:val="single" w:sz="2" w:space="0" w:color="000000"/>
              <w:left w:val="single" w:sz="2" w:space="0" w:color="000000"/>
              <w:bottom w:val="single" w:sz="2" w:space="0" w:color="000000"/>
              <w:right w:val="single" w:sz="2" w:space="0" w:color="000000"/>
            </w:tcBorders>
            <w:vAlign w:val="bottom"/>
          </w:tcPr>
          <w:p w:rsidR="00DA121A" w:rsidRDefault="00904DD6">
            <w:pPr>
              <w:spacing w:after="0" w:line="259" w:lineRule="auto"/>
              <w:ind w:left="0" w:right="51" w:firstLine="0"/>
              <w:jc w:val="right"/>
            </w:pPr>
            <w:r>
              <w:rPr>
                <w:b/>
                <w:sz w:val="20"/>
              </w:rPr>
              <w:t xml:space="preserve">13.252.494,45 </w:t>
            </w:r>
          </w:p>
        </w:tc>
        <w:tc>
          <w:tcPr>
            <w:tcW w:w="1575" w:type="dxa"/>
            <w:tcBorders>
              <w:top w:val="single" w:sz="2" w:space="0" w:color="000000"/>
              <w:left w:val="single" w:sz="2" w:space="0" w:color="000000"/>
              <w:bottom w:val="single" w:sz="2" w:space="0" w:color="000000"/>
              <w:right w:val="single" w:sz="2" w:space="0" w:color="000000"/>
            </w:tcBorders>
            <w:vAlign w:val="bottom"/>
          </w:tcPr>
          <w:p w:rsidR="00DA121A" w:rsidRDefault="00904DD6">
            <w:pPr>
              <w:spacing w:after="0" w:line="259" w:lineRule="auto"/>
              <w:ind w:left="0" w:right="54" w:firstLine="0"/>
              <w:jc w:val="right"/>
            </w:pPr>
            <w:r>
              <w:rPr>
                <w:b/>
                <w:sz w:val="20"/>
              </w:rPr>
              <w:t xml:space="preserve">13.874.603,62 </w:t>
            </w:r>
          </w:p>
        </w:tc>
      </w:tr>
      <w:tr w:rsidR="00DA121A">
        <w:trPr>
          <w:trHeight w:val="571"/>
        </w:trPr>
        <w:tc>
          <w:tcPr>
            <w:tcW w:w="191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b/>
                <w:sz w:val="20"/>
              </w:rPr>
              <w:t xml:space="preserve">GASTOS FINANCIEROS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b/>
                <w:sz w:val="20"/>
              </w:rPr>
              <w:t xml:space="preserve">85.000,00 </w:t>
            </w:r>
          </w:p>
        </w:tc>
        <w:tc>
          <w:tcPr>
            <w:tcW w:w="162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8" w:firstLine="0"/>
              <w:jc w:val="right"/>
            </w:pPr>
            <w:r>
              <w:rPr>
                <w:b/>
                <w:sz w:val="20"/>
              </w:rPr>
              <w:t xml:space="preserve">50.000,00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50.000,00 </w:t>
            </w:r>
          </w:p>
        </w:tc>
        <w:tc>
          <w:tcPr>
            <w:tcW w:w="157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b/>
                <w:sz w:val="20"/>
              </w:rPr>
              <w:t xml:space="preserve">50.000,00 </w:t>
            </w:r>
          </w:p>
        </w:tc>
      </w:tr>
      <w:tr w:rsidR="00DA121A">
        <w:trPr>
          <w:trHeight w:val="571"/>
        </w:trPr>
        <w:tc>
          <w:tcPr>
            <w:tcW w:w="191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b/>
                <w:sz w:val="20"/>
              </w:rPr>
              <w:t xml:space="preserve">TRANSFERENCIAS CORRIENTES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13" w:firstLine="0"/>
              <w:jc w:val="left"/>
            </w:pPr>
            <w:r>
              <w:rPr>
                <w:b/>
                <w:sz w:val="20"/>
              </w:rPr>
              <w:t xml:space="preserve"> </w:t>
            </w:r>
          </w:p>
          <w:p w:rsidR="00DA121A" w:rsidRDefault="00904DD6">
            <w:pPr>
              <w:spacing w:after="0" w:line="259" w:lineRule="auto"/>
              <w:ind w:left="0" w:right="53" w:firstLine="0"/>
              <w:jc w:val="right"/>
            </w:pPr>
            <w:r>
              <w:rPr>
                <w:b/>
                <w:sz w:val="20"/>
              </w:rPr>
              <w:t xml:space="preserve">2.076.645,68 </w:t>
            </w:r>
          </w:p>
        </w:tc>
        <w:tc>
          <w:tcPr>
            <w:tcW w:w="1622" w:type="dxa"/>
            <w:tcBorders>
              <w:top w:val="single" w:sz="2" w:space="0" w:color="000000"/>
              <w:left w:val="single" w:sz="2" w:space="0" w:color="000000"/>
              <w:bottom w:val="single" w:sz="2" w:space="0" w:color="000000"/>
              <w:right w:val="single" w:sz="2" w:space="0" w:color="000000"/>
            </w:tcBorders>
            <w:vAlign w:val="bottom"/>
          </w:tcPr>
          <w:p w:rsidR="00DA121A" w:rsidRDefault="00904DD6">
            <w:pPr>
              <w:spacing w:after="0" w:line="259" w:lineRule="auto"/>
              <w:ind w:left="0" w:right="55" w:firstLine="0"/>
              <w:jc w:val="right"/>
            </w:pPr>
            <w:r>
              <w:rPr>
                <w:b/>
                <w:sz w:val="20"/>
              </w:rPr>
              <w:t xml:space="preserve">1.824.332,38 </w:t>
            </w:r>
          </w:p>
        </w:tc>
        <w:tc>
          <w:tcPr>
            <w:tcW w:w="1572" w:type="dxa"/>
            <w:tcBorders>
              <w:top w:val="single" w:sz="2" w:space="0" w:color="000000"/>
              <w:left w:val="single" w:sz="2" w:space="0" w:color="000000"/>
              <w:bottom w:val="single" w:sz="2" w:space="0" w:color="000000"/>
              <w:right w:val="single" w:sz="2" w:space="0" w:color="000000"/>
            </w:tcBorders>
            <w:vAlign w:val="bottom"/>
          </w:tcPr>
          <w:p w:rsidR="00DA121A" w:rsidRDefault="00904DD6">
            <w:pPr>
              <w:spacing w:after="0" w:line="259" w:lineRule="auto"/>
              <w:ind w:left="0" w:right="50" w:firstLine="0"/>
              <w:jc w:val="right"/>
            </w:pPr>
            <w:r>
              <w:rPr>
                <w:b/>
                <w:sz w:val="20"/>
              </w:rPr>
              <w:t xml:space="preserve">2.160.819,03 </w:t>
            </w:r>
          </w:p>
        </w:tc>
        <w:tc>
          <w:tcPr>
            <w:tcW w:w="1575" w:type="dxa"/>
            <w:tcBorders>
              <w:top w:val="single" w:sz="2" w:space="0" w:color="000000"/>
              <w:left w:val="single" w:sz="2" w:space="0" w:color="000000"/>
              <w:bottom w:val="single" w:sz="2" w:space="0" w:color="000000"/>
              <w:right w:val="single" w:sz="2" w:space="0" w:color="000000"/>
            </w:tcBorders>
            <w:vAlign w:val="bottom"/>
          </w:tcPr>
          <w:p w:rsidR="00DA121A" w:rsidRDefault="00904DD6">
            <w:pPr>
              <w:spacing w:after="0" w:line="259" w:lineRule="auto"/>
              <w:ind w:left="0" w:right="53" w:firstLine="0"/>
              <w:jc w:val="right"/>
            </w:pPr>
            <w:r>
              <w:rPr>
                <w:b/>
                <w:sz w:val="20"/>
              </w:rPr>
              <w:t xml:space="preserve">2.204.035,41 </w:t>
            </w:r>
          </w:p>
        </w:tc>
      </w:tr>
      <w:tr w:rsidR="00DA121A">
        <w:trPr>
          <w:trHeight w:val="572"/>
        </w:trPr>
        <w:tc>
          <w:tcPr>
            <w:tcW w:w="191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b/>
                <w:sz w:val="20"/>
              </w:rPr>
              <w:t xml:space="preserve">INVERSIONES REALES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b/>
                <w:sz w:val="20"/>
              </w:rPr>
              <w:t xml:space="preserve">899.943,32 </w:t>
            </w:r>
          </w:p>
        </w:tc>
        <w:tc>
          <w:tcPr>
            <w:tcW w:w="162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8" w:firstLine="0"/>
              <w:jc w:val="right"/>
            </w:pPr>
            <w:r>
              <w:rPr>
                <w:b/>
                <w:sz w:val="20"/>
              </w:rPr>
              <w:t xml:space="preserve">406.774,38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333.554,99 </w:t>
            </w:r>
          </w:p>
        </w:tc>
        <w:tc>
          <w:tcPr>
            <w:tcW w:w="157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b/>
                <w:sz w:val="20"/>
              </w:rPr>
              <w:t xml:space="preserve">340.226,09 </w:t>
            </w:r>
          </w:p>
        </w:tc>
      </w:tr>
      <w:tr w:rsidR="00DA121A">
        <w:trPr>
          <w:trHeight w:val="571"/>
        </w:trPr>
        <w:tc>
          <w:tcPr>
            <w:tcW w:w="191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b/>
                <w:sz w:val="20"/>
              </w:rPr>
              <w:t xml:space="preserve">TRANSFERENCIAS DE CAPITAL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13" w:firstLine="0"/>
              <w:jc w:val="left"/>
            </w:pPr>
            <w:r>
              <w:rPr>
                <w:b/>
                <w:sz w:val="20"/>
              </w:rPr>
              <w:t xml:space="preserve"> </w:t>
            </w:r>
          </w:p>
          <w:p w:rsidR="00DA121A" w:rsidRDefault="00904DD6">
            <w:pPr>
              <w:spacing w:after="0" w:line="259" w:lineRule="auto"/>
              <w:ind w:left="0" w:right="56" w:firstLine="0"/>
              <w:jc w:val="right"/>
            </w:pPr>
            <w:r>
              <w:rPr>
                <w:b/>
                <w:sz w:val="20"/>
              </w:rPr>
              <w:t xml:space="preserve">20.000,00 </w:t>
            </w:r>
          </w:p>
        </w:tc>
        <w:tc>
          <w:tcPr>
            <w:tcW w:w="1622"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8" w:firstLine="0"/>
              <w:jc w:val="right"/>
            </w:pPr>
            <w:r>
              <w:rPr>
                <w:b/>
                <w:sz w:val="20"/>
              </w:rPr>
              <w:t xml:space="preserve">20.000,00 </w:t>
            </w:r>
          </w:p>
        </w:tc>
        <w:tc>
          <w:tcPr>
            <w:tcW w:w="1572"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3" w:firstLine="0"/>
              <w:jc w:val="right"/>
            </w:pPr>
            <w:r>
              <w:rPr>
                <w:b/>
                <w:sz w:val="20"/>
              </w:rPr>
              <w:t xml:space="preserve">20.000,00 </w:t>
            </w:r>
          </w:p>
        </w:tc>
        <w:tc>
          <w:tcPr>
            <w:tcW w:w="1575"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right="56" w:firstLine="0"/>
              <w:jc w:val="right"/>
            </w:pPr>
            <w:r>
              <w:rPr>
                <w:b/>
                <w:sz w:val="20"/>
              </w:rPr>
              <w:t xml:space="preserve">20.000,00 </w:t>
            </w:r>
          </w:p>
        </w:tc>
      </w:tr>
      <w:tr w:rsidR="00DA121A">
        <w:trPr>
          <w:trHeight w:val="571"/>
        </w:trPr>
        <w:tc>
          <w:tcPr>
            <w:tcW w:w="191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b/>
                <w:sz w:val="20"/>
              </w:rPr>
              <w:t xml:space="preserve">ACTIVOS FINANCIEROS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b/>
                <w:sz w:val="20"/>
              </w:rPr>
              <w:t xml:space="preserve">50.000,00 </w:t>
            </w:r>
          </w:p>
        </w:tc>
        <w:tc>
          <w:tcPr>
            <w:tcW w:w="162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8" w:firstLine="0"/>
              <w:jc w:val="right"/>
            </w:pPr>
            <w:r>
              <w:rPr>
                <w:b/>
                <w:sz w:val="20"/>
              </w:rPr>
              <w:t xml:space="preserve">50.000,00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50.000,00 </w:t>
            </w:r>
          </w:p>
        </w:tc>
        <w:tc>
          <w:tcPr>
            <w:tcW w:w="157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b/>
                <w:sz w:val="20"/>
              </w:rPr>
              <w:t xml:space="preserve">50.000,00 </w:t>
            </w:r>
          </w:p>
        </w:tc>
      </w:tr>
      <w:tr w:rsidR="00DA121A">
        <w:trPr>
          <w:trHeight w:val="571"/>
        </w:trPr>
        <w:tc>
          <w:tcPr>
            <w:tcW w:w="191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firstLine="0"/>
              <w:jc w:val="center"/>
            </w:pPr>
            <w:r>
              <w:rPr>
                <w:b/>
                <w:sz w:val="20"/>
              </w:rPr>
              <w:t xml:space="preserve">PASIVOS FINANCIEROS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5" w:firstLine="0"/>
              <w:jc w:val="right"/>
            </w:pPr>
            <w:r>
              <w:rPr>
                <w:b/>
                <w:sz w:val="20"/>
              </w:rPr>
              <w:t xml:space="preserve">0,00 </w:t>
            </w:r>
          </w:p>
        </w:tc>
        <w:tc>
          <w:tcPr>
            <w:tcW w:w="162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7" w:firstLine="0"/>
              <w:jc w:val="right"/>
            </w:pPr>
            <w:r>
              <w:rPr>
                <w:b/>
                <w:sz w:val="20"/>
              </w:rPr>
              <w:t xml:space="preserve">0,00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0,00 </w:t>
            </w:r>
          </w:p>
        </w:tc>
        <w:tc>
          <w:tcPr>
            <w:tcW w:w="157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b/>
                <w:sz w:val="20"/>
              </w:rPr>
              <w:t xml:space="preserve">0,00 </w:t>
            </w:r>
          </w:p>
        </w:tc>
      </w:tr>
      <w:tr w:rsidR="00DA121A">
        <w:trPr>
          <w:trHeight w:val="456"/>
        </w:trPr>
        <w:tc>
          <w:tcPr>
            <w:tcW w:w="191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b/>
                <w:sz w:val="20"/>
              </w:rPr>
              <w:t xml:space="preserve"> </w:t>
            </w:r>
            <w:r>
              <w:rPr>
                <w:rFonts w:ascii="Times New Roman" w:eastAsia="Times New Roman" w:hAnsi="Times New Roman" w:cs="Times New Roman"/>
                <w:sz w:val="24"/>
              </w:rPr>
              <w:t xml:space="preserve"> </w:t>
            </w:r>
          </w:p>
        </w:tc>
        <w:tc>
          <w:tcPr>
            <w:tcW w:w="162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4" w:firstLine="0"/>
              <w:jc w:val="right"/>
            </w:pPr>
            <w:r>
              <w:rPr>
                <w:b/>
                <w:sz w:val="20"/>
              </w:rPr>
              <w:t xml:space="preserve">28.051.432,62 </w:t>
            </w:r>
          </w:p>
        </w:tc>
        <w:tc>
          <w:tcPr>
            <w:tcW w:w="162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5" w:firstLine="0"/>
              <w:jc w:val="right"/>
            </w:pPr>
            <w:r>
              <w:rPr>
                <w:b/>
                <w:sz w:val="20"/>
              </w:rPr>
              <w:t xml:space="preserve">28.883.281,46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30.204.102,24 </w:t>
            </w:r>
          </w:p>
        </w:tc>
        <w:tc>
          <w:tcPr>
            <w:tcW w:w="1575"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4" w:firstLine="0"/>
              <w:jc w:val="right"/>
            </w:pPr>
            <w:r>
              <w:rPr>
                <w:b/>
                <w:sz w:val="20"/>
              </w:rPr>
              <w:t xml:space="preserve">31.162.843,57 </w:t>
            </w:r>
          </w:p>
        </w:tc>
      </w:tr>
    </w:tbl>
    <w:p w:rsidR="00DA121A" w:rsidRDefault="00904DD6">
      <w:pPr>
        <w:spacing w:after="0" w:line="259" w:lineRule="auto"/>
        <w:ind w:left="284" w:firstLine="0"/>
      </w:pPr>
      <w:r>
        <w:rPr>
          <w:b/>
          <w:sz w:val="20"/>
        </w:rPr>
        <w:t xml:space="preserve"> </w:t>
      </w:r>
      <w:r>
        <w:rPr>
          <w:rFonts w:ascii="Times New Roman" w:eastAsia="Times New Roman" w:hAnsi="Times New Roman" w:cs="Times New Roman"/>
          <w:sz w:val="24"/>
        </w:rPr>
        <w:t xml:space="preserve"> </w:t>
      </w:r>
    </w:p>
    <w:tbl>
      <w:tblPr>
        <w:tblStyle w:val="TableGrid"/>
        <w:tblW w:w="8435" w:type="dxa"/>
        <w:tblInd w:w="341" w:type="dxa"/>
        <w:tblCellMar>
          <w:top w:w="49" w:type="dxa"/>
          <w:left w:w="0" w:type="dxa"/>
          <w:bottom w:w="0" w:type="dxa"/>
          <w:right w:w="0" w:type="dxa"/>
        </w:tblCellMar>
        <w:tblLook w:val="04A0" w:firstRow="1" w:lastRow="0" w:firstColumn="1" w:lastColumn="0" w:noHBand="0" w:noVBand="1"/>
      </w:tblPr>
      <w:tblGrid>
        <w:gridCol w:w="2086"/>
        <w:gridCol w:w="1630"/>
        <w:gridCol w:w="1572"/>
        <w:gridCol w:w="1574"/>
        <w:gridCol w:w="1573"/>
      </w:tblGrid>
      <w:tr w:rsidR="00DA121A">
        <w:trPr>
          <w:trHeight w:val="745"/>
        </w:trPr>
        <w:tc>
          <w:tcPr>
            <w:tcW w:w="2086" w:type="dxa"/>
            <w:tcBorders>
              <w:top w:val="single" w:sz="2" w:space="0" w:color="000000"/>
              <w:left w:val="single" w:sz="2" w:space="0" w:color="000000"/>
              <w:bottom w:val="single" w:sz="2" w:space="0" w:color="000000"/>
              <w:right w:val="single" w:sz="2" w:space="0" w:color="000000"/>
            </w:tcBorders>
            <w:vAlign w:val="center"/>
          </w:tcPr>
          <w:p w:rsidR="00DA121A" w:rsidRDefault="00904DD6">
            <w:pPr>
              <w:spacing w:after="0" w:line="259" w:lineRule="auto"/>
              <w:ind w:left="0" w:firstLine="0"/>
              <w:jc w:val="center"/>
            </w:pPr>
            <w:r>
              <w:rPr>
                <w:b/>
                <w:sz w:val="20"/>
              </w:rPr>
              <w:t xml:space="preserve">INGRESOS </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tcPr>
          <w:p w:rsidR="00DA121A" w:rsidRDefault="00904DD6">
            <w:pPr>
              <w:spacing w:after="11" w:line="259" w:lineRule="auto"/>
              <w:ind w:left="110" w:firstLine="0"/>
            </w:pPr>
            <w:r>
              <w:rPr>
                <w:b/>
                <w:sz w:val="20"/>
              </w:rPr>
              <w:t>PRESUPUESTO</w:t>
            </w:r>
          </w:p>
          <w:p w:rsidR="00DA121A" w:rsidRDefault="00904DD6">
            <w:pPr>
              <w:spacing w:after="0" w:line="259" w:lineRule="auto"/>
              <w:ind w:left="0" w:right="6" w:firstLine="0"/>
              <w:jc w:val="center"/>
            </w:pPr>
            <w:r>
              <w:rPr>
                <w:b/>
                <w:sz w:val="20"/>
              </w:rPr>
              <w:t xml:space="preserve">2022 </w:t>
            </w:r>
            <w:r>
              <w:rPr>
                <w:rFonts w:ascii="Times New Roman" w:eastAsia="Times New Roman" w:hAnsi="Times New Roman" w:cs="Times New Roman"/>
                <w:sz w:val="24"/>
              </w:rPr>
              <w:t xml:space="preserve">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tabs>
                <w:tab w:val="center" w:pos="807"/>
              </w:tabs>
              <w:spacing w:after="0" w:line="259" w:lineRule="auto"/>
              <w:ind w:left="-13" w:firstLine="0"/>
              <w:jc w:val="left"/>
            </w:pPr>
            <w:r>
              <w:rPr>
                <w:b/>
                <w:sz w:val="20"/>
              </w:rPr>
              <w:t xml:space="preserve"> </w:t>
            </w:r>
            <w:r>
              <w:rPr>
                <w:b/>
                <w:sz w:val="20"/>
              </w:rPr>
              <w:tab/>
              <w:t xml:space="preserve">PREVISIÓN </w:t>
            </w:r>
          </w:p>
          <w:p w:rsidR="00DA121A" w:rsidRDefault="00904DD6">
            <w:pPr>
              <w:spacing w:after="13" w:line="259" w:lineRule="auto"/>
              <w:ind w:left="55" w:firstLine="0"/>
            </w:pPr>
            <w:r>
              <w:rPr>
                <w:b/>
                <w:sz w:val="20"/>
              </w:rPr>
              <w:t>PRESUPUESTO</w:t>
            </w:r>
          </w:p>
          <w:p w:rsidR="00DA121A" w:rsidRDefault="00904DD6">
            <w:pPr>
              <w:spacing w:after="0" w:line="259" w:lineRule="auto"/>
              <w:ind w:left="41" w:firstLine="0"/>
              <w:jc w:val="center"/>
            </w:pPr>
            <w:r>
              <w:rPr>
                <w:b/>
                <w:sz w:val="20"/>
              </w:rPr>
              <w:t xml:space="preserve">2023 </w:t>
            </w:r>
            <w:r>
              <w:rPr>
                <w:rFonts w:ascii="Times New Roman" w:eastAsia="Times New Roman" w:hAnsi="Times New Roman" w:cs="Times New Roman"/>
                <w:sz w:val="24"/>
              </w:rPr>
              <w:t xml:space="preserve"> </w:t>
            </w:r>
          </w:p>
        </w:tc>
        <w:tc>
          <w:tcPr>
            <w:tcW w:w="157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40" w:firstLine="0"/>
              <w:jc w:val="center"/>
            </w:pPr>
            <w:r>
              <w:rPr>
                <w:b/>
                <w:sz w:val="20"/>
              </w:rPr>
              <w:t xml:space="preserve">PREVISIÓN </w:t>
            </w:r>
          </w:p>
          <w:p w:rsidR="00DA121A" w:rsidRDefault="00904DD6">
            <w:pPr>
              <w:spacing w:after="13" w:line="259" w:lineRule="auto"/>
              <w:ind w:left="-10" w:firstLine="0"/>
            </w:pPr>
            <w:r>
              <w:rPr>
                <w:b/>
                <w:sz w:val="20"/>
              </w:rPr>
              <w:t xml:space="preserve"> PRESUPUESTO</w:t>
            </w:r>
          </w:p>
          <w:p w:rsidR="00DA121A" w:rsidRDefault="00904DD6">
            <w:pPr>
              <w:spacing w:after="0" w:line="259" w:lineRule="auto"/>
              <w:ind w:left="39" w:firstLine="0"/>
              <w:jc w:val="center"/>
            </w:pPr>
            <w:r>
              <w:rPr>
                <w:b/>
                <w:sz w:val="20"/>
              </w:rPr>
              <w:t xml:space="preserve">2024 </w:t>
            </w:r>
            <w:r>
              <w:rPr>
                <w:rFonts w:ascii="Times New Roman" w:eastAsia="Times New Roman" w:hAnsi="Times New Roman" w:cs="Times New Roman"/>
                <w:sz w:val="24"/>
              </w:rPr>
              <w:t xml:space="preserve"> </w:t>
            </w:r>
          </w:p>
        </w:tc>
        <w:tc>
          <w:tcPr>
            <w:tcW w:w="1573"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42" w:firstLine="0"/>
              <w:jc w:val="center"/>
            </w:pPr>
            <w:r>
              <w:rPr>
                <w:b/>
                <w:sz w:val="20"/>
              </w:rPr>
              <w:t xml:space="preserve">PREVISIÓN </w:t>
            </w:r>
          </w:p>
          <w:p w:rsidR="00DA121A" w:rsidRDefault="00904DD6">
            <w:pPr>
              <w:spacing w:after="13" w:line="259" w:lineRule="auto"/>
              <w:ind w:left="-12" w:firstLine="0"/>
            </w:pPr>
            <w:r>
              <w:rPr>
                <w:b/>
                <w:sz w:val="20"/>
              </w:rPr>
              <w:t xml:space="preserve"> PRESUPUESTO </w:t>
            </w:r>
          </w:p>
          <w:p w:rsidR="00DA121A" w:rsidRDefault="00904DD6">
            <w:pPr>
              <w:spacing w:after="0" w:line="259" w:lineRule="auto"/>
              <w:ind w:left="41" w:firstLine="0"/>
              <w:jc w:val="center"/>
            </w:pPr>
            <w:r>
              <w:rPr>
                <w:b/>
                <w:sz w:val="20"/>
              </w:rPr>
              <w:t xml:space="preserve">2025 </w:t>
            </w:r>
            <w:r>
              <w:rPr>
                <w:rFonts w:ascii="Times New Roman" w:eastAsia="Times New Roman" w:hAnsi="Times New Roman" w:cs="Times New Roman"/>
                <w:sz w:val="24"/>
              </w:rPr>
              <w:t xml:space="preserve"> </w:t>
            </w:r>
          </w:p>
        </w:tc>
      </w:tr>
      <w:tr w:rsidR="00DA121A">
        <w:trPr>
          <w:trHeight w:val="514"/>
        </w:trPr>
        <w:tc>
          <w:tcPr>
            <w:tcW w:w="208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b/>
                <w:sz w:val="20"/>
              </w:rPr>
              <w:t xml:space="preserve">IMPUESTOS DIRECTOS </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8.132.000,00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8.172.661,63 </w:t>
            </w:r>
          </w:p>
        </w:tc>
        <w:tc>
          <w:tcPr>
            <w:tcW w:w="157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8.254.469,97 </w:t>
            </w:r>
          </w:p>
        </w:tc>
        <w:tc>
          <w:tcPr>
            <w:tcW w:w="1573"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8.385.716,04 </w:t>
            </w:r>
          </w:p>
        </w:tc>
      </w:tr>
      <w:tr w:rsidR="00DA121A">
        <w:trPr>
          <w:trHeight w:val="514"/>
        </w:trPr>
        <w:tc>
          <w:tcPr>
            <w:tcW w:w="208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b/>
                <w:sz w:val="20"/>
              </w:rPr>
              <w:t xml:space="preserve">IMPUESTOS INDIRECTOS </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4.129.099,68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4.252.972,67 </w:t>
            </w:r>
          </w:p>
        </w:tc>
        <w:tc>
          <w:tcPr>
            <w:tcW w:w="157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4.401.826,71 </w:t>
            </w:r>
          </w:p>
        </w:tc>
        <w:tc>
          <w:tcPr>
            <w:tcW w:w="1573"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4.555.890,65 </w:t>
            </w:r>
          </w:p>
        </w:tc>
      </w:tr>
      <w:tr w:rsidR="00DA121A">
        <w:trPr>
          <w:trHeight w:val="516"/>
        </w:trPr>
        <w:tc>
          <w:tcPr>
            <w:tcW w:w="208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b/>
                <w:sz w:val="20"/>
              </w:rPr>
              <w:t xml:space="preserve">TASAS Y OTROS INGRESOS </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2.348.541,02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2.418.997,25 </w:t>
            </w:r>
          </w:p>
        </w:tc>
        <w:tc>
          <w:tcPr>
            <w:tcW w:w="157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2.497.614,66 </w:t>
            </w:r>
          </w:p>
        </w:tc>
        <w:tc>
          <w:tcPr>
            <w:tcW w:w="1573"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2.578.787,14 </w:t>
            </w:r>
          </w:p>
        </w:tc>
      </w:tr>
      <w:tr w:rsidR="00DA121A">
        <w:trPr>
          <w:trHeight w:val="514"/>
        </w:trPr>
        <w:tc>
          <w:tcPr>
            <w:tcW w:w="208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b/>
                <w:sz w:val="20"/>
              </w:rPr>
              <w:t xml:space="preserve">TRANSFERENCIAS CORRIENTES </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9.066.629,97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9.202.629,42 </w:t>
            </w:r>
          </w:p>
        </w:tc>
        <w:tc>
          <w:tcPr>
            <w:tcW w:w="157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5" w:firstLine="0"/>
              <w:jc w:val="right"/>
            </w:pPr>
            <w:r>
              <w:rPr>
                <w:b/>
                <w:sz w:val="20"/>
              </w:rPr>
              <w:t xml:space="preserve">9.377.111,27 </w:t>
            </w:r>
          </w:p>
        </w:tc>
        <w:tc>
          <w:tcPr>
            <w:tcW w:w="1573"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9.554.901,30 </w:t>
            </w:r>
          </w:p>
        </w:tc>
      </w:tr>
      <w:tr w:rsidR="00DA121A">
        <w:trPr>
          <w:trHeight w:val="514"/>
        </w:trPr>
        <w:tc>
          <w:tcPr>
            <w:tcW w:w="2086" w:type="dxa"/>
            <w:tcBorders>
              <w:top w:val="single" w:sz="2" w:space="0" w:color="000000"/>
              <w:left w:val="single" w:sz="2" w:space="0" w:color="000000"/>
              <w:bottom w:val="single" w:sz="2" w:space="0" w:color="000000"/>
              <w:right w:val="single" w:sz="2" w:space="0" w:color="000000"/>
            </w:tcBorders>
          </w:tcPr>
          <w:p w:rsidR="00DA121A" w:rsidRDefault="00904DD6">
            <w:pPr>
              <w:spacing w:after="15" w:line="259" w:lineRule="auto"/>
              <w:ind w:left="55" w:firstLine="0"/>
              <w:jc w:val="left"/>
            </w:pPr>
            <w:r>
              <w:rPr>
                <w:b/>
                <w:sz w:val="20"/>
              </w:rPr>
              <w:t xml:space="preserve">INGRESOS </w:t>
            </w:r>
          </w:p>
          <w:p w:rsidR="00DA121A" w:rsidRDefault="00904DD6">
            <w:pPr>
              <w:spacing w:after="0" w:line="259" w:lineRule="auto"/>
              <w:ind w:left="55" w:firstLine="0"/>
              <w:jc w:val="left"/>
            </w:pPr>
            <w:r>
              <w:rPr>
                <w:b/>
                <w:sz w:val="20"/>
              </w:rPr>
              <w:t xml:space="preserve">PATRIMONIALES </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b/>
                <w:sz w:val="20"/>
              </w:rPr>
              <w:t xml:space="preserve">12.000,00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4" w:firstLine="0"/>
              <w:jc w:val="right"/>
            </w:pPr>
            <w:r>
              <w:rPr>
                <w:b/>
                <w:sz w:val="20"/>
              </w:rPr>
              <w:t xml:space="preserve">12.000,00 </w:t>
            </w:r>
          </w:p>
        </w:tc>
        <w:tc>
          <w:tcPr>
            <w:tcW w:w="157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6" w:firstLine="0"/>
              <w:jc w:val="right"/>
            </w:pPr>
            <w:r>
              <w:rPr>
                <w:b/>
                <w:sz w:val="20"/>
              </w:rPr>
              <w:t xml:space="preserve">12.000,00 </w:t>
            </w:r>
          </w:p>
        </w:tc>
        <w:tc>
          <w:tcPr>
            <w:tcW w:w="1573"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4" w:firstLine="0"/>
              <w:jc w:val="right"/>
            </w:pPr>
            <w:r>
              <w:rPr>
                <w:b/>
                <w:sz w:val="20"/>
              </w:rPr>
              <w:t xml:space="preserve">12.000,00 </w:t>
            </w:r>
          </w:p>
        </w:tc>
      </w:tr>
      <w:tr w:rsidR="00DA121A">
        <w:trPr>
          <w:trHeight w:val="514"/>
        </w:trPr>
        <w:tc>
          <w:tcPr>
            <w:tcW w:w="208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55" w:firstLine="0"/>
              <w:jc w:val="left"/>
            </w:pPr>
            <w:r>
              <w:rPr>
                <w:b/>
                <w:sz w:val="20"/>
              </w:rPr>
              <w:t xml:space="preserve">TRANSFERENCIAS DE CAPITAL </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1.613.437,12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1.694.108,98 </w:t>
            </w:r>
          </w:p>
        </w:tc>
        <w:tc>
          <w:tcPr>
            <w:tcW w:w="157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1.748.320,46 </w:t>
            </w:r>
          </w:p>
        </w:tc>
        <w:tc>
          <w:tcPr>
            <w:tcW w:w="1573"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1.769.300,31 </w:t>
            </w:r>
          </w:p>
        </w:tc>
      </w:tr>
      <w:tr w:rsidR="00DA121A">
        <w:trPr>
          <w:trHeight w:val="514"/>
        </w:trPr>
        <w:tc>
          <w:tcPr>
            <w:tcW w:w="2086" w:type="dxa"/>
            <w:tcBorders>
              <w:top w:val="single" w:sz="2" w:space="0" w:color="000000"/>
              <w:left w:val="single" w:sz="2" w:space="0" w:color="000000"/>
              <w:bottom w:val="single" w:sz="2" w:space="0" w:color="000000"/>
              <w:right w:val="single" w:sz="2" w:space="0" w:color="000000"/>
            </w:tcBorders>
          </w:tcPr>
          <w:p w:rsidR="00DA121A" w:rsidRDefault="00904DD6">
            <w:pPr>
              <w:spacing w:after="15" w:line="259" w:lineRule="auto"/>
              <w:ind w:left="0" w:firstLine="0"/>
              <w:jc w:val="left"/>
            </w:pPr>
            <w:r>
              <w:rPr>
                <w:b/>
                <w:sz w:val="20"/>
              </w:rPr>
              <w:t xml:space="preserve">ACTIVOS </w:t>
            </w:r>
          </w:p>
          <w:p w:rsidR="00DA121A" w:rsidRDefault="00904DD6">
            <w:pPr>
              <w:spacing w:after="0" w:line="259" w:lineRule="auto"/>
              <w:ind w:left="0" w:firstLine="0"/>
              <w:jc w:val="left"/>
            </w:pPr>
            <w:r>
              <w:rPr>
                <w:b/>
                <w:sz w:val="20"/>
              </w:rPr>
              <w:t xml:space="preserve">FINANCIEROS </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5" w:firstLine="0"/>
              <w:jc w:val="right"/>
            </w:pPr>
            <w:r>
              <w:rPr>
                <w:b/>
                <w:sz w:val="20"/>
              </w:rPr>
              <w:t xml:space="preserve">0,00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0,00 </w:t>
            </w:r>
          </w:p>
        </w:tc>
        <w:tc>
          <w:tcPr>
            <w:tcW w:w="157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5" w:firstLine="0"/>
              <w:jc w:val="right"/>
            </w:pPr>
            <w:r>
              <w:rPr>
                <w:b/>
                <w:sz w:val="20"/>
              </w:rPr>
              <w:t xml:space="preserve">0,00 </w:t>
            </w:r>
          </w:p>
        </w:tc>
        <w:tc>
          <w:tcPr>
            <w:tcW w:w="1573"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0,00 </w:t>
            </w:r>
          </w:p>
        </w:tc>
      </w:tr>
      <w:tr w:rsidR="00DA121A">
        <w:trPr>
          <w:trHeight w:val="516"/>
        </w:trPr>
        <w:tc>
          <w:tcPr>
            <w:tcW w:w="2086" w:type="dxa"/>
            <w:tcBorders>
              <w:top w:val="single" w:sz="2" w:space="0" w:color="000000"/>
              <w:left w:val="single" w:sz="2" w:space="0" w:color="000000"/>
              <w:bottom w:val="single" w:sz="2" w:space="0" w:color="000000"/>
              <w:right w:val="single" w:sz="2" w:space="0" w:color="000000"/>
            </w:tcBorders>
          </w:tcPr>
          <w:p w:rsidR="00DA121A" w:rsidRDefault="00904DD6">
            <w:pPr>
              <w:spacing w:after="15" w:line="259" w:lineRule="auto"/>
              <w:ind w:left="0" w:firstLine="0"/>
              <w:jc w:val="left"/>
            </w:pPr>
            <w:r>
              <w:rPr>
                <w:b/>
                <w:sz w:val="20"/>
              </w:rPr>
              <w:t xml:space="preserve">PASIVOS </w:t>
            </w:r>
          </w:p>
          <w:p w:rsidR="00DA121A" w:rsidRDefault="00904DD6">
            <w:pPr>
              <w:spacing w:after="0" w:line="259" w:lineRule="auto"/>
              <w:ind w:left="0" w:firstLine="0"/>
              <w:jc w:val="left"/>
            </w:pPr>
            <w:r>
              <w:rPr>
                <w:b/>
                <w:sz w:val="20"/>
              </w:rPr>
              <w:t xml:space="preserve">FINANCIEROS </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5" w:firstLine="0"/>
              <w:jc w:val="right"/>
            </w:pPr>
            <w:r>
              <w:rPr>
                <w:b/>
                <w:sz w:val="20"/>
              </w:rPr>
              <w:t xml:space="preserve">0,00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0,00 </w:t>
            </w:r>
          </w:p>
        </w:tc>
        <w:tc>
          <w:tcPr>
            <w:tcW w:w="157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5" w:firstLine="0"/>
              <w:jc w:val="right"/>
            </w:pPr>
            <w:r>
              <w:rPr>
                <w:b/>
                <w:sz w:val="20"/>
              </w:rPr>
              <w:t xml:space="preserve">0,00 </w:t>
            </w:r>
          </w:p>
        </w:tc>
        <w:tc>
          <w:tcPr>
            <w:tcW w:w="1573"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0,00 </w:t>
            </w:r>
          </w:p>
        </w:tc>
      </w:tr>
      <w:tr w:rsidR="00DA121A">
        <w:trPr>
          <w:trHeight w:val="360"/>
        </w:trPr>
        <w:tc>
          <w:tcPr>
            <w:tcW w:w="2086"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5" w:firstLine="0"/>
              <w:jc w:val="center"/>
            </w:pPr>
            <w:r>
              <w:rPr>
                <w:b/>
                <w:sz w:val="20"/>
              </w:rPr>
              <w:t xml:space="preserve">Total </w:t>
            </w:r>
            <w:r>
              <w:rPr>
                <w:rFonts w:ascii="Times New Roman" w:eastAsia="Times New Roman" w:hAnsi="Times New Roman" w:cs="Times New Roman"/>
                <w:sz w:val="24"/>
              </w:rPr>
              <w:t xml:space="preserve"> </w:t>
            </w:r>
          </w:p>
        </w:tc>
        <w:tc>
          <w:tcPr>
            <w:tcW w:w="1630"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4" w:firstLine="0"/>
              <w:jc w:val="right"/>
            </w:pPr>
            <w:r>
              <w:rPr>
                <w:b/>
                <w:sz w:val="20"/>
              </w:rPr>
              <w:t xml:space="preserve">25.298.707,79 </w:t>
            </w:r>
          </w:p>
        </w:tc>
        <w:tc>
          <w:tcPr>
            <w:tcW w:w="1572"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25.753.369,94 </w:t>
            </w:r>
          </w:p>
        </w:tc>
        <w:tc>
          <w:tcPr>
            <w:tcW w:w="1574"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3" w:firstLine="0"/>
              <w:jc w:val="right"/>
            </w:pPr>
            <w:r>
              <w:rPr>
                <w:b/>
                <w:sz w:val="20"/>
              </w:rPr>
              <w:t xml:space="preserve">26.291.343,08 </w:t>
            </w:r>
          </w:p>
        </w:tc>
        <w:tc>
          <w:tcPr>
            <w:tcW w:w="1573" w:type="dxa"/>
            <w:tcBorders>
              <w:top w:val="single" w:sz="2" w:space="0" w:color="000000"/>
              <w:left w:val="single" w:sz="2" w:space="0" w:color="000000"/>
              <w:bottom w:val="single" w:sz="2" w:space="0" w:color="000000"/>
              <w:right w:val="single" w:sz="2" w:space="0" w:color="000000"/>
            </w:tcBorders>
          </w:tcPr>
          <w:p w:rsidR="00DA121A" w:rsidRDefault="00904DD6">
            <w:pPr>
              <w:spacing w:after="0" w:line="259" w:lineRule="auto"/>
              <w:ind w:left="0" w:right="51" w:firstLine="0"/>
              <w:jc w:val="right"/>
            </w:pPr>
            <w:r>
              <w:rPr>
                <w:b/>
                <w:sz w:val="20"/>
              </w:rPr>
              <w:t xml:space="preserve">26.856.595,44 </w:t>
            </w:r>
          </w:p>
        </w:tc>
      </w:tr>
    </w:tbl>
    <w:p w:rsidR="00DA121A" w:rsidRDefault="00904DD6">
      <w:pPr>
        <w:spacing w:after="68" w:line="259" w:lineRule="auto"/>
        <w:ind w:left="284" w:firstLine="0"/>
        <w:jc w:val="left"/>
      </w:pPr>
      <w:r>
        <w:rPr>
          <w:rFonts w:ascii="Times New Roman" w:eastAsia="Times New Roman" w:hAnsi="Times New Roman" w:cs="Times New Roman"/>
          <w:b/>
          <w:sz w:val="20"/>
        </w:rPr>
        <w:t xml:space="preserve"> </w:t>
      </w:r>
      <w:r>
        <w:rPr>
          <w:rFonts w:ascii="Times New Roman" w:eastAsia="Times New Roman" w:hAnsi="Times New Roman" w:cs="Times New Roman"/>
          <w:sz w:val="24"/>
        </w:rPr>
        <w:t xml:space="preserve"> </w:t>
      </w:r>
    </w:p>
    <w:p w:rsidR="00DA121A" w:rsidRDefault="00904DD6">
      <w:pPr>
        <w:spacing w:after="91"/>
        <w:ind w:left="269" w:right="144" w:firstLine="698"/>
      </w:pPr>
      <w:r>
        <w:rPr>
          <w:b/>
        </w:rPr>
        <w:t xml:space="preserve">SEGUNDO. - </w:t>
      </w:r>
      <w:r>
        <w:rPr>
          <w:b/>
        </w:rPr>
        <w:t xml:space="preserve">El Presupuesto General definitivamente aprobados será insertado en el Boletín Oficial de la Provincia resumido por capítulos, además de la Plantilla Orgánica y resumen del Plan Presupuestario, y las Bases de Ejecución íntegramente. </w:t>
      </w:r>
      <w:r>
        <w:rPr>
          <w:rFonts w:ascii="Times New Roman" w:eastAsia="Times New Roman" w:hAnsi="Times New Roman" w:cs="Times New Roman"/>
          <w:sz w:val="24"/>
        </w:rPr>
        <w:t xml:space="preserve"> </w:t>
      </w:r>
    </w:p>
    <w:p w:rsidR="00DA121A" w:rsidRDefault="00904DD6">
      <w:pPr>
        <w:spacing w:after="91"/>
        <w:ind w:left="269" w:right="144" w:firstLine="698"/>
      </w:pPr>
      <w:r>
        <w:rPr>
          <w:b/>
        </w:rPr>
        <w:t>TERCERO. - Del Presupu</w:t>
      </w:r>
      <w:r>
        <w:rPr>
          <w:b/>
        </w:rPr>
        <w:t xml:space="preserve">esto General definitivamente aprobado se remitirá copia a la Administración del Estado y a la Comunidad Autónoma. La remisión será simultánea al envío al Boletín Oficial de la Provincia. </w:t>
      </w:r>
      <w:r>
        <w:rPr>
          <w:rFonts w:ascii="Times New Roman" w:eastAsia="Times New Roman" w:hAnsi="Times New Roman" w:cs="Times New Roman"/>
          <w:sz w:val="24"/>
        </w:rPr>
        <w:t xml:space="preserve"> </w:t>
      </w:r>
    </w:p>
    <w:p w:rsidR="00DA121A" w:rsidRDefault="00904DD6">
      <w:pPr>
        <w:spacing w:after="63"/>
        <w:ind w:left="269" w:right="144" w:firstLine="698"/>
      </w:pPr>
      <w:r>
        <w:rPr>
          <w:b/>
        </w:rPr>
        <w:t>CUARTO. - Anular las Modificaciones por transferencias de crédito d</w:t>
      </w:r>
      <w:r>
        <w:rPr>
          <w:b/>
        </w:rPr>
        <w:t>el ejercicio 2022 que se detallan a continuación, al estar los importes contemplados en los créditos iniciales al amparo del artículo 21 del Real Decreto 500/1990, de 20 de abril por el que se desarrolla el capítulo primero del título sexto de la Ley 39/19</w:t>
      </w:r>
      <w:r>
        <w:rPr>
          <w:b/>
        </w:rPr>
        <w:t xml:space="preserve">88, de 28 de diciembre, reguladora de las Haciendas Locales, en materia de presupuestos. </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0"/>
        </w:rPr>
        <w:t xml:space="preserve"> </w:t>
      </w:r>
      <w:r>
        <w:rPr>
          <w:rFonts w:ascii="Times New Roman" w:eastAsia="Times New Roman" w:hAnsi="Times New Roman" w:cs="Times New Roman"/>
          <w:sz w:val="24"/>
        </w:rPr>
        <w:t xml:space="preserve"> </w:t>
      </w:r>
    </w:p>
    <w:tbl>
      <w:tblPr>
        <w:tblStyle w:val="TableGrid"/>
        <w:tblW w:w="3675" w:type="dxa"/>
        <w:tblInd w:w="2741" w:type="dxa"/>
        <w:tblCellMar>
          <w:top w:w="48" w:type="dxa"/>
          <w:left w:w="115" w:type="dxa"/>
          <w:bottom w:w="0" w:type="dxa"/>
          <w:right w:w="0" w:type="dxa"/>
        </w:tblCellMar>
        <w:tblLook w:val="04A0" w:firstRow="1" w:lastRow="0" w:firstColumn="1" w:lastColumn="0" w:noHBand="0" w:noVBand="1"/>
      </w:tblPr>
      <w:tblGrid>
        <w:gridCol w:w="1299"/>
        <w:gridCol w:w="1164"/>
        <w:gridCol w:w="1212"/>
      </w:tblGrid>
      <w:tr w:rsidR="00DA121A">
        <w:trPr>
          <w:trHeight w:val="353"/>
        </w:trPr>
        <w:tc>
          <w:tcPr>
            <w:tcW w:w="129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20"/>
              </w:rPr>
              <w:t xml:space="preserve">Expediente </w:t>
            </w: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24" w:firstLine="0"/>
              <w:jc w:val="center"/>
            </w:pPr>
            <w:r>
              <w:rPr>
                <w:b/>
                <w:sz w:val="20"/>
              </w:rPr>
              <w:t xml:space="preserve">Decreto </w:t>
            </w:r>
            <w:r>
              <w:rPr>
                <w:rFonts w:ascii="Times New Roman" w:eastAsia="Times New Roman" w:hAnsi="Times New Roman" w:cs="Times New Roman"/>
                <w:sz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18" w:firstLine="0"/>
              <w:jc w:val="center"/>
            </w:pPr>
            <w:r>
              <w:rPr>
                <w:b/>
                <w:sz w:val="20"/>
              </w:rPr>
              <w:t xml:space="preserve">Fecha </w:t>
            </w:r>
            <w:r>
              <w:rPr>
                <w:rFonts w:ascii="Times New Roman" w:eastAsia="Times New Roman" w:hAnsi="Times New Roman" w:cs="Times New Roman"/>
                <w:sz w:val="24"/>
              </w:rPr>
              <w:t xml:space="preserve"> </w:t>
            </w:r>
          </w:p>
        </w:tc>
      </w:tr>
      <w:tr w:rsidR="00DA121A">
        <w:trPr>
          <w:trHeight w:val="358"/>
        </w:trPr>
        <w:tc>
          <w:tcPr>
            <w:tcW w:w="129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120" w:firstLine="0"/>
              <w:jc w:val="center"/>
            </w:pPr>
            <w:r>
              <w:rPr>
                <w:b/>
                <w:sz w:val="20"/>
              </w:rPr>
              <w:t xml:space="preserve">857/2023 </w:t>
            </w: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left"/>
            </w:pPr>
            <w:r>
              <w:rPr>
                <w:b/>
                <w:sz w:val="20"/>
              </w:rPr>
              <w:t xml:space="preserve">138/2023 </w:t>
            </w:r>
            <w:r>
              <w:rPr>
                <w:rFonts w:ascii="Times New Roman" w:eastAsia="Times New Roman" w:hAnsi="Times New Roman" w:cs="Times New Roman"/>
                <w:sz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9" w:firstLine="0"/>
              <w:jc w:val="left"/>
            </w:pPr>
            <w:r>
              <w:rPr>
                <w:b/>
                <w:sz w:val="20"/>
              </w:rPr>
              <w:t xml:space="preserve">27/01/2023 </w:t>
            </w:r>
          </w:p>
        </w:tc>
      </w:tr>
      <w:tr w:rsidR="00DA121A">
        <w:trPr>
          <w:trHeight w:val="355"/>
        </w:trPr>
        <w:tc>
          <w:tcPr>
            <w:tcW w:w="1299"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61" w:firstLine="0"/>
              <w:jc w:val="left"/>
            </w:pPr>
            <w:r>
              <w:rPr>
                <w:b/>
                <w:sz w:val="20"/>
              </w:rPr>
              <w:t xml:space="preserve">1336/2023 </w:t>
            </w:r>
            <w:r>
              <w:rPr>
                <w:rFonts w:ascii="Times New Roman" w:eastAsia="Times New Roman" w:hAnsi="Times New Roman" w:cs="Times New Roman"/>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8" w:firstLine="0"/>
              <w:jc w:val="left"/>
            </w:pPr>
            <w:r>
              <w:rPr>
                <w:b/>
                <w:sz w:val="20"/>
              </w:rPr>
              <w:t xml:space="preserve">320/2023 </w:t>
            </w:r>
            <w:r>
              <w:rPr>
                <w:rFonts w:ascii="Times New Roman" w:eastAsia="Times New Roman" w:hAnsi="Times New Roman" w:cs="Times New Roman"/>
                <w:sz w:val="24"/>
              </w:rPr>
              <w:t xml:space="preserve"> </w:t>
            </w:r>
          </w:p>
        </w:tc>
        <w:tc>
          <w:tcPr>
            <w:tcW w:w="121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9" w:firstLine="0"/>
              <w:jc w:val="left"/>
            </w:pPr>
            <w:r>
              <w:rPr>
                <w:b/>
                <w:sz w:val="20"/>
              </w:rPr>
              <w:t xml:space="preserve">10/02/2023 </w:t>
            </w:r>
          </w:p>
        </w:tc>
      </w:tr>
    </w:tbl>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DA121A" w:rsidRDefault="00904DD6">
      <w:pPr>
        <w:spacing w:after="159"/>
        <w:ind w:left="279" w:right="144"/>
      </w:pPr>
      <w:r>
        <w:rPr>
          <w:b/>
          <w:sz w:val="20"/>
        </w:rPr>
        <w:t xml:space="preserve">  </w:t>
      </w:r>
      <w:r>
        <w:rPr>
          <w:b/>
        </w:rPr>
        <w:t xml:space="preserve">QUINTO. - </w:t>
      </w:r>
      <w:r>
        <w:rPr>
          <w:b/>
        </w:rPr>
        <w:t>Dar traslado de dicho acuerdo al Ministerio de Hacienda y administraciones Públicas a través de la plataforma telemática correspondiente.</w:t>
      </w:r>
      <w:r>
        <w:t xml:space="preserve"> </w:t>
      </w:r>
    </w:p>
    <w:p w:rsidR="00DA121A" w:rsidRDefault="00904DD6">
      <w:pPr>
        <w:spacing w:after="0" w:line="427" w:lineRule="auto"/>
        <w:ind w:left="284" w:right="9660" w:firstLine="0"/>
        <w:jc w:val="left"/>
      </w:pPr>
      <w:r>
        <w:rPr>
          <w:i/>
          <w:color w:val="222222"/>
        </w:rPr>
        <w:t xml:space="preserve">  </w:t>
      </w:r>
    </w:p>
    <w:p w:rsidR="00DA121A" w:rsidRDefault="00904DD6">
      <w:pPr>
        <w:spacing w:after="178" w:line="259" w:lineRule="auto"/>
        <w:ind w:left="284" w:firstLine="0"/>
        <w:jc w:val="left"/>
      </w:pPr>
      <w:r>
        <w:rPr>
          <w:i/>
          <w:color w:val="222222"/>
        </w:rPr>
        <w:t xml:space="preserve"> </w:t>
      </w:r>
    </w:p>
    <w:p w:rsidR="00DA121A" w:rsidRDefault="00904DD6">
      <w:pPr>
        <w:spacing w:after="0" w:line="425" w:lineRule="auto"/>
        <w:ind w:left="284" w:right="9660" w:firstLine="0"/>
        <w:jc w:val="left"/>
      </w:pPr>
      <w:r>
        <w:rPr>
          <w:i/>
          <w:color w:val="222222"/>
        </w:rPr>
        <w:t xml:space="preserve">       </w:t>
      </w:r>
    </w:p>
    <w:p w:rsidR="00DA121A" w:rsidRDefault="00904DD6">
      <w:pPr>
        <w:spacing w:after="148" w:line="259" w:lineRule="auto"/>
        <w:ind w:left="284" w:firstLine="0"/>
        <w:jc w:val="left"/>
      </w:pPr>
      <w:r>
        <w:rPr>
          <w:i/>
          <w:color w:val="222222"/>
        </w:rPr>
        <w:t xml:space="preserve"> </w:t>
      </w:r>
    </w:p>
    <w:p w:rsidR="00DA121A" w:rsidRDefault="00904DD6">
      <w:pPr>
        <w:spacing w:after="0" w:line="259" w:lineRule="auto"/>
        <w:ind w:left="284" w:firstLine="0"/>
        <w:jc w:val="left"/>
      </w:pPr>
      <w:r>
        <w:rPr>
          <w:b/>
          <w:sz w:val="24"/>
        </w:rPr>
        <w:t xml:space="preserve"> </w:t>
      </w:r>
    </w:p>
    <w:p w:rsidR="00DA121A" w:rsidRDefault="00904DD6">
      <w:pPr>
        <w:spacing w:after="98" w:line="259" w:lineRule="auto"/>
        <w:ind w:left="284" w:firstLine="0"/>
        <w:jc w:val="left"/>
      </w:pPr>
      <w:r>
        <w:rPr>
          <w:b/>
          <w:sz w:val="24"/>
        </w:rPr>
        <w:t xml:space="preserve"> </w:t>
      </w:r>
    </w:p>
    <w:p w:rsidR="00DA121A" w:rsidRDefault="00904DD6">
      <w:pPr>
        <w:spacing w:after="90" w:line="250" w:lineRule="auto"/>
        <w:ind w:left="279" w:right="149"/>
      </w:pPr>
      <w:r>
        <w:rPr>
          <w:b/>
          <w:sz w:val="24"/>
        </w:rPr>
        <w:t xml:space="preserve">4.- </w:t>
      </w:r>
      <w:r>
        <w:rPr>
          <w:b/>
          <w:sz w:val="24"/>
        </w:rPr>
        <w:t>Expediente 3304/2023. Propuesta del Concejal delegado de Hacienda de 22 de marzo de 2023 de aprobación inicial de modificación presupuestaria 3304/2023 por importe de 1.859.520,87 euros.</w:t>
      </w:r>
      <w:r>
        <w:t xml:space="preserve"> </w:t>
      </w:r>
    </w:p>
    <w:p w:rsidR="00DA121A" w:rsidRDefault="00904DD6">
      <w:pPr>
        <w:spacing w:after="100" w:line="259" w:lineRule="auto"/>
        <w:ind w:left="284" w:firstLine="0"/>
        <w:jc w:val="left"/>
      </w:pPr>
      <w:r>
        <w:rPr>
          <w:b/>
        </w:rPr>
        <w:t xml:space="preserve"> </w:t>
      </w:r>
    </w:p>
    <w:p w:rsidR="00DA121A" w:rsidRDefault="00904DD6">
      <w:pPr>
        <w:spacing w:after="4"/>
        <w:ind w:left="279" w:right="144"/>
      </w:pPr>
      <w:r>
        <w:rPr>
          <w:b/>
        </w:rPr>
        <w:t>Consta en el expediente propuesta de la Alcaldesa-Presidenta, de f</w:t>
      </w:r>
      <w:r>
        <w:rPr>
          <w:b/>
        </w:rPr>
        <w:t xml:space="preserve">echa 22 de marzo de 2023, cuyo tenor literal es el siguiente: </w:t>
      </w:r>
    </w:p>
    <w:p w:rsidR="00DA121A" w:rsidRDefault="00904DD6">
      <w:pPr>
        <w:spacing w:after="140" w:line="259" w:lineRule="auto"/>
        <w:ind w:left="284" w:firstLine="0"/>
        <w:jc w:val="left"/>
      </w:pPr>
      <w:r>
        <w:rPr>
          <w:b/>
        </w:rPr>
        <w:t xml:space="preserve"> </w:t>
      </w:r>
    </w:p>
    <w:p w:rsidR="00DA121A" w:rsidRDefault="00904DD6">
      <w:pPr>
        <w:spacing w:after="98" w:line="259" w:lineRule="auto"/>
        <w:ind w:left="568" w:right="428"/>
        <w:jc w:val="center"/>
      </w:pPr>
      <w:r>
        <w:t xml:space="preserve">“PROPUESTA </w:t>
      </w:r>
    </w:p>
    <w:p w:rsidR="00DA121A" w:rsidRDefault="00904DD6">
      <w:pPr>
        <w:spacing w:after="43"/>
        <w:ind w:left="278" w:right="146" w:firstLine="708"/>
      </w:pPr>
      <w:r>
        <w:t>El Ayuntamiento de Candelaria necesita créditos extraordinarios a los consignados en el Presupuesto vigente para llevar a cabo actuaciones de mejora de instalaciones e infraestruc</w:t>
      </w:r>
      <w:r>
        <w:t>turas municipales con ocasión de la ejecución de los proyectos siguientes, según memorias-propuestas presentadas:</w:t>
      </w:r>
      <w:r>
        <w:rPr>
          <w:rFonts w:ascii="Times New Roman" w:eastAsia="Times New Roman" w:hAnsi="Times New Roman" w:cs="Times New Roman"/>
          <w:sz w:val="24"/>
        </w:rPr>
        <w:t xml:space="preserve"> </w:t>
      </w:r>
    </w:p>
    <w:p w:rsidR="00DA121A" w:rsidRDefault="00904DD6">
      <w:pPr>
        <w:spacing w:after="145" w:line="259" w:lineRule="auto"/>
        <w:ind w:left="341" w:firstLine="0"/>
        <w:jc w:val="left"/>
      </w:pPr>
      <w:r>
        <w:t xml:space="preserve"> </w:t>
      </w:r>
    </w:p>
    <w:p w:rsidR="00DA121A" w:rsidRDefault="00904DD6">
      <w:pPr>
        <w:numPr>
          <w:ilvl w:val="0"/>
          <w:numId w:val="24"/>
        </w:numPr>
        <w:spacing w:after="107"/>
        <w:ind w:right="146" w:hanging="360"/>
      </w:pPr>
      <w:r>
        <w:rPr>
          <w:b/>
        </w:rPr>
        <w:t>Redacción y dirección Obra Urbanización Rubén Marichal en Barranco Hondo</w:t>
      </w:r>
      <w:r>
        <w:t>: “debido al estado de deterioro de las obras de urbanización de Ru</w:t>
      </w:r>
      <w:r>
        <w:t>bén Marichal en Barranco Hondo, cuyo alcance deberá valorarse y estudiarse, dentro del correspondiente proyecto de urbanización y que deberá incluir, entre otros los siguientes servicios: Saneamiento, Abastecimiento, Alumbrado público y eficiencia energía,</w:t>
      </w:r>
      <w:r>
        <w:t xml:space="preserve"> Pluviales, Cumplimiento de la normativa de accesibilidad,  Riego y jardinería, Descolgamientos de los muros perimetrales de la urbanización, Pavimentos y Telecomunicaciones. El presupuesto estimado para la redacción del Proyecto de Urbanización y la Direc</w:t>
      </w:r>
      <w:r>
        <w:t xml:space="preserve">ción de Obra, de la Urbanización de Rubén Marichal en Barranco Hondo, conforme a la propuesta de honorarios recibida por GESTUR CANARIAS S.A asciende a </w:t>
      </w:r>
      <w:r>
        <w:rPr>
          <w:b/>
        </w:rPr>
        <w:t>163.539,79 €.</w:t>
      </w:r>
      <w:r>
        <w:rPr>
          <w:rFonts w:ascii="Times New Roman" w:eastAsia="Times New Roman" w:hAnsi="Times New Roman" w:cs="Times New Roman"/>
          <w:sz w:val="24"/>
        </w:rPr>
        <w:t xml:space="preserve"> </w:t>
      </w:r>
    </w:p>
    <w:p w:rsidR="00DA121A" w:rsidRDefault="00904DD6">
      <w:pPr>
        <w:spacing w:after="144" w:line="259" w:lineRule="auto"/>
        <w:ind w:left="1004" w:firstLine="0"/>
        <w:jc w:val="left"/>
      </w:pPr>
      <w:r>
        <w:t xml:space="preserve"> </w:t>
      </w:r>
    </w:p>
    <w:p w:rsidR="00DA121A" w:rsidRDefault="00904DD6">
      <w:pPr>
        <w:numPr>
          <w:ilvl w:val="0"/>
          <w:numId w:val="24"/>
        </w:numPr>
        <w:spacing w:after="104"/>
        <w:ind w:right="146" w:hanging="360"/>
      </w:pPr>
      <w:r>
        <w:rPr>
          <w:b/>
        </w:rPr>
        <w:t>Expropiación Parcela dotacional en Barranco Hondo: a</w:t>
      </w:r>
      <w:r>
        <w:t xml:space="preserve"> </w:t>
      </w:r>
      <w:r>
        <w:t>la vista del expediente de expropiación forzosa 3304/2023 de una parcela según los informes técnicos clasificada, categorizada y calificada como suelo urbano consolidado, dotacional público, de acuerdo con la delimitación establecida por el Plan General de</w:t>
      </w:r>
      <w:r>
        <w:t xml:space="preserve"> Ordenación de la Villa de Candelaria, aprobado definitivamente por la Comisión de Ordenación del Territorio y Medio Ambiente de Canarias el 20 de julio de 2006, y cuya propietaria es Doña Juana Ascensión Peña González. La aprobación del Plan General de Or</w:t>
      </w:r>
      <w:r>
        <w:t>denación produce la declaración tácita de utilidad pública a los efectos expropiatorios de la parcela con referencia catastral 7722130CS6472S0001PU y la necesidad de ocupación de los terrenos. Conforme a los informes el justiprecio asciende a 78.697,00 € y</w:t>
      </w:r>
      <w:r>
        <w:t xml:space="preserve"> el premio de afección a 3.934,85€, lo que hace un total de </w:t>
      </w:r>
      <w:r>
        <w:rPr>
          <w:b/>
        </w:rPr>
        <w:t>82.631,85 €.</w:t>
      </w:r>
      <w:r>
        <w:rPr>
          <w:rFonts w:ascii="Times New Roman" w:eastAsia="Times New Roman" w:hAnsi="Times New Roman" w:cs="Times New Roman"/>
          <w:sz w:val="24"/>
        </w:rPr>
        <w:t xml:space="preserve"> </w:t>
      </w:r>
    </w:p>
    <w:p w:rsidR="00DA121A" w:rsidRDefault="00904DD6">
      <w:pPr>
        <w:spacing w:after="184" w:line="259" w:lineRule="auto"/>
        <w:ind w:left="284" w:firstLine="0"/>
        <w:jc w:val="left"/>
      </w:pPr>
      <w:r>
        <w:t xml:space="preserve"> </w:t>
      </w:r>
    </w:p>
    <w:p w:rsidR="00DA121A" w:rsidRDefault="00904DD6">
      <w:pPr>
        <w:numPr>
          <w:ilvl w:val="0"/>
          <w:numId w:val="24"/>
        </w:numPr>
        <w:spacing w:after="123"/>
        <w:ind w:right="146" w:hanging="360"/>
      </w:pPr>
      <w:r>
        <w:rPr>
          <w:b/>
        </w:rPr>
        <w:t>Obra Repavimentación del “Camino Rural Los Asomaderos” tramos Rural y Urbanos</w:t>
      </w:r>
      <w:r>
        <w:t>: La repavimentación del Camino Rural de Los Asomaderos, tiene como objetivo definir las actuaciones ne</w:t>
      </w:r>
      <w:r>
        <w:t>cesarias para la pavimentación del camino rural conocido como “Camino los asomaderos”, situado en el T.M de Candelaria, en el núcleo de Barranco Hondo. Los criterios generales adoptados, de diseño y funcionalidad, se han adaptado al trazado actual, permiti</w:t>
      </w:r>
      <w:r>
        <w:t>endo un tránsito cómodo y seguro para los usuarios de la vía en cualquier circunstancia, de modo que las condiciones atmosféricas adversas no influyan en manera alguna sobre la accesibilidad a las propiedades a las que sirve. Se benefician de la pavimentac</w:t>
      </w:r>
      <w:r>
        <w:t xml:space="preserve">ión y mejora del camino unos 100.000 m2 de terreno cultivable que se encuentran en abandono actualmente. </w:t>
      </w:r>
      <w:r>
        <w:rPr>
          <w:rFonts w:ascii="Times New Roman" w:eastAsia="Times New Roman" w:hAnsi="Times New Roman" w:cs="Times New Roman"/>
          <w:sz w:val="24"/>
        </w:rPr>
        <w:t xml:space="preserve"> </w:t>
      </w:r>
    </w:p>
    <w:p w:rsidR="00DA121A" w:rsidRDefault="00904DD6">
      <w:pPr>
        <w:spacing w:after="136"/>
        <w:ind w:left="1014" w:right="146"/>
      </w:pPr>
      <w:r>
        <w:t>El Camino los Asomaderos sirve a una zona agraria de 30.014 m2 de las cuales sólo se encuentran explotación actualmente 9.706 m2 y permitirá poner en</w:t>
      </w:r>
      <w:r>
        <w:t xml:space="preserve"> explotación 2.3 Has de cultivo. Para acceder al camino rural de Los Asomaderos existen dos tramos a inicio y final, con categoría de urbano que también se engloban en esta actuación, el importe del presupuesto de ejecución por contrata actualizado, ascien</w:t>
      </w:r>
      <w:r>
        <w:t xml:space="preserve">de a la cantidad de </w:t>
      </w:r>
      <w:r>
        <w:rPr>
          <w:b/>
        </w:rPr>
        <w:t>522.018,80 €</w:t>
      </w:r>
      <w:r>
        <w:t xml:space="preserve"> incluido el IGIC.</w:t>
      </w:r>
      <w:r>
        <w:rPr>
          <w:rFonts w:ascii="Times New Roman" w:eastAsia="Times New Roman" w:hAnsi="Times New Roman" w:cs="Times New Roman"/>
          <w:sz w:val="24"/>
        </w:rPr>
        <w:t xml:space="preserve"> </w:t>
      </w:r>
    </w:p>
    <w:p w:rsidR="00DA121A" w:rsidRDefault="00904DD6">
      <w:pPr>
        <w:numPr>
          <w:ilvl w:val="0"/>
          <w:numId w:val="24"/>
        </w:numPr>
        <w:spacing w:after="137"/>
        <w:ind w:right="146" w:hanging="360"/>
      </w:pPr>
      <w:r>
        <w:rPr>
          <w:b/>
        </w:rPr>
        <w:t>Proyecto Mobiliario Urbano</w:t>
      </w:r>
      <w:r>
        <w:t>: debido a que determinados elementos e instalaciones de las infraestructuras municipales se van deteriorando con el paso del tiempo y en especial aquellas que se encuentran a la</w:t>
      </w:r>
      <w:r>
        <w:t xml:space="preserve"> intemperie, el ayuntamiento ha tenido que ir reforzando, acondicionando, adaptando y renovando sus instalaciones públicas tanto para dar servicios de calidad a la ciudadanía como para convertir el municipio en un lugar más seguro, habitable, confortable y</w:t>
      </w:r>
      <w:r>
        <w:t xml:space="preserve"> limpio. El presente proyecto tiene el objeto de proceder al suministro de mobiliario urbano (bancos y papeleras), para el municipio de Candelaria, con el presente suministro, se pretende mejorar la imagen del municipio a la par que conseguir dotar a los e</w:t>
      </w:r>
      <w:r>
        <w:t xml:space="preserve">spacios públicos de mobiliario urbano, para uso y disfrute de los usuarios, con 200 bancos y 200 papeleras. El presupuesto base de licitación asciende a un importe de 106.280,00 € más 7.439,60 € en concepto de IGIC para un total de </w:t>
      </w:r>
      <w:r>
        <w:rPr>
          <w:b/>
        </w:rPr>
        <w:t>113.719,60 €.</w:t>
      </w:r>
      <w:r>
        <w:rPr>
          <w:rFonts w:ascii="Times New Roman" w:eastAsia="Times New Roman" w:hAnsi="Times New Roman" w:cs="Times New Roman"/>
          <w:sz w:val="24"/>
        </w:rPr>
        <w:t xml:space="preserve"> </w:t>
      </w:r>
    </w:p>
    <w:p w:rsidR="00DA121A" w:rsidRDefault="00904DD6">
      <w:pPr>
        <w:numPr>
          <w:ilvl w:val="0"/>
          <w:numId w:val="24"/>
        </w:numPr>
        <w:spacing w:after="137"/>
        <w:ind w:right="146" w:hanging="360"/>
      </w:pPr>
      <w:r>
        <w:rPr>
          <w:b/>
        </w:rPr>
        <w:t xml:space="preserve">Proyecto </w:t>
      </w:r>
      <w:r>
        <w:rPr>
          <w:b/>
        </w:rPr>
        <w:t xml:space="preserve">Suministro e Instalación de Equipos de Aire Acondicionado en Salón de Plenos: </w:t>
      </w:r>
      <w:r>
        <w:t>el presente proyecto tiene el objeto de proceder al suministro y la instalación de maquinaria de aire acondicionado en el salón de plenos del ayuntamiento de Candelaria. El Salón</w:t>
      </w:r>
      <w:r>
        <w:t xml:space="preserve"> de Plenos es una instalación cuyo empleo implica la acumulación de personas en un espacio relativamente reducido y por lo tanto se hace necesario una modernización total de los equipamientos de aire acondicionado que se encuentran en la actualidad instala</w:t>
      </w:r>
      <w:r>
        <w:t xml:space="preserve">dos y que presentan unas deficiencias muy graves que impiden su utilización eficiente. El presupuesto asciende a un total de 36.000,00 € más IGIC tipo 7% (2.520,00 €), para un total de </w:t>
      </w:r>
      <w:r>
        <w:rPr>
          <w:b/>
        </w:rPr>
        <w:t>38.520,00 €.</w:t>
      </w:r>
      <w:r>
        <w:rPr>
          <w:rFonts w:ascii="Times New Roman" w:eastAsia="Times New Roman" w:hAnsi="Times New Roman" w:cs="Times New Roman"/>
          <w:sz w:val="24"/>
        </w:rPr>
        <w:t xml:space="preserve"> </w:t>
      </w:r>
    </w:p>
    <w:p w:rsidR="00DA121A" w:rsidRDefault="00904DD6">
      <w:pPr>
        <w:numPr>
          <w:ilvl w:val="0"/>
          <w:numId w:val="24"/>
        </w:numPr>
        <w:ind w:right="146" w:hanging="360"/>
      </w:pPr>
      <w:r>
        <w:rPr>
          <w:b/>
        </w:rPr>
        <w:t>Proyecto de Microfonía digital Salón de Plenos: e</w:t>
      </w:r>
      <w:r>
        <w:t xml:space="preserve">l Salón </w:t>
      </w:r>
      <w:r>
        <w:t>de Plenos necesita un nuevo sistema de microfonía digital para el Salón de Plenos del Ayuntamiento motivado por la necesidad de integración al sistema de video y streaming que ya está implantada en el salón de plenos para así poder aprovechar el etiquetado</w:t>
      </w:r>
      <w:r>
        <w:t xml:space="preserve"> de las intervenciones, por parte de los miembros del pleno en los videos resultantes de la grabación. El módulo a contratar sería el Séneca que permite la integración de la grabadora con su solución de microfonía y votación digital, lo cual hace innecesar</w:t>
      </w:r>
      <w:r>
        <w:t xml:space="preserve">io mantener distintas bases de datos con la misma información para distintos sistemas. El Presupuesto sería de 14.995,00 € mas 7% de IGIC (1049,55 €) siendo el total por importe de </w:t>
      </w:r>
      <w:r>
        <w:rPr>
          <w:b/>
        </w:rPr>
        <w:t>16.044,65€</w:t>
      </w:r>
      <w:r>
        <w:t>.</w:t>
      </w:r>
      <w:r>
        <w:rPr>
          <w:rFonts w:ascii="Times New Roman" w:eastAsia="Times New Roman" w:hAnsi="Times New Roman" w:cs="Times New Roman"/>
          <w:sz w:val="24"/>
        </w:rPr>
        <w:t xml:space="preserve"> </w:t>
      </w:r>
    </w:p>
    <w:p w:rsidR="00DA121A" w:rsidRDefault="00904DD6">
      <w:pPr>
        <w:numPr>
          <w:ilvl w:val="0"/>
          <w:numId w:val="24"/>
        </w:numPr>
        <w:spacing w:after="138"/>
        <w:ind w:right="146" w:hanging="360"/>
      </w:pPr>
      <w:r>
        <w:rPr>
          <w:b/>
        </w:rPr>
        <w:t xml:space="preserve">Proyecto Accesibilidad Aulas Urbanización de Los Menceyes: </w:t>
      </w:r>
      <w:r>
        <w:t>Las</w:t>
      </w:r>
      <w:r>
        <w:t xml:space="preserve"> aulas de formación de la Urbanización Los Menceyes no reúnen las condiciones técnicas de accesibilidad según informe técnico de la Dirección General de Dependencia y Discapacidad. Para la obtención del Símbolo de Accesibilidad (BOC nº16, de 24.01.2014) es</w:t>
      </w:r>
      <w:r>
        <w:t xml:space="preserve"> necesario subsanar una serie de deficiencias que se detallan en el informe. La supresión de las barreras físicas es un elemento esencial para alcanzar una plena integración de las personas con discapacidad proporcionando una mayor calidad en el servicio d</w:t>
      </w:r>
      <w:r>
        <w:t xml:space="preserve">e personas con mayores dificultades de movilidad. Con un Presupuesto de </w:t>
      </w:r>
      <w:r>
        <w:rPr>
          <w:b/>
        </w:rPr>
        <w:t>73.949,71€</w:t>
      </w:r>
      <w:r>
        <w:t>.</w:t>
      </w:r>
      <w:r>
        <w:rPr>
          <w:rFonts w:ascii="Times New Roman" w:eastAsia="Times New Roman" w:hAnsi="Times New Roman" w:cs="Times New Roman"/>
          <w:sz w:val="24"/>
        </w:rPr>
        <w:t xml:space="preserve"> </w:t>
      </w:r>
    </w:p>
    <w:p w:rsidR="00DA121A" w:rsidRDefault="00904DD6">
      <w:pPr>
        <w:numPr>
          <w:ilvl w:val="0"/>
          <w:numId w:val="24"/>
        </w:numPr>
        <w:spacing w:after="137"/>
        <w:ind w:right="146" w:hanging="360"/>
      </w:pPr>
      <w:r>
        <w:rPr>
          <w:b/>
        </w:rPr>
        <w:t xml:space="preserve">Proyecto Servidor CPD del DALIX: </w:t>
      </w:r>
      <w:r>
        <w:t xml:space="preserve">Se ha realizado el despliegue de las máquinas virtuales de todos los servidores del Ayuntamiento en una nueva sede ubicada en el CPD del DALIX, a la cual estamos conectados por un armario de autoprestación del Cabildo Insular de Tenerife. En la actualidad </w:t>
      </w:r>
      <w:r>
        <w:t>en dicha sede disponemos de un servidor físico, que hace posible que las máquinas virtuales (servidores virtuales del ayuntamiento) funcionen correctamente. Sería necesario disponer de un segundo servidor en el CPD del DALIX en caso que incidencia con el S</w:t>
      </w:r>
      <w:r>
        <w:t xml:space="preserve">ervidor actual y tener así una redundancia que permita seguir manteniendo la conexión con los servidores virtuales del ayuntamiento, con un presupuesto de </w:t>
      </w:r>
      <w:r>
        <w:rPr>
          <w:b/>
        </w:rPr>
        <w:t>10.023,18€</w:t>
      </w:r>
      <w:r>
        <w:t>.</w:t>
      </w:r>
      <w:r>
        <w:rPr>
          <w:rFonts w:ascii="Times New Roman" w:eastAsia="Times New Roman" w:hAnsi="Times New Roman" w:cs="Times New Roman"/>
          <w:sz w:val="24"/>
        </w:rPr>
        <w:t xml:space="preserve"> </w:t>
      </w:r>
    </w:p>
    <w:p w:rsidR="00DA121A" w:rsidRDefault="00904DD6">
      <w:pPr>
        <w:numPr>
          <w:ilvl w:val="0"/>
          <w:numId w:val="24"/>
        </w:numPr>
        <w:spacing w:after="138"/>
        <w:ind w:right="146" w:hanging="360"/>
      </w:pPr>
      <w:r>
        <w:rPr>
          <w:b/>
        </w:rPr>
        <w:t>Impermeabilización y acondicionamiento exterior de la Casa de la Música Abilio Alonso Ot</w:t>
      </w:r>
      <w:r>
        <w:rPr>
          <w:b/>
        </w:rPr>
        <w:t xml:space="preserve">azo: </w:t>
      </w:r>
      <w:r>
        <w:t>con el fin de continuar con el mantenimiento de las instalaciones municipales, necesario para que las mismas se encuentren en un estado óptimo de conservación para su uso y disfrute por parte de la ciudadanía, y continuar con el desarrollo de la progr</w:t>
      </w:r>
      <w:r>
        <w:t xml:space="preserve">amación cultural anual, por un importe de </w:t>
      </w:r>
      <w:r>
        <w:rPr>
          <w:b/>
        </w:rPr>
        <w:t>16.047,86€</w:t>
      </w:r>
      <w:r>
        <w:t>.</w:t>
      </w:r>
      <w:r>
        <w:rPr>
          <w:rFonts w:ascii="Times New Roman" w:eastAsia="Times New Roman" w:hAnsi="Times New Roman" w:cs="Times New Roman"/>
          <w:sz w:val="24"/>
        </w:rPr>
        <w:t xml:space="preserve"> </w:t>
      </w:r>
    </w:p>
    <w:p w:rsidR="00DA121A" w:rsidRDefault="00904DD6">
      <w:pPr>
        <w:numPr>
          <w:ilvl w:val="0"/>
          <w:numId w:val="24"/>
        </w:numPr>
        <w:spacing w:after="138"/>
        <w:ind w:right="146" w:hanging="360"/>
      </w:pPr>
      <w:r>
        <w:rPr>
          <w:b/>
        </w:rPr>
        <w:t>Actuaciones de protección frente a desprendimientos en el Centro Cultural de la Villa</w:t>
      </w:r>
      <w:r>
        <w:t>: con el fin de continuar con el mantenimiento de las instalaciones municipales, necesario para que las mismas se en</w:t>
      </w:r>
      <w:r>
        <w:t xml:space="preserve">cuentren en un estado óptimo de conservación para su uso y disfrute por parte de la ciudadanía, y continuar con el desarrollo de la programación cultural anual, por un importe de </w:t>
      </w:r>
      <w:r>
        <w:rPr>
          <w:b/>
        </w:rPr>
        <w:t>39.112,37€.</w:t>
      </w:r>
      <w:r>
        <w:rPr>
          <w:rFonts w:ascii="Times New Roman" w:eastAsia="Times New Roman" w:hAnsi="Times New Roman" w:cs="Times New Roman"/>
          <w:sz w:val="24"/>
        </w:rPr>
        <w:t xml:space="preserve"> </w:t>
      </w:r>
    </w:p>
    <w:p w:rsidR="00DA121A" w:rsidRDefault="00904DD6">
      <w:pPr>
        <w:numPr>
          <w:ilvl w:val="0"/>
          <w:numId w:val="24"/>
        </w:numPr>
        <w:spacing w:after="104"/>
        <w:ind w:right="146" w:hanging="360"/>
      </w:pPr>
      <w:r>
        <w:rPr>
          <w:b/>
        </w:rPr>
        <w:t>Proyecto para obra plaza Playa de la Viuda Equipamientos deporti</w:t>
      </w:r>
      <w:r>
        <w:rPr>
          <w:b/>
        </w:rPr>
        <w:t xml:space="preserve">vos y asistenciales: </w:t>
      </w:r>
      <w:r>
        <w:t>La Playa de la Viuda, barrio costero, conformado por viviendas de autoconstrucción. El Barrio no dispone de servicios, ni equipamientos ni de espacios libres para el esparcimiento de los vecinos, fundamentalmente debido a la colmatació</w:t>
      </w:r>
      <w:r>
        <w:t xml:space="preserve">n del mismo. El presupuesto de ejecución por contrata, de acuerdo al proyecto modificado obrante asciende a la cantidad de </w:t>
      </w:r>
      <w:r>
        <w:rPr>
          <w:b/>
        </w:rPr>
        <w:t>783.913,06 €</w:t>
      </w:r>
      <w:r>
        <w:rPr>
          <w:rFonts w:ascii="Times New Roman" w:eastAsia="Times New Roman" w:hAnsi="Times New Roman" w:cs="Times New Roman"/>
          <w:sz w:val="24"/>
        </w:rPr>
        <w:t xml:space="preserve"> </w:t>
      </w:r>
    </w:p>
    <w:p w:rsidR="00DA121A" w:rsidRDefault="00904DD6">
      <w:pPr>
        <w:spacing w:after="110" w:line="259" w:lineRule="auto"/>
        <w:ind w:left="284" w:firstLine="0"/>
        <w:jc w:val="left"/>
      </w:pPr>
      <w:r>
        <w:t xml:space="preserve"> </w:t>
      </w:r>
    </w:p>
    <w:p w:rsidR="00DA121A" w:rsidRDefault="00904DD6">
      <w:pPr>
        <w:spacing w:after="139"/>
        <w:ind w:left="278" w:right="146" w:firstLine="720"/>
      </w:pPr>
      <w:r>
        <w:t xml:space="preserve">Siendo un gasto específico y determinado ante la imposibilidad de demorarlo a ejercicios posteriores, y no habiendo crédito suficiente en las aplicaciónes presupuestarias. </w:t>
      </w:r>
    </w:p>
    <w:p w:rsidR="00DA121A" w:rsidRDefault="00904DD6">
      <w:pPr>
        <w:spacing w:after="133" w:line="259" w:lineRule="auto"/>
        <w:ind w:left="284" w:firstLine="0"/>
        <w:jc w:val="left"/>
      </w:pPr>
      <w:r>
        <w:rPr>
          <w:b/>
        </w:rPr>
        <w:t xml:space="preserve"> </w:t>
      </w:r>
    </w:p>
    <w:p w:rsidR="00DA121A" w:rsidRDefault="00904DD6">
      <w:pPr>
        <w:spacing w:after="112"/>
        <w:ind w:left="279" w:right="144"/>
      </w:pPr>
      <w:r>
        <w:rPr>
          <w:b/>
        </w:rPr>
        <w:t>SE PROPONE:</w:t>
      </w:r>
      <w:r>
        <w:rPr>
          <w:rFonts w:ascii="Times New Roman" w:eastAsia="Times New Roman" w:hAnsi="Times New Roman" w:cs="Times New Roman"/>
          <w:sz w:val="24"/>
        </w:rPr>
        <w:t xml:space="preserve"> </w:t>
      </w:r>
    </w:p>
    <w:p w:rsidR="00DA121A" w:rsidRDefault="00904DD6">
      <w:pPr>
        <w:ind w:left="288" w:right="146"/>
      </w:pPr>
      <w:r>
        <w:t xml:space="preserve">Único: Tramitar expediente </w:t>
      </w:r>
      <w:r>
        <w:rPr>
          <w:b/>
        </w:rPr>
        <w:t>3304/2023</w:t>
      </w:r>
      <w:r>
        <w:t xml:space="preserve"> de modificación presupuestaria </w:t>
      </w:r>
      <w:r>
        <w:t xml:space="preserve">por </w:t>
      </w:r>
      <w:r>
        <w:rPr>
          <w:b/>
        </w:rPr>
        <w:t xml:space="preserve">Créditos extraordinarios </w:t>
      </w:r>
      <w:r>
        <w:t>financiado con Remanente de Tesorería para gastos generales, por una cantidad total de</w:t>
      </w:r>
      <w:r>
        <w:rPr>
          <w:b/>
        </w:rPr>
        <w:t xml:space="preserve"> 1.859.520,87 euros</w:t>
      </w:r>
      <w:r>
        <w:t xml:space="preserve">, de acuerdo al siguiente detalle: </w:t>
      </w:r>
    </w:p>
    <w:p w:rsidR="00DA121A" w:rsidRDefault="00904DD6">
      <w:pPr>
        <w:spacing w:after="106" w:line="259" w:lineRule="auto"/>
        <w:ind w:left="284" w:firstLine="0"/>
        <w:jc w:val="left"/>
      </w:pPr>
      <w:r>
        <w:t xml:space="preserve"> </w:t>
      </w:r>
    </w:p>
    <w:p w:rsidR="00DA121A" w:rsidRDefault="00904DD6">
      <w:pPr>
        <w:pStyle w:val="Ttulo3"/>
        <w:tabs>
          <w:tab w:val="center" w:pos="423"/>
          <w:tab w:val="center" w:pos="4154"/>
        </w:tabs>
        <w:spacing w:after="44"/>
        <w:ind w:left="0" w:firstLine="0"/>
      </w:pPr>
      <w:r>
        <w:rPr>
          <w:rFonts w:ascii="Calibri" w:eastAsia="Calibri" w:hAnsi="Calibri" w:cs="Calibri"/>
          <w:b w:val="0"/>
          <w:sz w:val="22"/>
        </w:rPr>
        <w:tab/>
      </w:r>
      <w:r>
        <w:rPr>
          <w:b w:val="0"/>
        </w:rPr>
        <w:t xml:space="preserve"> </w:t>
      </w:r>
      <w:r>
        <w:rPr>
          <w:b w:val="0"/>
        </w:rPr>
        <w:tab/>
      </w:r>
      <w:r>
        <w:t xml:space="preserve">                   Estado de gastos </w:t>
      </w:r>
    </w:p>
    <w:p w:rsidR="00DA121A" w:rsidRDefault="00904DD6">
      <w:pPr>
        <w:spacing w:after="0" w:line="259" w:lineRule="auto"/>
        <w:ind w:left="2144"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 </w:t>
      </w:r>
    </w:p>
    <w:tbl>
      <w:tblPr>
        <w:tblStyle w:val="TableGrid"/>
        <w:tblW w:w="9037" w:type="dxa"/>
        <w:tblInd w:w="354" w:type="dxa"/>
        <w:tblCellMar>
          <w:top w:w="4" w:type="dxa"/>
          <w:left w:w="68" w:type="dxa"/>
          <w:bottom w:w="5" w:type="dxa"/>
          <w:right w:w="18" w:type="dxa"/>
        </w:tblCellMar>
        <w:tblLook w:val="04A0" w:firstRow="1" w:lastRow="0" w:firstColumn="1" w:lastColumn="0" w:noHBand="0" w:noVBand="1"/>
      </w:tblPr>
      <w:tblGrid>
        <w:gridCol w:w="908"/>
        <w:gridCol w:w="1759"/>
        <w:gridCol w:w="5179"/>
        <w:gridCol w:w="1191"/>
      </w:tblGrid>
      <w:tr w:rsidR="00DA121A">
        <w:trPr>
          <w:trHeight w:val="422"/>
        </w:trPr>
        <w:tc>
          <w:tcPr>
            <w:tcW w:w="908"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firstLine="0"/>
              <w:jc w:val="center"/>
            </w:pPr>
            <w:r>
              <w:rPr>
                <w:b/>
                <w:sz w:val="18"/>
              </w:rPr>
              <w:t xml:space="preserve">Proyecto gasto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4" w:firstLine="0"/>
              <w:jc w:val="left"/>
            </w:pPr>
            <w:r>
              <w:rPr>
                <w:b/>
                <w:sz w:val="18"/>
              </w:rPr>
              <w:t xml:space="preserve">Aplicación  </w:t>
            </w:r>
          </w:p>
        </w:tc>
        <w:tc>
          <w:tcPr>
            <w:tcW w:w="5180"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2" w:firstLine="0"/>
              <w:jc w:val="left"/>
            </w:pPr>
            <w:r>
              <w:rPr>
                <w:b/>
                <w:sz w:val="18"/>
              </w:rPr>
              <w:t xml:space="preserve">Denominación  </w:t>
            </w:r>
          </w:p>
        </w:tc>
        <w:tc>
          <w:tcPr>
            <w:tcW w:w="1191"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3" w:firstLine="0"/>
              <w:jc w:val="left"/>
            </w:pPr>
            <w:r>
              <w:rPr>
                <w:b/>
                <w:sz w:val="18"/>
              </w:rPr>
              <w:t xml:space="preserve">Importe </w:t>
            </w:r>
          </w:p>
        </w:tc>
      </w:tr>
      <w:tr w:rsidR="00DA121A">
        <w:trPr>
          <w:trHeight w:val="484"/>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15100.22715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REDACCION Y DIRECCION OBRA DE URBANIZACION EN RUBEN MARICHAL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163.539,79 </w:t>
            </w:r>
          </w:p>
        </w:tc>
      </w:tr>
      <w:tr w:rsidR="00DA121A">
        <w:trPr>
          <w:trHeight w:val="562"/>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15100.60000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pPr>
            <w:r>
              <w:rPr>
                <w:sz w:val="18"/>
              </w:rPr>
              <w:t xml:space="preserve">PARCELA DOTACIONAL BARRANCO HONDO - EXPROPIACION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82.631,85 </w:t>
            </w:r>
          </w:p>
        </w:tc>
      </w:tr>
      <w:tr w:rsidR="00DA121A">
        <w:trPr>
          <w:trHeight w:val="430"/>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41400.61901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OBRA REPAVIMENTACION CAMINO RURAL LOS ASOMADEROS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522.018,80 </w:t>
            </w:r>
          </w:p>
        </w:tc>
      </w:tr>
      <w:tr w:rsidR="00DA121A">
        <w:trPr>
          <w:trHeight w:val="290"/>
        </w:trPr>
        <w:tc>
          <w:tcPr>
            <w:tcW w:w="9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 w:firstLine="0"/>
              <w:jc w:val="left"/>
            </w:pPr>
            <w:r>
              <w:rPr>
                <w:sz w:val="18"/>
              </w:rPr>
              <w:t xml:space="preserve">15320.62500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MOBILIARIO VIAS PUBLICAS (BANCOS Y PAPELERAS) </w:t>
            </w:r>
          </w:p>
        </w:tc>
        <w:tc>
          <w:tcPr>
            <w:tcW w:w="11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right"/>
            </w:pPr>
            <w:r>
              <w:rPr>
                <w:sz w:val="18"/>
              </w:rPr>
              <w:t xml:space="preserve">113.719,60 </w:t>
            </w:r>
          </w:p>
        </w:tc>
      </w:tr>
      <w:tr w:rsidR="00DA121A">
        <w:trPr>
          <w:trHeight w:val="578"/>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92000.62300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pPr>
            <w:r>
              <w:rPr>
                <w:sz w:val="18"/>
              </w:rPr>
              <w:t xml:space="preserve">Proyecto Aire acondicionado y Microfonía digital Salón de Plenos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54.564,65 </w:t>
            </w:r>
          </w:p>
        </w:tc>
      </w:tr>
      <w:tr w:rsidR="00DA121A">
        <w:trPr>
          <w:trHeight w:val="415"/>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49200.62301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jc w:val="left"/>
            </w:pPr>
            <w:r>
              <w:rPr>
                <w:sz w:val="18"/>
              </w:rPr>
              <w:t xml:space="preserve">Proyecto Servidor CPD del DALIX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10.023,18 </w:t>
            </w:r>
          </w:p>
        </w:tc>
      </w:tr>
      <w:tr w:rsidR="00DA121A">
        <w:trPr>
          <w:trHeight w:val="564"/>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45900.61901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jc w:val="left"/>
            </w:pPr>
            <w:r>
              <w:rPr>
                <w:sz w:val="18"/>
              </w:rPr>
              <w:t xml:space="preserve">OBRAS DE ACCESIBILIDAD AULAS URBANIZACION LOS MENCEYES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73.949,71 </w:t>
            </w:r>
          </w:p>
        </w:tc>
      </w:tr>
      <w:tr w:rsidR="00DA121A">
        <w:trPr>
          <w:trHeight w:val="574"/>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33400.61901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jc w:val="left"/>
            </w:pPr>
            <w:r>
              <w:rPr>
                <w:sz w:val="18"/>
              </w:rPr>
              <w:t xml:space="preserve">IMPERMEABILIZACIÓN Y ACONDICIONAMIENTO EXTERIOR DE LA CASA D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16.047,86</w:t>
            </w:r>
            <w:r>
              <w:rPr>
                <w:sz w:val="18"/>
              </w:rPr>
              <w:t xml:space="preserve"> </w:t>
            </w:r>
          </w:p>
        </w:tc>
      </w:tr>
      <w:tr w:rsidR="00DA121A">
        <w:trPr>
          <w:trHeight w:val="552"/>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33400.61902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jc w:val="left"/>
            </w:pPr>
            <w:r>
              <w:rPr>
                <w:sz w:val="18"/>
              </w:rPr>
              <w:t xml:space="preserve">ACTUACIONES DE PROTECCIÓN FRENTE A DESPRENDIMIENTOS EN EL CE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39.112,37 </w:t>
            </w:r>
          </w:p>
        </w:tc>
      </w:tr>
      <w:tr w:rsidR="00DA121A">
        <w:trPr>
          <w:trHeight w:val="514"/>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15100.60910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OBRA PLAZA PLAYA LA VIUDA EQUIPAMIENTO DEPORTIVO Y ASISTENCIAL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783.913,06 </w:t>
            </w:r>
          </w:p>
        </w:tc>
      </w:tr>
      <w:tr w:rsidR="00DA121A">
        <w:trPr>
          <w:trHeight w:val="434"/>
        </w:trPr>
        <w:tc>
          <w:tcPr>
            <w:tcW w:w="2667" w:type="dxa"/>
            <w:gridSpan w:val="2"/>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5180" w:type="dxa"/>
            <w:tcBorders>
              <w:top w:val="single" w:sz="4" w:space="0" w:color="000000"/>
              <w:left w:val="nil"/>
              <w:bottom w:val="single" w:sz="4" w:space="0" w:color="000000"/>
              <w:right w:val="single" w:sz="4" w:space="0" w:color="000000"/>
            </w:tcBorders>
            <w:vAlign w:val="center"/>
          </w:tcPr>
          <w:p w:rsidR="00DA121A" w:rsidRDefault="00904DD6">
            <w:pPr>
              <w:spacing w:after="0" w:line="259" w:lineRule="auto"/>
              <w:ind w:left="0" w:right="48" w:firstLine="0"/>
              <w:jc w:val="right"/>
            </w:pPr>
            <w:r>
              <w:rPr>
                <w:b/>
                <w:sz w:val="18"/>
              </w:rPr>
              <w:t xml:space="preserve">Total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3" w:firstLine="0"/>
            </w:pPr>
            <w:r>
              <w:rPr>
                <w:b/>
                <w:sz w:val="18"/>
              </w:rPr>
              <w:t xml:space="preserve">1.859.520,87 </w:t>
            </w:r>
          </w:p>
        </w:tc>
      </w:tr>
    </w:tbl>
    <w:p w:rsidR="00DA121A" w:rsidRDefault="00904DD6">
      <w:pPr>
        <w:spacing w:after="0" w:line="259" w:lineRule="auto"/>
        <w:ind w:left="3092" w:firstLine="0"/>
        <w:jc w:val="left"/>
      </w:pPr>
      <w:r>
        <w:rPr>
          <w:b/>
          <w:sz w:val="18"/>
        </w:rPr>
        <w:t xml:space="preserve"> </w:t>
      </w:r>
    </w:p>
    <w:p w:rsidR="00DA121A" w:rsidRDefault="00904DD6">
      <w:pPr>
        <w:spacing w:after="0" w:line="259" w:lineRule="auto"/>
        <w:ind w:left="1193" w:firstLine="0"/>
        <w:jc w:val="left"/>
      </w:pPr>
      <w:r>
        <w:rPr>
          <w:b/>
          <w:sz w:val="18"/>
        </w:rPr>
        <w:t xml:space="preserve"> </w:t>
      </w:r>
    </w:p>
    <w:p w:rsidR="00DA121A" w:rsidRDefault="00904DD6">
      <w:pPr>
        <w:tabs>
          <w:tab w:val="center" w:pos="1193"/>
          <w:tab w:val="center" w:pos="2144"/>
          <w:tab w:val="center" w:pos="4346"/>
        </w:tabs>
        <w:spacing w:after="63" w:line="259" w:lineRule="auto"/>
        <w:ind w:left="0" w:firstLine="0"/>
        <w:jc w:val="left"/>
      </w:pPr>
      <w:r>
        <w:rPr>
          <w:rFonts w:ascii="Calibri" w:eastAsia="Calibri" w:hAnsi="Calibri" w:cs="Calibri"/>
        </w:rPr>
        <w:tab/>
      </w:r>
      <w:r>
        <w:rPr>
          <w:b/>
          <w:sz w:val="18"/>
        </w:rPr>
        <w:t xml:space="preserve"> </w:t>
      </w:r>
      <w:r>
        <w:rPr>
          <w:b/>
          <w:sz w:val="18"/>
        </w:rPr>
        <w:tab/>
      </w:r>
      <w:r>
        <w:rPr>
          <w:sz w:val="18"/>
        </w:rPr>
        <w:t xml:space="preserve"> </w:t>
      </w:r>
      <w:r>
        <w:rPr>
          <w:sz w:val="18"/>
        </w:rPr>
        <w:tab/>
      </w:r>
      <w:r>
        <w:rPr>
          <w:b/>
          <w:sz w:val="18"/>
        </w:rPr>
        <w:t xml:space="preserve">                 </w:t>
      </w:r>
      <w:r>
        <w:rPr>
          <w:b/>
          <w:sz w:val="18"/>
        </w:rPr>
        <w:t xml:space="preserve">Estado de ingresos </w:t>
      </w:r>
    </w:p>
    <w:p w:rsidR="00DA121A" w:rsidRDefault="00904DD6">
      <w:pPr>
        <w:spacing w:after="0" w:line="259" w:lineRule="auto"/>
        <w:ind w:left="2144" w:firstLine="0"/>
        <w:jc w:val="left"/>
      </w:pPr>
      <w:r>
        <w:rPr>
          <w:sz w:val="18"/>
        </w:rPr>
        <w:t xml:space="preserve"> </w:t>
      </w:r>
      <w:r>
        <w:rPr>
          <w:sz w:val="18"/>
        </w:rPr>
        <w:tab/>
      </w:r>
      <w:r>
        <w:rPr>
          <w:b/>
          <w:sz w:val="18"/>
        </w:rPr>
        <w:t xml:space="preserve"> </w:t>
      </w:r>
      <w:r>
        <w:rPr>
          <w:b/>
          <w:sz w:val="18"/>
        </w:rPr>
        <w:tab/>
        <w:t xml:space="preserve"> </w:t>
      </w:r>
    </w:p>
    <w:tbl>
      <w:tblPr>
        <w:tblStyle w:val="TableGrid"/>
        <w:tblW w:w="9037" w:type="dxa"/>
        <w:tblInd w:w="354" w:type="dxa"/>
        <w:tblCellMar>
          <w:top w:w="4" w:type="dxa"/>
          <w:left w:w="0" w:type="dxa"/>
          <w:bottom w:w="5" w:type="dxa"/>
          <w:right w:w="18" w:type="dxa"/>
        </w:tblCellMar>
        <w:tblLook w:val="04A0" w:firstRow="1" w:lastRow="0" w:firstColumn="1" w:lastColumn="0" w:noHBand="0" w:noVBand="1"/>
      </w:tblPr>
      <w:tblGrid>
        <w:gridCol w:w="2667"/>
        <w:gridCol w:w="4681"/>
        <w:gridCol w:w="498"/>
        <w:gridCol w:w="1191"/>
      </w:tblGrid>
      <w:tr w:rsidR="00DA121A">
        <w:trPr>
          <w:trHeight w:val="214"/>
        </w:trPr>
        <w:tc>
          <w:tcPr>
            <w:tcW w:w="2667"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2" w:firstLine="0"/>
              <w:jc w:val="center"/>
            </w:pPr>
            <w:r>
              <w:rPr>
                <w:b/>
                <w:sz w:val="18"/>
              </w:rPr>
              <w:t xml:space="preserve">Aplicación  </w:t>
            </w:r>
          </w:p>
        </w:tc>
        <w:tc>
          <w:tcPr>
            <w:tcW w:w="4682" w:type="dxa"/>
            <w:tcBorders>
              <w:top w:val="single" w:sz="4" w:space="0" w:color="000000"/>
              <w:left w:val="single" w:sz="4" w:space="0" w:color="000000"/>
              <w:bottom w:val="single" w:sz="4" w:space="0" w:color="000000"/>
              <w:right w:val="nil"/>
            </w:tcBorders>
            <w:shd w:val="clear" w:color="auto" w:fill="BFBFBF"/>
          </w:tcPr>
          <w:p w:rsidR="00DA121A" w:rsidRDefault="00904DD6">
            <w:pPr>
              <w:spacing w:after="0" w:line="259" w:lineRule="auto"/>
              <w:ind w:left="71" w:firstLine="0"/>
              <w:jc w:val="left"/>
            </w:pPr>
            <w:r>
              <w:rPr>
                <w:b/>
                <w:sz w:val="18"/>
              </w:rPr>
              <w:t xml:space="preserve">Denominación  </w:t>
            </w:r>
          </w:p>
        </w:tc>
        <w:tc>
          <w:tcPr>
            <w:tcW w:w="498" w:type="dxa"/>
            <w:tcBorders>
              <w:top w:val="single" w:sz="4" w:space="0" w:color="000000"/>
              <w:left w:val="nil"/>
              <w:bottom w:val="single" w:sz="4" w:space="0" w:color="000000"/>
              <w:right w:val="single" w:sz="4" w:space="0" w:color="000000"/>
            </w:tcBorders>
            <w:shd w:val="clear" w:color="auto" w:fill="BFBFBF"/>
          </w:tcPr>
          <w:p w:rsidR="00DA121A" w:rsidRDefault="00DA121A">
            <w:pPr>
              <w:spacing w:after="160" w:line="259" w:lineRule="auto"/>
              <w:ind w:left="0" w:firstLine="0"/>
              <w:jc w:val="left"/>
            </w:pPr>
          </w:p>
        </w:tc>
        <w:tc>
          <w:tcPr>
            <w:tcW w:w="1191"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71" w:firstLine="0"/>
              <w:jc w:val="left"/>
            </w:pPr>
            <w:r>
              <w:rPr>
                <w:b/>
                <w:sz w:val="18"/>
              </w:rPr>
              <w:t xml:space="preserve">Importe </w:t>
            </w:r>
          </w:p>
        </w:tc>
      </w:tr>
      <w:tr w:rsidR="00DA121A">
        <w:trPr>
          <w:trHeight w:val="344"/>
        </w:trPr>
        <w:tc>
          <w:tcPr>
            <w:tcW w:w="26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7" w:firstLine="0"/>
              <w:jc w:val="center"/>
            </w:pPr>
            <w:r>
              <w:rPr>
                <w:sz w:val="18"/>
              </w:rPr>
              <w:t xml:space="preserve">87000 </w:t>
            </w:r>
          </w:p>
        </w:tc>
        <w:tc>
          <w:tcPr>
            <w:tcW w:w="4682" w:type="dxa"/>
            <w:tcBorders>
              <w:top w:val="single" w:sz="4" w:space="0" w:color="000000"/>
              <w:left w:val="single" w:sz="4" w:space="0" w:color="000000"/>
              <w:bottom w:val="single" w:sz="4" w:space="0" w:color="000000"/>
              <w:right w:val="nil"/>
            </w:tcBorders>
            <w:vAlign w:val="bottom"/>
          </w:tcPr>
          <w:p w:rsidR="00DA121A" w:rsidRDefault="00904DD6">
            <w:pPr>
              <w:spacing w:after="0" w:line="259" w:lineRule="auto"/>
              <w:ind w:left="71" w:firstLine="0"/>
              <w:jc w:val="left"/>
            </w:pPr>
            <w:r>
              <w:rPr>
                <w:sz w:val="18"/>
              </w:rPr>
              <w:t xml:space="preserve">Remanente de Tesorería para gastos generales </w:t>
            </w:r>
          </w:p>
        </w:tc>
        <w:tc>
          <w:tcPr>
            <w:tcW w:w="498"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71" w:firstLine="0"/>
            </w:pPr>
            <w:r>
              <w:rPr>
                <w:sz w:val="18"/>
              </w:rPr>
              <w:t xml:space="preserve">1.859.520,87 </w:t>
            </w:r>
          </w:p>
        </w:tc>
      </w:tr>
      <w:tr w:rsidR="00DA121A">
        <w:trPr>
          <w:trHeight w:val="278"/>
        </w:trPr>
        <w:tc>
          <w:tcPr>
            <w:tcW w:w="2667" w:type="dxa"/>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4682" w:type="dxa"/>
            <w:tcBorders>
              <w:top w:val="single" w:sz="4" w:space="0" w:color="000000"/>
              <w:left w:val="nil"/>
              <w:bottom w:val="single" w:sz="4" w:space="0" w:color="000000"/>
              <w:right w:val="nil"/>
            </w:tcBorders>
          </w:tcPr>
          <w:p w:rsidR="00DA121A" w:rsidRDefault="00DA121A">
            <w:pPr>
              <w:spacing w:after="160" w:line="259" w:lineRule="auto"/>
              <w:ind w:left="0" w:firstLine="0"/>
              <w:jc w:val="left"/>
            </w:pPr>
          </w:p>
        </w:tc>
        <w:tc>
          <w:tcPr>
            <w:tcW w:w="498"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pPr>
            <w:r>
              <w:rPr>
                <w:b/>
                <w:sz w:val="18"/>
              </w:rPr>
              <w:t xml:space="preserve">Total </w:t>
            </w:r>
          </w:p>
        </w:tc>
        <w:tc>
          <w:tcPr>
            <w:tcW w:w="11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1" w:firstLine="0"/>
            </w:pPr>
            <w:r>
              <w:rPr>
                <w:b/>
                <w:sz w:val="18"/>
              </w:rPr>
              <w:t xml:space="preserve">1.859.520,87 </w:t>
            </w:r>
          </w:p>
        </w:tc>
      </w:tr>
    </w:tbl>
    <w:p w:rsidR="00DA121A" w:rsidRDefault="00904DD6">
      <w:pPr>
        <w:spacing w:after="137" w:line="259" w:lineRule="auto"/>
        <w:ind w:left="279"/>
        <w:jc w:val="left"/>
      </w:pPr>
      <w:r>
        <w:rPr>
          <w:sz w:val="18"/>
        </w:rPr>
        <w:t xml:space="preserve">“ </w:t>
      </w:r>
    </w:p>
    <w:p w:rsidR="00DA121A" w:rsidRDefault="00904DD6">
      <w:pPr>
        <w:spacing w:after="100" w:line="259" w:lineRule="auto"/>
        <w:ind w:left="284" w:firstLine="0"/>
        <w:jc w:val="left"/>
      </w:pPr>
      <w:r>
        <w:rPr>
          <w:b/>
        </w:rPr>
        <w:t xml:space="preserve"> </w:t>
      </w:r>
    </w:p>
    <w:p w:rsidR="00DA121A" w:rsidRDefault="00904DD6">
      <w:pPr>
        <w:spacing w:after="98" w:line="259" w:lineRule="auto"/>
        <w:ind w:left="284" w:firstLine="0"/>
        <w:jc w:val="left"/>
      </w:pPr>
      <w:r>
        <w:rPr>
          <w:b/>
        </w:rPr>
        <w:t xml:space="preserve"> </w:t>
      </w:r>
    </w:p>
    <w:p w:rsidR="00DA121A" w:rsidRDefault="00904DD6">
      <w:pPr>
        <w:spacing w:after="126"/>
        <w:ind w:left="279" w:right="144"/>
      </w:pPr>
      <w:r>
        <w:rPr>
          <w:b/>
        </w:rPr>
        <w:t>Consta en el expediente Informe de Intervención emitido por Don Nicolás Rojo Garnica, que desempeña el puesto de trabajo de Interventor Municipal, de 22 de marzo de 2023, del siguiente tenor literal:</w:t>
      </w:r>
      <w:r>
        <w:t xml:space="preserve"> </w:t>
      </w:r>
    </w:p>
    <w:p w:rsidR="00DA121A" w:rsidRDefault="00904DD6">
      <w:pPr>
        <w:spacing w:after="0" w:line="259" w:lineRule="auto"/>
        <w:ind w:left="279" w:firstLine="0"/>
        <w:jc w:val="left"/>
      </w:pPr>
      <w:r>
        <w:rPr>
          <w:rFonts w:ascii="Times New Roman" w:eastAsia="Times New Roman" w:hAnsi="Times New Roman" w:cs="Times New Roman"/>
          <w:sz w:val="24"/>
        </w:rPr>
        <w:t xml:space="preserve"> </w:t>
      </w:r>
    </w:p>
    <w:p w:rsidR="00DA121A" w:rsidRDefault="00904DD6">
      <w:pPr>
        <w:spacing w:after="17" w:line="259" w:lineRule="auto"/>
        <w:ind w:left="284" w:firstLine="0"/>
        <w:jc w:val="left"/>
      </w:pPr>
      <w:r>
        <w:rPr>
          <w:b/>
        </w:rPr>
        <w:t xml:space="preserve"> </w:t>
      </w:r>
    </w:p>
    <w:p w:rsidR="00DA121A" w:rsidRDefault="00904DD6">
      <w:pPr>
        <w:pStyle w:val="Ttulo2"/>
        <w:spacing w:after="98"/>
        <w:ind w:right="1090"/>
      </w:pPr>
      <w:r>
        <w:t>“INFORME</w:t>
      </w:r>
      <w:r>
        <w:rPr>
          <w:b w:val="0"/>
        </w:rPr>
        <w:t xml:space="preserve"> </w:t>
      </w:r>
    </w:p>
    <w:p w:rsidR="00DA121A" w:rsidRDefault="00904DD6">
      <w:pPr>
        <w:spacing w:after="60"/>
        <w:ind w:left="278" w:right="146" w:firstLine="708"/>
      </w:pPr>
      <w:r>
        <w:t>Vista la propuesta de la Alcaldesa, de tr</w:t>
      </w:r>
      <w:r>
        <w:t>amitación de modificación presupuestaria por Créditos Extraordinarios financiados con remanantes de Tesorería para Gastos Generales, que dice:</w:t>
      </w:r>
      <w:r>
        <w:rPr>
          <w:rFonts w:ascii="Times New Roman" w:eastAsia="Times New Roman" w:hAnsi="Times New Roman" w:cs="Times New Roman"/>
          <w:sz w:val="24"/>
        </w:rPr>
        <w:t xml:space="preserve"> </w:t>
      </w:r>
    </w:p>
    <w:p w:rsidR="00DA121A" w:rsidRDefault="00904DD6">
      <w:pPr>
        <w:spacing w:after="0" w:line="259" w:lineRule="auto"/>
        <w:ind w:left="992" w:firstLine="0"/>
        <w:jc w:val="left"/>
      </w:pPr>
      <w:r>
        <w:rPr>
          <w:rFonts w:ascii="Times New Roman" w:eastAsia="Times New Roman" w:hAnsi="Times New Roman" w:cs="Times New Roman"/>
          <w:sz w:val="24"/>
        </w:rPr>
        <w:t xml:space="preserve">  </w:t>
      </w:r>
    </w:p>
    <w:p w:rsidR="00DA121A" w:rsidRDefault="00904DD6">
      <w:pPr>
        <w:spacing w:after="43"/>
        <w:ind w:left="278" w:right="146" w:firstLine="708"/>
      </w:pPr>
      <w:r>
        <w:t xml:space="preserve">“El Ayuntamiento de Candelaria necesita créditos extraordinarios a los consignados en el Presupuesto vigente </w:t>
      </w:r>
      <w:r>
        <w:t>para llevar a cabo actuaciones de mejora de instalaciones e infraestructuras municipales con ocasión de la ejecución de los proyectos siguientes, según memorias-propuestas presentadas:</w:t>
      </w:r>
      <w:r>
        <w:rPr>
          <w:rFonts w:ascii="Times New Roman" w:eastAsia="Times New Roman" w:hAnsi="Times New Roman" w:cs="Times New Roman"/>
          <w:sz w:val="24"/>
        </w:rPr>
        <w:t xml:space="preserve"> </w:t>
      </w:r>
    </w:p>
    <w:p w:rsidR="00DA121A" w:rsidRDefault="00904DD6">
      <w:pPr>
        <w:spacing w:after="145" w:line="259" w:lineRule="auto"/>
        <w:ind w:left="341" w:firstLine="0"/>
        <w:jc w:val="left"/>
      </w:pPr>
      <w:r>
        <w:t xml:space="preserve"> </w:t>
      </w:r>
    </w:p>
    <w:p w:rsidR="00DA121A" w:rsidRDefault="00904DD6">
      <w:pPr>
        <w:numPr>
          <w:ilvl w:val="0"/>
          <w:numId w:val="25"/>
        </w:numPr>
        <w:spacing w:after="107"/>
        <w:ind w:right="146" w:hanging="360"/>
      </w:pPr>
      <w:r>
        <w:rPr>
          <w:b/>
        </w:rPr>
        <w:t>Redacción y dirección Obra Urbanización Rubén Marichal en Barranco H</w:t>
      </w:r>
      <w:r>
        <w:rPr>
          <w:b/>
        </w:rPr>
        <w:t>ondo</w:t>
      </w:r>
      <w:r>
        <w:t>: “debido al estado de deterioro de las obras de urbanización de Rubén Marichal en Barranco Hondo, cuyo alcance deberá valorarse y estudiarse, dentro del correspondiente proyecto de urbanización y que deberá incluir, entre otros los siguientes servicio</w:t>
      </w:r>
      <w:r>
        <w:t>s: Saneamiento, Abastecimiento, Alumbrado público y eficiencia energía, Pluviales, Cumplimiento de la normativa de accesibilidad,  Riego y jardinería, Descolgamientos de los muros perimetrales de la urbanización, Pavimentos y Telecomunicaciones. El presupu</w:t>
      </w:r>
      <w:r>
        <w:t xml:space="preserve">esto estimado para la redacción del Proyecto de Urbanización y la Dirección de Obra, de la Urbanización de Rubén Marichal en Barranco Hondo, conforme a la propuesta de honorarios recibida por GESTUR CANARIAS S.A asciende a </w:t>
      </w:r>
      <w:r>
        <w:rPr>
          <w:b/>
        </w:rPr>
        <w:t>163.539,79 €.</w:t>
      </w:r>
      <w:r>
        <w:rPr>
          <w:rFonts w:ascii="Times New Roman" w:eastAsia="Times New Roman" w:hAnsi="Times New Roman" w:cs="Times New Roman"/>
          <w:sz w:val="24"/>
        </w:rPr>
        <w:t xml:space="preserve"> </w:t>
      </w:r>
    </w:p>
    <w:p w:rsidR="00DA121A" w:rsidRDefault="00904DD6">
      <w:pPr>
        <w:spacing w:after="144" w:line="259" w:lineRule="auto"/>
        <w:ind w:left="1004" w:firstLine="0"/>
        <w:jc w:val="left"/>
      </w:pPr>
      <w:r>
        <w:t xml:space="preserve"> </w:t>
      </w:r>
    </w:p>
    <w:p w:rsidR="00DA121A" w:rsidRDefault="00904DD6">
      <w:pPr>
        <w:numPr>
          <w:ilvl w:val="0"/>
          <w:numId w:val="25"/>
        </w:numPr>
        <w:spacing w:after="104"/>
        <w:ind w:right="146" w:hanging="360"/>
      </w:pPr>
      <w:r>
        <w:rPr>
          <w:b/>
        </w:rPr>
        <w:t>Expropiación Parcela dotacional en Barranco Hondo: a</w:t>
      </w:r>
      <w:r>
        <w:t xml:space="preserve"> la vista del expediente de expropiación forzosa 3304/2023 de una parcela según los informes técnicos clasificada, categorizada y calificada como suelo urbano consolidado, dotacional público, de acuerdo c</w:t>
      </w:r>
      <w:r>
        <w:t>on la delimitación establecida por el Plan General de Ordenación de la Villa de Candelaria, aprobado definitivamente por la Comisión de Ordenación del Territorio y Medio Ambiente de Canarias el 20 de julio de 2006, y cuya propietaria es Doña Juana Ascensió</w:t>
      </w:r>
      <w:r>
        <w:t>n Peña González. La aprobación del Plan General de Ordenación produce la declaración tácita de utilidad pública a los efectos expropiatorios de la parcela con referencia catastral 7722130CS6472S0001PU y la necesidad de ocupación de los terrenos. Conforme a</w:t>
      </w:r>
      <w:r>
        <w:t xml:space="preserve"> los informes el justiprecio asciende a 78.697,00 € y el premio de afección a 3.934,85€, lo que hace un total de </w:t>
      </w:r>
      <w:r>
        <w:rPr>
          <w:b/>
        </w:rPr>
        <w:t>82.631,85 €.</w:t>
      </w:r>
      <w:r>
        <w:rPr>
          <w:rFonts w:ascii="Times New Roman" w:eastAsia="Times New Roman" w:hAnsi="Times New Roman" w:cs="Times New Roman"/>
          <w:sz w:val="24"/>
        </w:rPr>
        <w:t xml:space="preserve"> </w:t>
      </w:r>
    </w:p>
    <w:p w:rsidR="00DA121A" w:rsidRDefault="00904DD6">
      <w:pPr>
        <w:spacing w:after="184" w:line="259" w:lineRule="auto"/>
        <w:ind w:left="284" w:firstLine="0"/>
        <w:jc w:val="left"/>
      </w:pPr>
      <w:r>
        <w:t xml:space="preserve"> </w:t>
      </w:r>
    </w:p>
    <w:p w:rsidR="00DA121A" w:rsidRDefault="00904DD6">
      <w:pPr>
        <w:numPr>
          <w:ilvl w:val="0"/>
          <w:numId w:val="25"/>
        </w:numPr>
        <w:spacing w:after="101"/>
        <w:ind w:right="146" w:hanging="360"/>
      </w:pPr>
      <w:r>
        <w:rPr>
          <w:b/>
        </w:rPr>
        <w:t>Obra Repavimentación del “Camino Rural Los Asomaderos” tramos Rural y Urbanos</w:t>
      </w:r>
      <w:r>
        <w:t>: La repavimentación del Camino Rural de Los Asoma</w:t>
      </w:r>
      <w:r>
        <w:t>deros, tiene como objetivo definir las actuaciones necesarias para la pavimentación del camino rural conocido como “Camino los asomaderos”, situado en el T.M de Candelaria, en el núcleo de Barranco Hondo. Los criterios generales adoptados, de diseño y func</w:t>
      </w:r>
      <w:r>
        <w:t>ionalidad, se han adaptado al trazado actual, permitiendo un tránsito cómodo y seguro para los usuarios de la vía en cualquier circunstancia, de modo que las condiciones atmosféricas adversas no influyan en manera alguna sobre la accesibilidad a las propie</w:t>
      </w:r>
      <w:r>
        <w:t xml:space="preserve">dades a las que sirve. Se benefician de la pavimentación y mejora del camino unos 100.000 m2 de terreno cultivable que se encuentran en abandono actualmente. </w:t>
      </w:r>
      <w:r>
        <w:rPr>
          <w:rFonts w:ascii="Times New Roman" w:eastAsia="Times New Roman" w:hAnsi="Times New Roman" w:cs="Times New Roman"/>
          <w:sz w:val="24"/>
        </w:rPr>
        <w:t xml:space="preserve"> </w:t>
      </w:r>
    </w:p>
    <w:p w:rsidR="00DA121A" w:rsidRDefault="00904DD6">
      <w:pPr>
        <w:spacing w:after="138"/>
        <w:ind w:left="1014" w:right="146"/>
      </w:pPr>
      <w:r>
        <w:t xml:space="preserve">El Camino los Asomaderos sirve a una zona agraria de 30.014 m2 de las cuales sólo se encuentran </w:t>
      </w:r>
      <w:r>
        <w:t>explotación actualmente 9.706 m2 y permitirá poner en explotación 2.3 Has de cultivo. Para acceder al camino rural de Los Asomaderos existen dos tramos a inicio y final, con categoría de urbano que también se engloban en esta actuación, el importe del pres</w:t>
      </w:r>
      <w:r>
        <w:t xml:space="preserve">upuesto de ejecución por contrata actualizado, asciende a la cantidad de </w:t>
      </w:r>
      <w:r>
        <w:rPr>
          <w:b/>
        </w:rPr>
        <w:t>522.018,80 €</w:t>
      </w:r>
      <w:r>
        <w:t xml:space="preserve"> incluido el IGIC.</w:t>
      </w:r>
      <w:r>
        <w:rPr>
          <w:rFonts w:ascii="Times New Roman" w:eastAsia="Times New Roman" w:hAnsi="Times New Roman" w:cs="Times New Roman"/>
          <w:sz w:val="24"/>
        </w:rPr>
        <w:t xml:space="preserve"> </w:t>
      </w:r>
    </w:p>
    <w:p w:rsidR="00DA121A" w:rsidRDefault="00904DD6">
      <w:pPr>
        <w:numPr>
          <w:ilvl w:val="0"/>
          <w:numId w:val="25"/>
        </w:numPr>
        <w:spacing w:after="137"/>
        <w:ind w:right="146" w:hanging="360"/>
      </w:pPr>
      <w:r>
        <w:rPr>
          <w:b/>
        </w:rPr>
        <w:t>Proyecto Mobiliario Urbano</w:t>
      </w:r>
      <w:r>
        <w:t>: debido a que determinados elementos e instalaciones de las infraestructuras municipales se van deteriorando con el paso del</w:t>
      </w:r>
      <w:r>
        <w:t xml:space="preserve"> tiempo y en especial aquellas que se encuentran a la intemperie, el ayuntamiento ha tenido que ir reforzando, acondicionando, adaptando y renovando sus instalaciones públicas tanto para dar servicios de calidad a la ciudadanía como para convertir el munic</w:t>
      </w:r>
      <w:r>
        <w:t>ipio en un lugar más seguro, habitable, confortable y limpio. El presente proyecto tiene el objeto de proceder al suministro de mobiliario urbano (bancos y papeleras), para el municipio de Candelaria, con el presente suministro, se pretende mejorar la imag</w:t>
      </w:r>
      <w:r>
        <w:t>en del municipio a la par que conseguir dotar a los espacios públicos de mobiliario urbano, para uso y disfrute de los usuarios, con 200 bancos y 200 papeleras. El presupuesto base de licitación asciende a un importe de 106.280,00 € más 7.439,60 € en conce</w:t>
      </w:r>
      <w:r>
        <w:t xml:space="preserve">pto de IGIC para un total de </w:t>
      </w:r>
      <w:r>
        <w:rPr>
          <w:b/>
        </w:rPr>
        <w:t>113.719,60 €.</w:t>
      </w:r>
      <w:r>
        <w:rPr>
          <w:rFonts w:ascii="Times New Roman" w:eastAsia="Times New Roman" w:hAnsi="Times New Roman" w:cs="Times New Roman"/>
          <w:sz w:val="24"/>
        </w:rPr>
        <w:t xml:space="preserve"> </w:t>
      </w:r>
    </w:p>
    <w:p w:rsidR="00DA121A" w:rsidRDefault="00904DD6">
      <w:pPr>
        <w:numPr>
          <w:ilvl w:val="0"/>
          <w:numId w:val="25"/>
        </w:numPr>
        <w:spacing w:after="137"/>
        <w:ind w:right="146" w:hanging="360"/>
      </w:pPr>
      <w:r>
        <w:rPr>
          <w:b/>
        </w:rPr>
        <w:t xml:space="preserve">Proyecto Suministro e Instalación de Equipos de Aire Acondicionado en Salón de Plenos: </w:t>
      </w:r>
      <w:r>
        <w:t>el presente proyecto tiene el objeto de proceder al suministro y la instalación de maquinaria de aire acondicionado en el sal</w:t>
      </w:r>
      <w:r>
        <w:t>ón de plenos del ayuntamiento de Candelaria. El Salón de Plenos es una instalación cuyo empleo implica la acumulación de personas en un espacio relativamente reducido y por lo tanto se hace necesario una modernización total de los equipamientos de aire aco</w:t>
      </w:r>
      <w:r>
        <w:t xml:space="preserve">ndicionado que se encuentran en la actualidad instalados y que presentan unas deficiencias muy graves que impiden su utilización eficiente. El presupuesto asciende a un total de 36.000,00 € más IGIC tipo 7% (2.520,00 €), para un total de </w:t>
      </w:r>
      <w:r>
        <w:rPr>
          <w:b/>
        </w:rPr>
        <w:t>38.520,00 €.</w:t>
      </w:r>
      <w:r>
        <w:rPr>
          <w:rFonts w:ascii="Times New Roman" w:eastAsia="Times New Roman" w:hAnsi="Times New Roman" w:cs="Times New Roman"/>
          <w:sz w:val="24"/>
        </w:rPr>
        <w:t xml:space="preserve"> </w:t>
      </w:r>
    </w:p>
    <w:p w:rsidR="00DA121A" w:rsidRDefault="00904DD6">
      <w:pPr>
        <w:numPr>
          <w:ilvl w:val="0"/>
          <w:numId w:val="25"/>
        </w:numPr>
        <w:spacing w:after="138"/>
        <w:ind w:right="146" w:hanging="360"/>
      </w:pPr>
      <w:r>
        <w:rPr>
          <w:b/>
        </w:rPr>
        <w:t>Proy</w:t>
      </w:r>
      <w:r>
        <w:rPr>
          <w:b/>
        </w:rPr>
        <w:t>ecto de Microfonía digital Salón de Plenos: e</w:t>
      </w:r>
      <w:r>
        <w:t>l Salón de Plenos necesita un nuevo sistema de microfonía digital para el Salón de Plenos del Ayuntamiento motivado por la necesidad de integración al sistema de video y streaming que ya está implantada en el sa</w:t>
      </w:r>
      <w:r>
        <w:t xml:space="preserve">lón de plenos para así poder aprovechar el etiquetado de las intervenciones, por parte de los miembros del pleno en los videos resultantes de la grabación. El módulo a contratar sería el Séneca que permite la integración de la grabadora con su solución de </w:t>
      </w:r>
      <w:r>
        <w:t xml:space="preserve">microfonía y votación digital, lo cual hace innecesario mantener distintas bases de datos con la misma información para distintos sistemas. El Presupuesto sería de 14.995,00 € mas 7% de IGIC (1049,55 €) siendo el total por importe de </w:t>
      </w:r>
      <w:r>
        <w:rPr>
          <w:b/>
        </w:rPr>
        <w:t>16.044,65€</w:t>
      </w:r>
      <w:r>
        <w:t>.</w:t>
      </w:r>
      <w:r>
        <w:rPr>
          <w:rFonts w:ascii="Times New Roman" w:eastAsia="Times New Roman" w:hAnsi="Times New Roman" w:cs="Times New Roman"/>
          <w:sz w:val="24"/>
        </w:rPr>
        <w:t xml:space="preserve"> </w:t>
      </w:r>
    </w:p>
    <w:p w:rsidR="00DA121A" w:rsidRDefault="00904DD6">
      <w:pPr>
        <w:numPr>
          <w:ilvl w:val="0"/>
          <w:numId w:val="25"/>
        </w:numPr>
        <w:spacing w:after="138"/>
        <w:ind w:right="146" w:hanging="360"/>
      </w:pPr>
      <w:r>
        <w:rPr>
          <w:b/>
        </w:rPr>
        <w:t xml:space="preserve">Proyecto </w:t>
      </w:r>
      <w:r>
        <w:rPr>
          <w:b/>
        </w:rPr>
        <w:t xml:space="preserve">Accesibilidad Aulas Urbanización de Los Menceyes: </w:t>
      </w:r>
      <w:r>
        <w:t xml:space="preserve">Las aulas de formación de la Urbanización Los Menceyes no reúnen las condiciones técnicas de accesibilidad según informe técnico de la Dirección General de Dependencia y Discapacidad. Para la obtención del </w:t>
      </w:r>
      <w:r>
        <w:t>Símbolo de Accesibilidad (BOC nº16, de 24.01.2014) es necesario subsanar una serie de deficiencias que se detallan en el informe. La supresión de las barreras físicas es un elemento esencial para alcanzar una plena integración de las personas con discapaci</w:t>
      </w:r>
      <w:r>
        <w:t xml:space="preserve">dad proporcionando una mayor calidad en el servicio de personas con mayores dificultades de movilidad. Con un Presupuesto de </w:t>
      </w:r>
      <w:r>
        <w:rPr>
          <w:b/>
        </w:rPr>
        <w:t>73.949,71€</w:t>
      </w:r>
      <w:r>
        <w:t>.</w:t>
      </w:r>
      <w:r>
        <w:rPr>
          <w:rFonts w:ascii="Times New Roman" w:eastAsia="Times New Roman" w:hAnsi="Times New Roman" w:cs="Times New Roman"/>
          <w:sz w:val="24"/>
        </w:rPr>
        <w:t xml:space="preserve"> </w:t>
      </w:r>
    </w:p>
    <w:p w:rsidR="00DA121A" w:rsidRDefault="00904DD6">
      <w:pPr>
        <w:numPr>
          <w:ilvl w:val="0"/>
          <w:numId w:val="25"/>
        </w:numPr>
        <w:spacing w:after="135"/>
        <w:ind w:right="146" w:hanging="360"/>
      </w:pPr>
      <w:r>
        <w:rPr>
          <w:b/>
        </w:rPr>
        <w:t xml:space="preserve">Proyecto Servidor CPD del DALIX: </w:t>
      </w:r>
      <w:r>
        <w:t xml:space="preserve">Se ha realizado el despliegue de las máquinas virtuales de todos los servidores del Ayuntamiento en una nueva sede ubicada en el CPD del DALIX, a la cual estamos conectados por un armario de autoprestación del Cabildo Insular de Tenerife. En la actualidad </w:t>
      </w:r>
      <w:r>
        <w:t>en dicha sede disponemos de un servidor físico, que hace posible que las máquinas virtuales (servidores virtuales del ayuntamiento) funcionen correctamente. Sería necesario disponer de un segundo servidor en el CPD del DALIX en caso que incidencia con el S</w:t>
      </w:r>
      <w:r>
        <w:t xml:space="preserve">ervidor actual y tener así una redundancia que permita seguir manteniendo la conexión con los servidores virtuales del ayuntamiento, con un presupuesto de </w:t>
      </w:r>
      <w:r>
        <w:rPr>
          <w:b/>
        </w:rPr>
        <w:t>10.023,18€</w:t>
      </w:r>
      <w:r>
        <w:t>.</w:t>
      </w:r>
      <w:r>
        <w:rPr>
          <w:rFonts w:ascii="Times New Roman" w:eastAsia="Times New Roman" w:hAnsi="Times New Roman" w:cs="Times New Roman"/>
          <w:sz w:val="24"/>
        </w:rPr>
        <w:t xml:space="preserve"> </w:t>
      </w:r>
    </w:p>
    <w:p w:rsidR="00DA121A" w:rsidRDefault="00904DD6">
      <w:pPr>
        <w:numPr>
          <w:ilvl w:val="0"/>
          <w:numId w:val="25"/>
        </w:numPr>
        <w:spacing w:after="139"/>
        <w:ind w:right="146" w:hanging="360"/>
      </w:pPr>
      <w:r>
        <w:rPr>
          <w:b/>
        </w:rPr>
        <w:t>Impermeabilización y acondicionamiento exterior de la Casa de la Música Abilio Alonso Ot</w:t>
      </w:r>
      <w:r>
        <w:rPr>
          <w:b/>
        </w:rPr>
        <w:t xml:space="preserve">azo: </w:t>
      </w:r>
      <w:r>
        <w:t>con el fin de continuar con el mantenimiento de las instalaciones municipales, necesario para que las mismas se encuentren en un estado óptimo de conservación para su uso y disfrute por parte de la ciudadanía, y continuar con el desarrollo de la progr</w:t>
      </w:r>
      <w:r>
        <w:t xml:space="preserve">amación cultural anual, por un importe de </w:t>
      </w:r>
      <w:r>
        <w:rPr>
          <w:b/>
        </w:rPr>
        <w:t>16.047,86€</w:t>
      </w:r>
      <w:r>
        <w:t>.</w:t>
      </w:r>
      <w:r>
        <w:rPr>
          <w:rFonts w:ascii="Times New Roman" w:eastAsia="Times New Roman" w:hAnsi="Times New Roman" w:cs="Times New Roman"/>
          <w:sz w:val="24"/>
        </w:rPr>
        <w:t xml:space="preserve"> </w:t>
      </w:r>
    </w:p>
    <w:p w:rsidR="00DA121A" w:rsidRDefault="00904DD6">
      <w:pPr>
        <w:numPr>
          <w:ilvl w:val="0"/>
          <w:numId w:val="25"/>
        </w:numPr>
        <w:spacing w:after="138"/>
        <w:ind w:right="146" w:hanging="360"/>
      </w:pPr>
      <w:r>
        <w:rPr>
          <w:b/>
        </w:rPr>
        <w:t>Actuaciones de protección frente a desprendimientos en el Centro Cultural de la Villa</w:t>
      </w:r>
      <w:r>
        <w:t>: con el fin de continuar con el mantenimiento de las instalaciones municipales, necesario para que las mismas se en</w:t>
      </w:r>
      <w:r>
        <w:t xml:space="preserve">cuentren en un estado óptimo de conservación para su uso y disfrute por parte de la ciudadanía, y continuar con el desarrollo de la programación cultural anual, por un importe de </w:t>
      </w:r>
      <w:r>
        <w:rPr>
          <w:b/>
        </w:rPr>
        <w:t>39.112,37€.</w:t>
      </w:r>
      <w:r>
        <w:rPr>
          <w:rFonts w:ascii="Times New Roman" w:eastAsia="Times New Roman" w:hAnsi="Times New Roman" w:cs="Times New Roman"/>
          <w:sz w:val="24"/>
        </w:rPr>
        <w:t xml:space="preserve"> </w:t>
      </w:r>
    </w:p>
    <w:p w:rsidR="00DA121A" w:rsidRDefault="00904DD6">
      <w:pPr>
        <w:numPr>
          <w:ilvl w:val="0"/>
          <w:numId w:val="25"/>
        </w:numPr>
        <w:spacing w:after="106"/>
        <w:ind w:right="146" w:hanging="360"/>
      </w:pPr>
      <w:r>
        <w:rPr>
          <w:b/>
        </w:rPr>
        <w:t xml:space="preserve">Proyecto para obra plaza Playa de la Viuda Equipamientos deportivos y asistenciales: </w:t>
      </w:r>
      <w:r>
        <w:t>La Playa de la Viuda, barrio costero, conformado por viviendas de autoconstrucción. El Barrio no dispone de servicios, ni equipamientos ni de espacios libres para el espar</w:t>
      </w:r>
      <w:r>
        <w:t xml:space="preserve">cimiento de los vecinos, fundamentalmente debido a la colmatación del mismo. El presupuesto de ejecución por contrata, de acuerdo al proyecto modificado obrante asciende a la cantidad de </w:t>
      </w:r>
      <w:r>
        <w:rPr>
          <w:b/>
        </w:rPr>
        <w:t>783.913,06 €</w:t>
      </w:r>
      <w:r>
        <w:rPr>
          <w:rFonts w:ascii="Times New Roman" w:eastAsia="Times New Roman" w:hAnsi="Times New Roman" w:cs="Times New Roman"/>
          <w:sz w:val="24"/>
        </w:rPr>
        <w:t xml:space="preserve"> </w:t>
      </w:r>
    </w:p>
    <w:p w:rsidR="00DA121A" w:rsidRDefault="00904DD6">
      <w:pPr>
        <w:spacing w:after="110" w:line="259" w:lineRule="auto"/>
        <w:ind w:left="284" w:firstLine="0"/>
        <w:jc w:val="left"/>
      </w:pPr>
      <w:r>
        <w:t xml:space="preserve"> </w:t>
      </w:r>
    </w:p>
    <w:p w:rsidR="00DA121A" w:rsidRDefault="00904DD6">
      <w:pPr>
        <w:spacing w:after="140"/>
        <w:ind w:left="278" w:right="146" w:firstLine="720"/>
      </w:pPr>
      <w:r>
        <w:t>Siendo un gasto específico y determinado ante la impo</w:t>
      </w:r>
      <w:r>
        <w:t xml:space="preserve">sibilidad de demorarlo a ejercicios posteriores, y no habiendo crédito suficiente en las aplicaciónes presupuestarias. </w:t>
      </w:r>
    </w:p>
    <w:p w:rsidR="00DA121A" w:rsidRDefault="00904DD6">
      <w:pPr>
        <w:spacing w:after="135" w:line="259" w:lineRule="auto"/>
        <w:ind w:left="284" w:firstLine="0"/>
        <w:jc w:val="left"/>
      </w:pPr>
      <w:r>
        <w:rPr>
          <w:b/>
        </w:rPr>
        <w:t xml:space="preserve"> </w:t>
      </w:r>
    </w:p>
    <w:p w:rsidR="00DA121A" w:rsidRDefault="00904DD6">
      <w:pPr>
        <w:spacing w:after="110"/>
        <w:ind w:left="279" w:right="144"/>
      </w:pPr>
      <w:r>
        <w:rPr>
          <w:b/>
        </w:rPr>
        <w:t>SE PROPONE:</w:t>
      </w:r>
      <w:r>
        <w:rPr>
          <w:rFonts w:ascii="Times New Roman" w:eastAsia="Times New Roman" w:hAnsi="Times New Roman" w:cs="Times New Roman"/>
          <w:sz w:val="24"/>
        </w:rPr>
        <w:t xml:space="preserve"> </w:t>
      </w:r>
    </w:p>
    <w:p w:rsidR="00DA121A" w:rsidRDefault="00904DD6">
      <w:pPr>
        <w:spacing w:after="114"/>
        <w:ind w:left="288" w:right="146"/>
      </w:pPr>
      <w:r>
        <w:t xml:space="preserve">Único: Tramitar expediente </w:t>
      </w:r>
      <w:r>
        <w:rPr>
          <w:b/>
        </w:rPr>
        <w:t>3304/2023</w:t>
      </w:r>
      <w:r>
        <w:t xml:space="preserve"> de modificación presupuestaria por </w:t>
      </w:r>
      <w:r>
        <w:rPr>
          <w:b/>
        </w:rPr>
        <w:t xml:space="preserve">Créditos extraordinarios </w:t>
      </w:r>
      <w:r>
        <w:t>financiado con Remanente</w:t>
      </w:r>
      <w:r>
        <w:t xml:space="preserve"> de Tesorería para gastos generales, por una cantidad total de</w:t>
      </w:r>
      <w:r>
        <w:rPr>
          <w:b/>
        </w:rPr>
        <w:t xml:space="preserve"> 1.859.520,87 euros</w:t>
      </w:r>
      <w:r>
        <w:t xml:space="preserve">, de acuerdo al siguiente detalle: </w:t>
      </w:r>
    </w:p>
    <w:p w:rsidR="00DA121A" w:rsidRDefault="00904DD6">
      <w:pPr>
        <w:spacing w:after="59" w:line="259" w:lineRule="auto"/>
        <w:ind w:left="284" w:firstLine="0"/>
        <w:jc w:val="left"/>
      </w:pPr>
      <w:r>
        <w:t xml:space="preserve"> </w:t>
      </w:r>
    </w:p>
    <w:p w:rsidR="00DA121A" w:rsidRDefault="00904DD6">
      <w:pPr>
        <w:spacing w:after="0" w:line="259" w:lineRule="auto"/>
        <w:ind w:left="3102"/>
        <w:jc w:val="left"/>
      </w:pPr>
      <w:r>
        <w:rPr>
          <w:b/>
          <w:sz w:val="18"/>
        </w:rPr>
        <w:t xml:space="preserve">                   Estado de gastos </w:t>
      </w:r>
    </w:p>
    <w:p w:rsidR="00DA121A" w:rsidRDefault="00904DD6">
      <w:pPr>
        <w:spacing w:after="0" w:line="259" w:lineRule="auto"/>
        <w:ind w:left="423" w:firstLine="0"/>
        <w:jc w:val="left"/>
      </w:pPr>
      <w:r>
        <w:rPr>
          <w:rFonts w:ascii="Times New Roman" w:eastAsia="Times New Roman" w:hAnsi="Times New Roman" w:cs="Times New Roman"/>
          <w:sz w:val="18"/>
        </w:rPr>
        <w:t xml:space="preserve"> </w:t>
      </w:r>
    </w:p>
    <w:p w:rsidR="00DA121A" w:rsidRDefault="00904DD6">
      <w:pPr>
        <w:spacing w:after="0" w:line="259" w:lineRule="auto"/>
        <w:ind w:left="2144" w:firstLine="0"/>
        <w:jc w:val="left"/>
      </w:pPr>
      <w:r>
        <w:rPr>
          <w:sz w:val="18"/>
        </w:rPr>
        <w:t xml:space="preserve"> </w:t>
      </w:r>
      <w:r>
        <w:rPr>
          <w:sz w:val="18"/>
        </w:rPr>
        <w:tab/>
      </w:r>
      <w:r>
        <w:rPr>
          <w:b/>
          <w:sz w:val="18"/>
        </w:rPr>
        <w:t xml:space="preserve"> </w:t>
      </w:r>
      <w:r>
        <w:rPr>
          <w:b/>
          <w:sz w:val="18"/>
        </w:rPr>
        <w:tab/>
      </w:r>
      <w:r>
        <w:rPr>
          <w:rFonts w:ascii="Times New Roman" w:eastAsia="Times New Roman" w:hAnsi="Times New Roman" w:cs="Times New Roman"/>
          <w:b/>
          <w:sz w:val="18"/>
        </w:rPr>
        <w:t xml:space="preserve"> </w:t>
      </w:r>
    </w:p>
    <w:tbl>
      <w:tblPr>
        <w:tblStyle w:val="TableGrid"/>
        <w:tblW w:w="9037" w:type="dxa"/>
        <w:tblInd w:w="354" w:type="dxa"/>
        <w:tblCellMar>
          <w:top w:w="5" w:type="dxa"/>
          <w:left w:w="68" w:type="dxa"/>
          <w:bottom w:w="5" w:type="dxa"/>
          <w:right w:w="18" w:type="dxa"/>
        </w:tblCellMar>
        <w:tblLook w:val="04A0" w:firstRow="1" w:lastRow="0" w:firstColumn="1" w:lastColumn="0" w:noHBand="0" w:noVBand="1"/>
      </w:tblPr>
      <w:tblGrid>
        <w:gridCol w:w="908"/>
        <w:gridCol w:w="1759"/>
        <w:gridCol w:w="5179"/>
        <w:gridCol w:w="1191"/>
      </w:tblGrid>
      <w:tr w:rsidR="00DA121A">
        <w:trPr>
          <w:trHeight w:val="421"/>
        </w:trPr>
        <w:tc>
          <w:tcPr>
            <w:tcW w:w="908"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firstLine="0"/>
              <w:jc w:val="center"/>
            </w:pPr>
            <w:r>
              <w:rPr>
                <w:b/>
                <w:sz w:val="18"/>
              </w:rPr>
              <w:t xml:space="preserve">Proyecto gasto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4" w:firstLine="0"/>
              <w:jc w:val="left"/>
            </w:pPr>
            <w:r>
              <w:rPr>
                <w:b/>
                <w:sz w:val="18"/>
              </w:rPr>
              <w:t xml:space="preserve">Aplicación  </w:t>
            </w:r>
          </w:p>
        </w:tc>
        <w:tc>
          <w:tcPr>
            <w:tcW w:w="5180"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2" w:firstLine="0"/>
              <w:jc w:val="left"/>
            </w:pPr>
            <w:r>
              <w:rPr>
                <w:b/>
                <w:sz w:val="18"/>
              </w:rPr>
              <w:t xml:space="preserve">Denominación  </w:t>
            </w:r>
          </w:p>
        </w:tc>
        <w:tc>
          <w:tcPr>
            <w:tcW w:w="1191"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3" w:firstLine="0"/>
              <w:jc w:val="left"/>
            </w:pPr>
            <w:r>
              <w:rPr>
                <w:b/>
                <w:sz w:val="18"/>
              </w:rPr>
              <w:t xml:space="preserve">Importe </w:t>
            </w:r>
          </w:p>
        </w:tc>
      </w:tr>
      <w:tr w:rsidR="00DA121A">
        <w:trPr>
          <w:trHeight w:val="484"/>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15100.22715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REDACCION Y DIRECCION OBRA DE URBANIZACION EN RUBEN MARICHAL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163.539,79 </w:t>
            </w:r>
          </w:p>
        </w:tc>
      </w:tr>
      <w:tr w:rsidR="00DA121A">
        <w:trPr>
          <w:trHeight w:val="562"/>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15100.60000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pPr>
            <w:r>
              <w:rPr>
                <w:sz w:val="18"/>
              </w:rPr>
              <w:t xml:space="preserve">PARCELA DOTACIONAL BARRANCO HONDO - EXPROPIACION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82.631,85 </w:t>
            </w:r>
          </w:p>
        </w:tc>
      </w:tr>
      <w:tr w:rsidR="00DA121A">
        <w:trPr>
          <w:trHeight w:val="430"/>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41400.61901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OBRA REPAVIMENTACION CAMINO RURAL LOS ASOMADEROS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522.018,80 </w:t>
            </w:r>
          </w:p>
        </w:tc>
      </w:tr>
      <w:tr w:rsidR="00DA121A">
        <w:trPr>
          <w:trHeight w:val="291"/>
        </w:trPr>
        <w:tc>
          <w:tcPr>
            <w:tcW w:w="9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 w:firstLine="0"/>
              <w:jc w:val="left"/>
            </w:pPr>
            <w:r>
              <w:rPr>
                <w:sz w:val="18"/>
              </w:rPr>
              <w:t xml:space="preserve">15320.62500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MOBILIARIO VIAS PUBLICAS (BANCOS Y PAPELERAS) </w:t>
            </w:r>
          </w:p>
        </w:tc>
        <w:tc>
          <w:tcPr>
            <w:tcW w:w="11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right"/>
            </w:pPr>
            <w:r>
              <w:rPr>
                <w:sz w:val="18"/>
              </w:rPr>
              <w:t xml:space="preserve">113.719,60 </w:t>
            </w:r>
          </w:p>
        </w:tc>
      </w:tr>
      <w:tr w:rsidR="00DA121A">
        <w:trPr>
          <w:trHeight w:val="574"/>
        </w:trPr>
        <w:tc>
          <w:tcPr>
            <w:tcW w:w="908" w:type="dxa"/>
            <w:tcBorders>
              <w:top w:val="nil"/>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nil"/>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92000.62300 </w:t>
            </w:r>
          </w:p>
        </w:tc>
        <w:tc>
          <w:tcPr>
            <w:tcW w:w="5180" w:type="dxa"/>
            <w:tcBorders>
              <w:top w:val="nil"/>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sz w:val="18"/>
              </w:rPr>
              <w:t xml:space="preserve">Proyecto Aire acondicionado y Microfonía digital Salón de Plenos </w:t>
            </w:r>
          </w:p>
        </w:tc>
        <w:tc>
          <w:tcPr>
            <w:tcW w:w="1191" w:type="dxa"/>
            <w:tcBorders>
              <w:top w:val="nil"/>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54.564,65 </w:t>
            </w:r>
          </w:p>
        </w:tc>
      </w:tr>
      <w:tr w:rsidR="00DA121A">
        <w:trPr>
          <w:trHeight w:val="415"/>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49200.62301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Proyecto Servidor CPD del DALIX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10.023,18 </w:t>
            </w:r>
          </w:p>
        </w:tc>
      </w:tr>
      <w:tr w:rsidR="00DA121A">
        <w:trPr>
          <w:trHeight w:val="566"/>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45900.61901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OBRAS DE ACCESIBILIDAD AULAS URBANIZACION LOS MENCEYES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73.949,71 </w:t>
            </w:r>
          </w:p>
        </w:tc>
      </w:tr>
      <w:tr w:rsidR="00DA121A">
        <w:trPr>
          <w:trHeight w:val="572"/>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33400.61901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sz w:val="18"/>
              </w:rPr>
              <w:t xml:space="preserve">IMPERMEABILIZACIÓN Y ACONDICIONAMIENTO EXTERIOR DE LA CASA D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16.047,86 </w:t>
            </w:r>
          </w:p>
        </w:tc>
      </w:tr>
      <w:tr w:rsidR="00DA121A">
        <w:trPr>
          <w:trHeight w:val="552"/>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33400.61902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ACTUACIONES DE PROTECCIÓN FRENTE A DESPRENDIMIENTOS EN EL CE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39.112,37 </w:t>
            </w:r>
          </w:p>
        </w:tc>
      </w:tr>
      <w:tr w:rsidR="00DA121A">
        <w:trPr>
          <w:trHeight w:val="516"/>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15100.60910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OBRA PLAZA PLAYA LA VIUDA EQUIPAMIENTO DEPORTIVO Y ASISTENCIAL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783.913,06 </w:t>
            </w:r>
          </w:p>
        </w:tc>
      </w:tr>
      <w:tr w:rsidR="00DA121A">
        <w:trPr>
          <w:trHeight w:val="432"/>
        </w:trPr>
        <w:tc>
          <w:tcPr>
            <w:tcW w:w="2667" w:type="dxa"/>
            <w:gridSpan w:val="2"/>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5180" w:type="dxa"/>
            <w:tcBorders>
              <w:top w:val="single" w:sz="4" w:space="0" w:color="000000"/>
              <w:left w:val="nil"/>
              <w:bottom w:val="single" w:sz="4" w:space="0" w:color="000000"/>
              <w:right w:val="single" w:sz="4" w:space="0" w:color="000000"/>
            </w:tcBorders>
            <w:vAlign w:val="center"/>
          </w:tcPr>
          <w:p w:rsidR="00DA121A" w:rsidRDefault="00904DD6">
            <w:pPr>
              <w:spacing w:after="0" w:line="259" w:lineRule="auto"/>
              <w:ind w:left="0" w:right="48" w:firstLine="0"/>
              <w:jc w:val="right"/>
            </w:pPr>
            <w:r>
              <w:rPr>
                <w:b/>
                <w:sz w:val="18"/>
              </w:rPr>
              <w:t xml:space="preserve">Total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1" w:firstLine="0"/>
            </w:pPr>
            <w:r>
              <w:rPr>
                <w:b/>
                <w:sz w:val="18"/>
              </w:rPr>
              <w:t xml:space="preserve">1.859.520,87 </w:t>
            </w:r>
          </w:p>
        </w:tc>
      </w:tr>
    </w:tbl>
    <w:p w:rsidR="00DA121A" w:rsidRDefault="00904DD6">
      <w:pPr>
        <w:spacing w:after="0" w:line="259" w:lineRule="auto"/>
        <w:ind w:left="3092" w:firstLine="0"/>
        <w:jc w:val="left"/>
      </w:pPr>
      <w:r>
        <w:rPr>
          <w:b/>
          <w:sz w:val="18"/>
        </w:rPr>
        <w:t xml:space="preserve"> </w:t>
      </w:r>
    </w:p>
    <w:p w:rsidR="00DA121A" w:rsidRDefault="00904DD6">
      <w:pPr>
        <w:spacing w:after="0" w:line="259" w:lineRule="auto"/>
        <w:ind w:left="3092" w:firstLine="0"/>
        <w:jc w:val="left"/>
      </w:pPr>
      <w:r>
        <w:rPr>
          <w:b/>
          <w:sz w:val="18"/>
        </w:rPr>
        <w:t xml:space="preserve">               </w:t>
      </w:r>
    </w:p>
    <w:p w:rsidR="00DA121A" w:rsidRDefault="00904DD6">
      <w:pPr>
        <w:spacing w:after="0" w:line="259" w:lineRule="auto"/>
        <w:ind w:left="1193" w:firstLine="0"/>
        <w:jc w:val="left"/>
      </w:pPr>
      <w:r>
        <w:rPr>
          <w:b/>
          <w:sz w:val="18"/>
        </w:rPr>
        <w:t xml:space="preserve"> </w:t>
      </w:r>
    </w:p>
    <w:p w:rsidR="00DA121A" w:rsidRDefault="00904DD6">
      <w:pPr>
        <w:spacing w:after="0" w:line="259" w:lineRule="auto"/>
        <w:ind w:left="3092" w:firstLine="0"/>
        <w:jc w:val="left"/>
      </w:pPr>
      <w:r>
        <w:rPr>
          <w:b/>
          <w:sz w:val="18"/>
        </w:rPr>
        <w:t xml:space="preserve"> </w:t>
      </w:r>
    </w:p>
    <w:p w:rsidR="00DA121A" w:rsidRDefault="00904DD6">
      <w:pPr>
        <w:spacing w:after="0" w:line="259" w:lineRule="auto"/>
        <w:ind w:left="1193" w:firstLine="0"/>
        <w:jc w:val="left"/>
      </w:pPr>
      <w:r>
        <w:rPr>
          <w:b/>
          <w:sz w:val="18"/>
        </w:rPr>
        <w:t xml:space="preserve"> </w:t>
      </w:r>
    </w:p>
    <w:p w:rsidR="00DA121A" w:rsidRDefault="00904DD6">
      <w:pPr>
        <w:tabs>
          <w:tab w:val="center" w:pos="2144"/>
          <w:tab w:val="center" w:pos="3997"/>
        </w:tabs>
        <w:spacing w:after="0" w:line="259" w:lineRule="auto"/>
        <w:ind w:left="0" w:firstLine="0"/>
        <w:jc w:val="left"/>
      </w:pPr>
      <w:r>
        <w:rPr>
          <w:rFonts w:ascii="Calibri" w:eastAsia="Calibri" w:hAnsi="Calibri" w:cs="Calibri"/>
        </w:rPr>
        <w:tab/>
      </w:r>
      <w:r>
        <w:rPr>
          <w:sz w:val="18"/>
        </w:rPr>
        <w:t xml:space="preserve"> </w:t>
      </w:r>
      <w:r>
        <w:rPr>
          <w:sz w:val="18"/>
        </w:rPr>
        <w:tab/>
      </w:r>
      <w:r>
        <w:rPr>
          <w:b/>
          <w:sz w:val="18"/>
        </w:rPr>
        <w:t xml:space="preserve">   Estado de ingresos </w:t>
      </w:r>
    </w:p>
    <w:p w:rsidR="00DA121A" w:rsidRDefault="00904DD6">
      <w:pPr>
        <w:spacing w:after="0" w:line="259" w:lineRule="auto"/>
        <w:ind w:left="2144" w:firstLine="0"/>
        <w:jc w:val="left"/>
      </w:pPr>
      <w:r>
        <w:rPr>
          <w:sz w:val="18"/>
        </w:rPr>
        <w:t xml:space="preserve"> </w:t>
      </w:r>
      <w:r>
        <w:rPr>
          <w:sz w:val="18"/>
        </w:rPr>
        <w:tab/>
      </w:r>
      <w:r>
        <w:rPr>
          <w:b/>
          <w:sz w:val="18"/>
        </w:rPr>
        <w:t xml:space="preserve"> </w:t>
      </w:r>
      <w:r>
        <w:rPr>
          <w:b/>
          <w:sz w:val="18"/>
        </w:rPr>
        <w:tab/>
        <w:t xml:space="preserve"> </w:t>
      </w:r>
    </w:p>
    <w:tbl>
      <w:tblPr>
        <w:tblStyle w:val="TableGrid"/>
        <w:tblW w:w="9037" w:type="dxa"/>
        <w:tblInd w:w="354" w:type="dxa"/>
        <w:tblCellMar>
          <w:top w:w="5" w:type="dxa"/>
          <w:left w:w="0" w:type="dxa"/>
          <w:bottom w:w="8" w:type="dxa"/>
          <w:right w:w="18" w:type="dxa"/>
        </w:tblCellMar>
        <w:tblLook w:val="04A0" w:firstRow="1" w:lastRow="0" w:firstColumn="1" w:lastColumn="0" w:noHBand="0" w:noVBand="1"/>
      </w:tblPr>
      <w:tblGrid>
        <w:gridCol w:w="2667"/>
        <w:gridCol w:w="4681"/>
        <w:gridCol w:w="498"/>
        <w:gridCol w:w="1191"/>
      </w:tblGrid>
      <w:tr w:rsidR="00DA121A">
        <w:trPr>
          <w:trHeight w:val="215"/>
        </w:trPr>
        <w:tc>
          <w:tcPr>
            <w:tcW w:w="2667"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2" w:firstLine="0"/>
              <w:jc w:val="center"/>
            </w:pPr>
            <w:r>
              <w:rPr>
                <w:b/>
                <w:sz w:val="18"/>
              </w:rPr>
              <w:t xml:space="preserve">Aplicación  </w:t>
            </w:r>
          </w:p>
        </w:tc>
        <w:tc>
          <w:tcPr>
            <w:tcW w:w="4682" w:type="dxa"/>
            <w:tcBorders>
              <w:top w:val="single" w:sz="4" w:space="0" w:color="000000"/>
              <w:left w:val="single" w:sz="4" w:space="0" w:color="000000"/>
              <w:bottom w:val="single" w:sz="4" w:space="0" w:color="000000"/>
              <w:right w:val="nil"/>
            </w:tcBorders>
            <w:shd w:val="clear" w:color="auto" w:fill="BFBFBF"/>
          </w:tcPr>
          <w:p w:rsidR="00DA121A" w:rsidRDefault="00904DD6">
            <w:pPr>
              <w:spacing w:after="0" w:line="259" w:lineRule="auto"/>
              <w:ind w:left="71" w:firstLine="0"/>
              <w:jc w:val="left"/>
            </w:pPr>
            <w:r>
              <w:rPr>
                <w:b/>
                <w:sz w:val="18"/>
              </w:rPr>
              <w:t xml:space="preserve">Denominación  </w:t>
            </w:r>
          </w:p>
        </w:tc>
        <w:tc>
          <w:tcPr>
            <w:tcW w:w="498" w:type="dxa"/>
            <w:tcBorders>
              <w:top w:val="single" w:sz="4" w:space="0" w:color="000000"/>
              <w:left w:val="nil"/>
              <w:bottom w:val="single" w:sz="4" w:space="0" w:color="000000"/>
              <w:right w:val="single" w:sz="4" w:space="0" w:color="000000"/>
            </w:tcBorders>
            <w:shd w:val="clear" w:color="auto" w:fill="BFBFBF"/>
          </w:tcPr>
          <w:p w:rsidR="00DA121A" w:rsidRDefault="00DA121A">
            <w:pPr>
              <w:spacing w:after="160" w:line="259" w:lineRule="auto"/>
              <w:ind w:left="0" w:firstLine="0"/>
              <w:jc w:val="left"/>
            </w:pPr>
          </w:p>
        </w:tc>
        <w:tc>
          <w:tcPr>
            <w:tcW w:w="1191"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71" w:firstLine="0"/>
              <w:jc w:val="left"/>
            </w:pPr>
            <w:r>
              <w:rPr>
                <w:b/>
                <w:sz w:val="18"/>
              </w:rPr>
              <w:t xml:space="preserve">Importe </w:t>
            </w:r>
          </w:p>
        </w:tc>
      </w:tr>
      <w:tr w:rsidR="00DA121A">
        <w:trPr>
          <w:trHeight w:val="345"/>
        </w:trPr>
        <w:tc>
          <w:tcPr>
            <w:tcW w:w="26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7" w:firstLine="0"/>
              <w:jc w:val="center"/>
            </w:pPr>
            <w:r>
              <w:rPr>
                <w:sz w:val="18"/>
              </w:rPr>
              <w:t xml:space="preserve">87000 </w:t>
            </w:r>
          </w:p>
        </w:tc>
        <w:tc>
          <w:tcPr>
            <w:tcW w:w="4682" w:type="dxa"/>
            <w:tcBorders>
              <w:top w:val="single" w:sz="4" w:space="0" w:color="000000"/>
              <w:left w:val="single" w:sz="4" w:space="0" w:color="000000"/>
              <w:bottom w:val="single" w:sz="4" w:space="0" w:color="000000"/>
              <w:right w:val="nil"/>
            </w:tcBorders>
            <w:vAlign w:val="bottom"/>
          </w:tcPr>
          <w:p w:rsidR="00DA121A" w:rsidRDefault="00904DD6">
            <w:pPr>
              <w:spacing w:after="0" w:line="259" w:lineRule="auto"/>
              <w:ind w:left="71" w:firstLine="0"/>
              <w:jc w:val="left"/>
            </w:pPr>
            <w:r>
              <w:rPr>
                <w:sz w:val="18"/>
              </w:rPr>
              <w:t xml:space="preserve">Remanente de Tesorería para gastos generales </w:t>
            </w:r>
          </w:p>
        </w:tc>
        <w:tc>
          <w:tcPr>
            <w:tcW w:w="498"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71" w:firstLine="0"/>
            </w:pPr>
            <w:r>
              <w:rPr>
                <w:sz w:val="18"/>
              </w:rPr>
              <w:t xml:space="preserve">1.859.520,87 </w:t>
            </w:r>
          </w:p>
        </w:tc>
      </w:tr>
      <w:tr w:rsidR="00DA121A">
        <w:trPr>
          <w:trHeight w:val="278"/>
        </w:trPr>
        <w:tc>
          <w:tcPr>
            <w:tcW w:w="2667" w:type="dxa"/>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4682" w:type="dxa"/>
            <w:tcBorders>
              <w:top w:val="single" w:sz="4" w:space="0" w:color="000000"/>
              <w:left w:val="nil"/>
              <w:bottom w:val="single" w:sz="4" w:space="0" w:color="000000"/>
              <w:right w:val="nil"/>
            </w:tcBorders>
          </w:tcPr>
          <w:p w:rsidR="00DA121A" w:rsidRDefault="00DA121A">
            <w:pPr>
              <w:spacing w:after="160" w:line="259" w:lineRule="auto"/>
              <w:ind w:left="0" w:firstLine="0"/>
              <w:jc w:val="left"/>
            </w:pPr>
          </w:p>
        </w:tc>
        <w:tc>
          <w:tcPr>
            <w:tcW w:w="498"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pPr>
            <w:r>
              <w:rPr>
                <w:b/>
                <w:sz w:val="18"/>
              </w:rPr>
              <w:t xml:space="preserve">Total </w:t>
            </w:r>
          </w:p>
        </w:tc>
        <w:tc>
          <w:tcPr>
            <w:tcW w:w="11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1" w:firstLine="0"/>
            </w:pPr>
            <w:r>
              <w:rPr>
                <w:b/>
                <w:sz w:val="18"/>
              </w:rPr>
              <w:t xml:space="preserve">1.859.520,87 </w:t>
            </w:r>
          </w:p>
        </w:tc>
      </w:tr>
    </w:tbl>
    <w:p w:rsidR="00DA121A" w:rsidRDefault="00904DD6">
      <w:pPr>
        <w:spacing w:after="65" w:line="259" w:lineRule="auto"/>
        <w:ind w:left="279"/>
        <w:jc w:val="left"/>
      </w:pPr>
      <w:r>
        <w:rPr>
          <w:sz w:val="18"/>
        </w:rPr>
        <w:t xml:space="preserve">.” </w:t>
      </w:r>
    </w:p>
    <w:p w:rsidR="00DA121A" w:rsidRDefault="00904DD6">
      <w:pPr>
        <w:spacing w:after="176" w:line="259" w:lineRule="auto"/>
        <w:ind w:left="992" w:firstLine="0"/>
        <w:jc w:val="left"/>
      </w:pPr>
      <w:r>
        <w:rPr>
          <w:rFonts w:ascii="Times New Roman" w:eastAsia="Times New Roman" w:hAnsi="Times New Roman" w:cs="Times New Roman"/>
          <w:sz w:val="20"/>
        </w:rPr>
        <w:t xml:space="preserve"> </w:t>
      </w:r>
    </w:p>
    <w:p w:rsidR="00DA121A" w:rsidRDefault="00904DD6">
      <w:pPr>
        <w:spacing w:after="163"/>
        <w:ind w:left="278" w:right="146" w:firstLine="708"/>
      </w:pPr>
      <w:r>
        <w:t xml:space="preserve">Vista las Memorias, informes técnicos, proyectos de obra y presupuestos, de las actuaciones </w:t>
      </w:r>
      <w:r>
        <w:t>que se quieren llevar a cabo, en la que se justifican la necesidad y urgencia de la modificación presupuestaria, requisito que se establece en la base 9ª del Presupuesto General, y siendo un gasto específico y determinado, ante la imposibilidad de demorarl</w:t>
      </w:r>
      <w:r>
        <w:t xml:space="preserve">o a ejercicios posteriores, y no habiendo crédito suficiente en las aplicaciones presupuestarias. </w:t>
      </w:r>
    </w:p>
    <w:p w:rsidR="00DA121A" w:rsidRDefault="00904DD6">
      <w:pPr>
        <w:spacing w:after="34"/>
        <w:ind w:left="288" w:right="146"/>
      </w:pPr>
      <w:r>
        <w:rPr>
          <w:b/>
        </w:rPr>
        <w:t xml:space="preserve">PRIMERO. </w:t>
      </w:r>
      <w:r>
        <w:t>Visto Acuerdo del Congreso de los Diputados del 22 de septiembre de 2022por el que el Congreso de los Diputados, a petición del Gobierno, ha respald</w:t>
      </w:r>
      <w:r>
        <w:t>ado que en España se mantienen las condiciones de excepcionalidad que aconsejan y justifican mantener la suspensión de las reglas fiscales, en línea con la recomendación de la Comisión Europea, que también ha decidido extender la cláusula de salvaguarda de</w:t>
      </w:r>
      <w:r>
        <w:t>l Pacto de Estabilidad y Crecimiento ante la crisis desatada por el encarecimiento de precios derivados de la invasión rusa de Ucrania.</w:t>
      </w:r>
      <w:r>
        <w:rPr>
          <w:sz w:val="24"/>
        </w:rPr>
        <w:t xml:space="preserve"> </w:t>
      </w:r>
    </w:p>
    <w:p w:rsidR="00DA121A" w:rsidRDefault="00904DD6">
      <w:pPr>
        <w:spacing w:after="36"/>
        <w:ind w:left="288" w:right="146"/>
      </w:pPr>
      <w:r>
        <w:t xml:space="preserve"> Atendiendo al acuerdo del Consejo de Ministros de 26 de julio de 2022, mediante el que se acuerda: “</w:t>
      </w:r>
      <w:r>
        <w:rPr>
          <w:b/>
        </w:rPr>
        <w:t xml:space="preserve">Suspensión de las </w:t>
      </w:r>
      <w:r>
        <w:rPr>
          <w:b/>
        </w:rPr>
        <w:t xml:space="preserve">reglas fiscales: </w:t>
      </w:r>
      <w:r>
        <w:t xml:space="preserve">El acuerdo de Consejo de Ministros también incluye el mantenimiento de la suspensión de las reglas fiscales. Una medida que ya se ha realizado en años anteriores y va en línea con la decisión de la Comisión Europea de mantener la cláusula </w:t>
      </w:r>
      <w:r>
        <w:t xml:space="preserve">de salvaguarda del Pacto de Estabilidad y Crecimiento también para 2023. Esto permite dotar a los países de mayor flexibilidad para afrontar la crisis derivada de la invasión de Ucrania. </w:t>
      </w:r>
      <w:r>
        <w:rPr>
          <w:rFonts w:ascii="Times New Roman" w:eastAsia="Times New Roman" w:hAnsi="Times New Roman" w:cs="Times New Roman"/>
          <w:sz w:val="24"/>
        </w:rPr>
        <w:t xml:space="preserve"> </w:t>
      </w:r>
    </w:p>
    <w:p w:rsidR="00DA121A" w:rsidRDefault="00904DD6">
      <w:pPr>
        <w:ind w:left="288" w:right="146"/>
      </w:pPr>
      <w:r>
        <w:t>Por tanto, el Gobierno solicitará de nuevo al Congreso de los Diput</w:t>
      </w:r>
      <w:r>
        <w:t xml:space="preserve">ados que aprecie si en España concurren las circunstancias extraordinarias previstas en el artículo 135.4 de la Constitución Española y 11.3 de la Ley Orgánica de Estabilidad Presupuestaria y Sostenibilidad Financiera. Es el mismo trámite que se siguió en </w:t>
      </w:r>
      <w:r>
        <w:t xml:space="preserve">años anteriores para suspender las reglas fiscales nacionales.   </w:t>
      </w:r>
    </w:p>
    <w:p w:rsidR="00DA121A" w:rsidRDefault="00904DD6">
      <w:pPr>
        <w:ind w:left="288" w:right="146"/>
      </w:pPr>
      <w:r>
        <w:t xml:space="preserve">En cualquier caso, la suspensión de las reglas fiscales no implica abandonar la responsabilidad fiscal, sino que el compromiso con la reducción del déficit público se mantiene con una senda </w:t>
      </w:r>
      <w:r>
        <w:t xml:space="preserve">descendente que llevará al déficit por debajo del 3% en 2025.” </w:t>
      </w:r>
    </w:p>
    <w:p w:rsidR="00DA121A" w:rsidRDefault="00904DD6">
      <w:pPr>
        <w:ind w:left="288" w:right="146"/>
      </w:pPr>
      <w:r>
        <w:t xml:space="preserve"> La suspensión de las reglas fiscales ha supuesto que el superávit no tenga que dedicarse a amortizar deuda, aun siendo posible realizar esta amortización si la EELL lo considera. La regla del</w:t>
      </w:r>
      <w:r>
        <w:t xml:space="preserve"> artículo 32 de la LOEPSF puede no aplicarse a partir del momento en que se han suspendido las reglas fiscales, ya que estas son el fundamento de aquella regla. Regla que conecta con el objetivo de estabilidad presupuestaria y con el de deuda pública.  </w:t>
      </w:r>
    </w:p>
    <w:p w:rsidR="00DA121A" w:rsidRDefault="00904DD6">
      <w:pPr>
        <w:spacing w:after="0" w:line="259" w:lineRule="auto"/>
        <w:ind w:left="992" w:firstLine="0"/>
        <w:jc w:val="left"/>
      </w:pPr>
      <w:r>
        <w:t xml:space="preserve"> </w:t>
      </w:r>
    </w:p>
    <w:p w:rsidR="00DA121A" w:rsidRDefault="00904DD6">
      <w:pPr>
        <w:ind w:left="288" w:right="146"/>
      </w:pPr>
      <w:r>
        <w:t xml:space="preserve"> Al no ser aplicable la regla general, tampoco es necesaria la regla especial de destinar el superávit a inversiones financieramente sostenibles, salvo las excepciones siguientes, o mediante norma posterior que prorrogue íntegramente la DA 6ª de la LOEPSF.</w:t>
      </w:r>
      <w:r>
        <w:t xml:space="preserve"> </w:t>
      </w:r>
    </w:p>
    <w:p w:rsidR="00DA121A" w:rsidRDefault="00904DD6">
      <w:pPr>
        <w:spacing w:after="59" w:line="259" w:lineRule="auto"/>
        <w:ind w:left="284" w:firstLine="0"/>
        <w:jc w:val="left"/>
      </w:pPr>
      <w:r>
        <w:t xml:space="preserve"> </w:t>
      </w:r>
      <w:r>
        <w:tab/>
        <w:t xml:space="preserve"> </w:t>
      </w:r>
    </w:p>
    <w:p w:rsidR="00DA121A" w:rsidRDefault="00904DD6">
      <w:pPr>
        <w:spacing w:after="30"/>
        <w:ind w:left="288" w:right="146"/>
      </w:pPr>
      <w:r>
        <w:rPr>
          <w:b/>
        </w:rPr>
        <w:t>SEGUNDO</w:t>
      </w:r>
      <w:r>
        <w:t>. La legislación aplicable es la siguiente:</w:t>
      </w:r>
      <w:r>
        <w:rPr>
          <w:rFonts w:ascii="Times New Roman" w:eastAsia="Times New Roman" w:hAnsi="Times New Roman" w:cs="Times New Roman"/>
          <w:sz w:val="24"/>
        </w:rPr>
        <w:t xml:space="preserve"> </w:t>
      </w:r>
    </w:p>
    <w:p w:rsidR="00DA121A" w:rsidRDefault="00904DD6">
      <w:pPr>
        <w:numPr>
          <w:ilvl w:val="0"/>
          <w:numId w:val="26"/>
        </w:numPr>
        <w:spacing w:after="42" w:line="259" w:lineRule="auto"/>
        <w:ind w:right="146" w:hanging="360"/>
      </w:pPr>
      <w:r>
        <w:t xml:space="preserve">Los artículos 169, 170 y 172 a 177 del Real Decreto Legislativo 2/2004, de 5 de marzo, por el que se aprueba el Texto Refundido de la Ley Reguladora de las Haciendas Locales.  </w:t>
      </w:r>
    </w:p>
    <w:p w:rsidR="00DA121A" w:rsidRDefault="00904DD6">
      <w:pPr>
        <w:numPr>
          <w:ilvl w:val="0"/>
          <w:numId w:val="26"/>
        </w:numPr>
        <w:spacing w:after="56" w:line="242" w:lineRule="auto"/>
        <w:ind w:right="146" w:hanging="360"/>
      </w:pPr>
      <w:r>
        <w:t>Los artículos 34 a 38</w:t>
      </w:r>
      <w:r>
        <w:t xml:space="preserve"> del Real Decreto 500/1990, de 20 de abril, por el que se desarrolla el Capítulo I, del Título VI, de la Ley 39/1988, de 28 de diciembre, Reguladora de las Haciendas Locales, en materia de presupuestos. </w:t>
      </w:r>
    </w:p>
    <w:p w:rsidR="00DA121A" w:rsidRDefault="00904DD6">
      <w:pPr>
        <w:numPr>
          <w:ilvl w:val="0"/>
          <w:numId w:val="26"/>
        </w:numPr>
        <w:spacing w:after="54"/>
        <w:ind w:right="146" w:hanging="360"/>
      </w:pPr>
      <w:r>
        <w:t xml:space="preserve">Los artículos 3, 4, 11, 12, 13, 21, 23 y 32 de la Ley Orgánica 2/2012, de 27 de abril, de Estabilidad Presupuestaria y Sostenibilidad Financiera.  </w:t>
      </w:r>
    </w:p>
    <w:p w:rsidR="00DA121A" w:rsidRDefault="00904DD6">
      <w:pPr>
        <w:numPr>
          <w:ilvl w:val="0"/>
          <w:numId w:val="26"/>
        </w:numPr>
        <w:spacing w:after="52"/>
        <w:ind w:right="146" w:hanging="360"/>
      </w:pPr>
      <w:r>
        <w:t>El artículo 16.2 del Real Decreto 1463/2007, de 2 de noviembre, por el que se aprueba el Reglamento de Desar</w:t>
      </w:r>
      <w:r>
        <w:t xml:space="preserve">rollo de la Ley 18/2001, de 12 de noviembre, de Estabilidad Presupuestaria, en su Aplicación a las Entidades Locales. </w:t>
      </w:r>
    </w:p>
    <w:p w:rsidR="00DA121A" w:rsidRDefault="00904DD6">
      <w:pPr>
        <w:numPr>
          <w:ilvl w:val="0"/>
          <w:numId w:val="26"/>
        </w:numPr>
        <w:spacing w:after="54"/>
        <w:ind w:right="146" w:hanging="360"/>
      </w:pPr>
      <w:r>
        <w:t xml:space="preserve">El artículo 22.2.e) de la Ley 7/1985, de 2 de abril, Reguladora de las Bases del Régimen Local. </w:t>
      </w:r>
    </w:p>
    <w:p w:rsidR="00DA121A" w:rsidRDefault="00904DD6">
      <w:pPr>
        <w:numPr>
          <w:ilvl w:val="0"/>
          <w:numId w:val="26"/>
        </w:numPr>
        <w:spacing w:after="90"/>
        <w:ind w:right="146" w:hanging="360"/>
      </w:pPr>
      <w:r>
        <w:t>La Disposición Adicional 6.ª de la Ley O</w:t>
      </w:r>
      <w:r>
        <w:t xml:space="preserve">rgánica 2/2012, de 27 de abril, de Estabilidad Presupuestaria y Sostenibilidad Financiera. </w:t>
      </w:r>
    </w:p>
    <w:p w:rsidR="00DA121A" w:rsidRDefault="00904DD6">
      <w:pPr>
        <w:numPr>
          <w:ilvl w:val="0"/>
          <w:numId w:val="26"/>
        </w:numPr>
        <w:spacing w:after="35"/>
        <w:ind w:right="146" w:hanging="360"/>
      </w:pPr>
      <w:r>
        <w:t>La Orden EHA/3565/2008, de 3 de diciembre, por la que se aprueba la estructura de presupuestos de las entidades locales. - Resolución de 14 de septiembre de 2009, d</w:t>
      </w:r>
      <w:r>
        <w:t>e la Dirección General de Coordinación Financiera con las Comunidades Autónomas y con las Entidades Locales, por la que se Dictan Medidas para el Desarrollo de la Orden EHA/3565/2008, de 3 de diciembre, por la que se Aprueba la Estructura de los Presupuest</w:t>
      </w:r>
      <w:r>
        <w:t>os de las Entidades Locales</w:t>
      </w:r>
      <w:r>
        <w:rPr>
          <w:b/>
        </w:rPr>
        <w:t>.</w:t>
      </w:r>
      <w:r>
        <w:rPr>
          <w:rFonts w:ascii="Times New Roman" w:eastAsia="Times New Roman" w:hAnsi="Times New Roman" w:cs="Times New Roman"/>
          <w:sz w:val="24"/>
        </w:rPr>
        <w:t xml:space="preserve"> </w:t>
      </w:r>
    </w:p>
    <w:p w:rsidR="00DA121A" w:rsidRDefault="00904DD6">
      <w:pPr>
        <w:numPr>
          <w:ilvl w:val="0"/>
          <w:numId w:val="26"/>
        </w:numPr>
        <w:spacing w:after="54"/>
        <w:ind w:right="146" w:hanging="360"/>
      </w:pPr>
      <w:r>
        <w:t xml:space="preserve">La Disposición Adicional 16.ª del Texto Refundido de la Ley Reguladora de las Haciendas Locales.  </w:t>
      </w:r>
    </w:p>
    <w:p w:rsidR="00DA121A" w:rsidRDefault="00904DD6">
      <w:pPr>
        <w:numPr>
          <w:ilvl w:val="0"/>
          <w:numId w:val="26"/>
        </w:numPr>
        <w:ind w:right="146" w:hanging="360"/>
      </w:pPr>
      <w:r>
        <w:t xml:space="preserve">Acuerdo del Congreso de los Diputados del 13 de octubre de 2020, relativo al Objetivo de </w:t>
      </w:r>
    </w:p>
    <w:p w:rsidR="00DA121A" w:rsidRDefault="00904DD6">
      <w:pPr>
        <w:spacing w:line="250" w:lineRule="auto"/>
        <w:ind w:left="10" w:right="146"/>
        <w:jc w:val="right"/>
      </w:pPr>
      <w:r>
        <w:t>Estabilidad Presupuestaria, según acu</w:t>
      </w:r>
      <w:r>
        <w:t xml:space="preserve">erdo del Consejo de Ministros de 6 de octubre de </w:t>
      </w:r>
    </w:p>
    <w:p w:rsidR="00DA121A" w:rsidRDefault="00904DD6">
      <w:pPr>
        <w:spacing w:after="50"/>
        <w:ind w:left="1014" w:right="146"/>
      </w:pPr>
      <w:r>
        <w:t>2020 de “Someter a la deliberación del Pleno, a los efectos previstos en los artículos 135.4 de la Constitución y 11.3 de la Ley Orgánica 2/2012, de 27 de abril, de Estabilidad Presupuestaria y Sostenibilid</w:t>
      </w:r>
      <w:r>
        <w:t xml:space="preserve">ad Financiera y publicar en el Boletín Oficial de las Cortes Generales.” </w:t>
      </w:r>
    </w:p>
    <w:p w:rsidR="00DA121A" w:rsidRDefault="00904DD6">
      <w:pPr>
        <w:spacing w:after="0" w:line="259" w:lineRule="auto"/>
        <w:ind w:left="284" w:firstLine="0"/>
        <w:jc w:val="left"/>
      </w:pPr>
      <w:r>
        <w:t xml:space="preserve"> </w:t>
      </w:r>
    </w:p>
    <w:p w:rsidR="00DA121A" w:rsidRDefault="00904DD6">
      <w:pPr>
        <w:ind w:left="288" w:right="146"/>
      </w:pPr>
      <w:r>
        <w:rPr>
          <w:b/>
        </w:rPr>
        <w:t>TERCERO</w:t>
      </w:r>
      <w:r>
        <w:t>: Considerando que el artículo 177 del Real Decreto Legislativo 2/2004, de 5 de marzo, por el que se aprueba el texto refundido de la Ley Reguladora de las Haciendas Locales</w:t>
      </w:r>
      <w:r>
        <w:t>, regula los expedientes de modificación presupuestaria mediante créditos extraordinarios y suplementos de crédito, al señalar que:</w:t>
      </w:r>
      <w:r>
        <w:rPr>
          <w:rFonts w:ascii="Times New Roman" w:eastAsia="Times New Roman" w:hAnsi="Times New Roman" w:cs="Times New Roman"/>
          <w:sz w:val="24"/>
        </w:rPr>
        <w:t xml:space="preserve"> </w:t>
      </w:r>
    </w:p>
    <w:p w:rsidR="00DA121A" w:rsidRDefault="00904DD6">
      <w:pPr>
        <w:numPr>
          <w:ilvl w:val="0"/>
          <w:numId w:val="27"/>
        </w:numPr>
        <w:ind w:right="146" w:hanging="360"/>
      </w:pPr>
      <w:r>
        <w:t>Cuando haya de realizarse algún gasto que no pueda demorarse hasta el ejercicio siguiente, y sea insuficiente en el presupu</w:t>
      </w:r>
      <w:r>
        <w:t xml:space="preserve">esto de la corporación el crédito consignado, el presidente de la corporación ordenará la incoación del expediente de suplemento de crédito.  </w:t>
      </w:r>
    </w:p>
    <w:p w:rsidR="00DA121A" w:rsidRDefault="00904DD6">
      <w:pPr>
        <w:numPr>
          <w:ilvl w:val="0"/>
          <w:numId w:val="27"/>
        </w:numPr>
        <w:ind w:right="146" w:hanging="360"/>
      </w:pPr>
      <w:r>
        <w:t xml:space="preserve">El expediente, que habrá de ser previamente informado por la Intervención, se someterá a la aprobación del Pleno </w:t>
      </w:r>
      <w:r>
        <w:t xml:space="preserve">de la corporación, con sujeción a los mismos trámites y requisitos que los presupuestos. Serán, asimismo, de aplicación, las normas sobre información, reclamación y publicidad de los presupuestos a que se refiere el artículo 169 de esta ley.  </w:t>
      </w:r>
    </w:p>
    <w:p w:rsidR="00DA121A" w:rsidRDefault="00904DD6">
      <w:pPr>
        <w:numPr>
          <w:ilvl w:val="0"/>
          <w:numId w:val="27"/>
        </w:numPr>
        <w:ind w:right="146" w:hanging="360"/>
      </w:pPr>
      <w:r>
        <w:t xml:space="preserve">El expediente deberá especificar la concreta partida presupuestaria a incrementar y el medio o recurso que ha de financiar el aumento que se propone. </w:t>
      </w:r>
    </w:p>
    <w:p w:rsidR="00DA121A" w:rsidRDefault="00904DD6">
      <w:pPr>
        <w:numPr>
          <w:ilvl w:val="0"/>
          <w:numId w:val="27"/>
        </w:numPr>
        <w:ind w:right="146" w:hanging="360"/>
      </w:pPr>
      <w:r>
        <w:t>Dicho aumento se financiará con cargo al remanente líquido de tesorería, con nuevos o mayores ingresos recaudados sobre los totales previstos en el presupuesto corriente, y mediante anulaciones o bajas de créditos de gastos de otras partidas del presupuest</w:t>
      </w:r>
      <w:r>
        <w:t xml:space="preserve">o vigente no comprometidos, cuyas dotaciones se estimen reducibles sin perturbación del respectivo servicio. En el expediente se acreditará que los ingresos previstos en el presupuesto vengan efectuándose con normalidad, salvo que aquéllos tengan carácter </w:t>
      </w:r>
      <w:r>
        <w:t xml:space="preserve">finalista.  </w:t>
      </w:r>
    </w:p>
    <w:p w:rsidR="00DA121A" w:rsidRDefault="00904DD6">
      <w:pPr>
        <w:spacing w:after="0" w:line="259" w:lineRule="auto"/>
        <w:ind w:left="284" w:firstLine="0"/>
        <w:jc w:val="left"/>
      </w:pPr>
      <w:r>
        <w:rPr>
          <w:b/>
        </w:rPr>
        <w:t xml:space="preserve"> </w:t>
      </w:r>
    </w:p>
    <w:p w:rsidR="00DA121A" w:rsidRDefault="00904DD6">
      <w:pPr>
        <w:ind w:left="288" w:right="146"/>
      </w:pPr>
      <w:r>
        <w:rPr>
          <w:b/>
        </w:rPr>
        <w:t>CUARTO:</w:t>
      </w:r>
      <w:r>
        <w:t xml:space="preserve"> Vista la Liquidación del Presupuesto general 2022, aprobada por </w:t>
      </w:r>
      <w:r>
        <w:rPr>
          <w:b/>
        </w:rPr>
        <w:t xml:space="preserve">decreto 550/2023 </w:t>
      </w:r>
      <w:r>
        <w:t xml:space="preserve">de 1/03/2023, donde se aprueba un Remanente de Tesorería para gastos Generales (RTGG) por un importe de </w:t>
      </w:r>
      <w:r>
        <w:rPr>
          <w:b/>
        </w:rPr>
        <w:t>23.408.195,38€</w:t>
      </w:r>
      <w:r>
        <w:t>.</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 Visto Expediente 2209/2023 d</w:t>
      </w:r>
      <w:r>
        <w:t xml:space="preserve">e Incorporación de Créditos financiados con RTGG, por un importe total de 9.490.282,51€; queda un disponible de Remanente de Tesorería para gastos Generales (RTGG) de </w:t>
      </w:r>
      <w:r>
        <w:rPr>
          <w:b/>
        </w:rPr>
        <w:t>13.917.912,87€.</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83"/>
        <w:ind w:left="288" w:right="146"/>
      </w:pPr>
      <w:r>
        <w:rPr>
          <w:b/>
        </w:rPr>
        <w:t>QUINTO:</w:t>
      </w:r>
      <w:r>
        <w:t xml:space="preserve"> Que el expediente de modificación presupuestaria </w:t>
      </w:r>
      <w:r>
        <w:rPr>
          <w:b/>
        </w:rPr>
        <w:t>nº 3304/2023</w:t>
      </w:r>
      <w:r>
        <w:t xml:space="preserve"> </w:t>
      </w:r>
      <w:r>
        <w:t xml:space="preserve">de modificación presupuestaria por </w:t>
      </w:r>
      <w:r>
        <w:rPr>
          <w:b/>
        </w:rPr>
        <w:t xml:space="preserve">Créditos extraordinarios </w:t>
      </w:r>
      <w:r>
        <w:t>financiado con Remanente de Tesorería para gastos generales, por una cantidad total de</w:t>
      </w:r>
      <w:r>
        <w:rPr>
          <w:b/>
        </w:rPr>
        <w:t xml:space="preserve"> 1.859.520,87 euros</w:t>
      </w:r>
      <w:r>
        <w:t xml:space="preserve">, de acuerdo al siguiente detalle: </w:t>
      </w:r>
    </w:p>
    <w:p w:rsidR="00DA121A" w:rsidRDefault="00904DD6">
      <w:pPr>
        <w:pStyle w:val="Ttulo3"/>
        <w:tabs>
          <w:tab w:val="center" w:pos="423"/>
          <w:tab w:val="center" w:pos="2144"/>
          <w:tab w:val="center" w:pos="4154"/>
          <w:tab w:val="center" w:pos="8798"/>
        </w:tabs>
        <w:ind w:left="0" w:firstLine="0"/>
      </w:pPr>
      <w:r>
        <w:rPr>
          <w:rFonts w:ascii="Calibri" w:eastAsia="Calibri" w:hAnsi="Calibri" w:cs="Calibri"/>
          <w:b w:val="0"/>
          <w:sz w:val="22"/>
        </w:rPr>
        <w:tab/>
      </w:r>
      <w:r>
        <w:rPr>
          <w:b w:val="0"/>
        </w:rPr>
        <w:t xml:space="preserve"> </w:t>
      </w:r>
      <w:r>
        <w:rPr>
          <w:b w:val="0"/>
        </w:rPr>
        <w:tab/>
        <w:t xml:space="preserve"> </w:t>
      </w:r>
      <w:r>
        <w:rPr>
          <w:b w:val="0"/>
        </w:rPr>
        <w:tab/>
      </w:r>
      <w:r>
        <w:t xml:space="preserve">                   Estado de gastos </w:t>
      </w:r>
      <w:r>
        <w:tab/>
        <w:t xml:space="preserve"> </w:t>
      </w:r>
    </w:p>
    <w:tbl>
      <w:tblPr>
        <w:tblStyle w:val="TableGrid"/>
        <w:tblW w:w="9037" w:type="dxa"/>
        <w:tblInd w:w="354" w:type="dxa"/>
        <w:tblCellMar>
          <w:top w:w="4" w:type="dxa"/>
          <w:left w:w="68" w:type="dxa"/>
          <w:bottom w:w="5" w:type="dxa"/>
          <w:right w:w="18" w:type="dxa"/>
        </w:tblCellMar>
        <w:tblLook w:val="04A0" w:firstRow="1" w:lastRow="0" w:firstColumn="1" w:lastColumn="0" w:noHBand="0" w:noVBand="1"/>
      </w:tblPr>
      <w:tblGrid>
        <w:gridCol w:w="908"/>
        <w:gridCol w:w="1759"/>
        <w:gridCol w:w="5179"/>
        <w:gridCol w:w="1191"/>
      </w:tblGrid>
      <w:tr w:rsidR="00DA121A">
        <w:trPr>
          <w:trHeight w:val="422"/>
        </w:trPr>
        <w:tc>
          <w:tcPr>
            <w:tcW w:w="908"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firstLine="0"/>
              <w:jc w:val="center"/>
            </w:pPr>
            <w:r>
              <w:rPr>
                <w:b/>
                <w:sz w:val="18"/>
              </w:rPr>
              <w:t>Proyecto ga</w:t>
            </w:r>
            <w:r>
              <w:rPr>
                <w:b/>
                <w:sz w:val="18"/>
              </w:rPr>
              <w:t xml:space="preserve">sto </w:t>
            </w:r>
          </w:p>
        </w:tc>
        <w:tc>
          <w:tcPr>
            <w:tcW w:w="1758"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4" w:firstLine="0"/>
              <w:jc w:val="left"/>
            </w:pPr>
            <w:r>
              <w:rPr>
                <w:b/>
                <w:sz w:val="18"/>
              </w:rPr>
              <w:t xml:space="preserve">Aplicación  </w:t>
            </w:r>
          </w:p>
        </w:tc>
        <w:tc>
          <w:tcPr>
            <w:tcW w:w="5180"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2" w:firstLine="0"/>
              <w:jc w:val="left"/>
            </w:pPr>
            <w:r>
              <w:rPr>
                <w:b/>
                <w:sz w:val="18"/>
              </w:rPr>
              <w:t xml:space="preserve">Denominación  </w:t>
            </w:r>
          </w:p>
        </w:tc>
        <w:tc>
          <w:tcPr>
            <w:tcW w:w="1191"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3" w:firstLine="0"/>
              <w:jc w:val="left"/>
            </w:pPr>
            <w:r>
              <w:rPr>
                <w:b/>
                <w:sz w:val="18"/>
              </w:rPr>
              <w:t xml:space="preserve">Importe </w:t>
            </w:r>
          </w:p>
        </w:tc>
      </w:tr>
      <w:tr w:rsidR="00DA121A">
        <w:trPr>
          <w:trHeight w:val="484"/>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15100.22715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pPr>
            <w:r>
              <w:rPr>
                <w:sz w:val="18"/>
              </w:rPr>
              <w:t xml:space="preserve">REDACCION Y DIRECCION OBRA DE URBANIZACION EN RUBEN MARICHAL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163.539,79 </w:t>
            </w:r>
          </w:p>
        </w:tc>
      </w:tr>
      <w:tr w:rsidR="00DA121A">
        <w:trPr>
          <w:trHeight w:val="562"/>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15100.60000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pPr>
            <w:r>
              <w:rPr>
                <w:sz w:val="18"/>
              </w:rPr>
              <w:t xml:space="preserve">PARCELA DOTACIONAL BARRANCO HONDO - EXPROPIACION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82.631,85 </w:t>
            </w:r>
          </w:p>
        </w:tc>
      </w:tr>
      <w:tr w:rsidR="00DA121A">
        <w:trPr>
          <w:trHeight w:val="427"/>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41400.61901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OBRA REPAVIMENTACION CAMINO RURAL LOS ASOMADEROS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522.018,80 </w:t>
            </w:r>
          </w:p>
        </w:tc>
      </w:tr>
      <w:tr w:rsidR="00DA121A">
        <w:trPr>
          <w:trHeight w:val="293"/>
        </w:trPr>
        <w:tc>
          <w:tcPr>
            <w:tcW w:w="90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4" w:firstLine="0"/>
              <w:jc w:val="left"/>
            </w:pPr>
            <w:r>
              <w:rPr>
                <w:sz w:val="18"/>
              </w:rPr>
              <w:t xml:space="preserve">15320.62500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2" w:firstLine="0"/>
              <w:jc w:val="left"/>
            </w:pPr>
            <w:r>
              <w:rPr>
                <w:sz w:val="18"/>
              </w:rPr>
              <w:t xml:space="preserve">MOBILIARIO VIAS PUBLICAS (BANCOS Y PAPELERAS) </w:t>
            </w:r>
          </w:p>
        </w:tc>
        <w:tc>
          <w:tcPr>
            <w:tcW w:w="11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right"/>
            </w:pPr>
            <w:r>
              <w:rPr>
                <w:sz w:val="18"/>
              </w:rPr>
              <w:t xml:space="preserve">113.719,60 </w:t>
            </w:r>
          </w:p>
        </w:tc>
      </w:tr>
      <w:tr w:rsidR="00DA121A">
        <w:trPr>
          <w:trHeight w:val="578"/>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92000.62300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pPr>
            <w:r>
              <w:rPr>
                <w:sz w:val="18"/>
              </w:rPr>
              <w:t xml:space="preserve">Proyecto Aire acondicionado y Microfonía digital Salón de Plenos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54.564,65 </w:t>
            </w:r>
          </w:p>
        </w:tc>
      </w:tr>
      <w:tr w:rsidR="00DA121A">
        <w:trPr>
          <w:trHeight w:val="415"/>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49200.62301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jc w:val="left"/>
            </w:pPr>
            <w:r>
              <w:rPr>
                <w:sz w:val="18"/>
              </w:rPr>
              <w:t xml:space="preserve">Proyecto Servidor CPD del DALIX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10.023,18 </w:t>
            </w:r>
          </w:p>
        </w:tc>
      </w:tr>
      <w:tr w:rsidR="00DA121A">
        <w:trPr>
          <w:trHeight w:val="564"/>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45900.61901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jc w:val="left"/>
            </w:pPr>
            <w:r>
              <w:rPr>
                <w:sz w:val="18"/>
              </w:rPr>
              <w:t xml:space="preserve">OBRAS DE ACCESIBILIDAD AULAS URBANIZACION LOS MENCEYES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73.949,71 </w:t>
            </w:r>
          </w:p>
        </w:tc>
      </w:tr>
      <w:tr w:rsidR="00DA121A">
        <w:trPr>
          <w:trHeight w:val="574"/>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4" w:firstLine="0"/>
              <w:jc w:val="left"/>
            </w:pPr>
            <w:r>
              <w:rPr>
                <w:sz w:val="18"/>
              </w:rPr>
              <w:t xml:space="preserve">33400.61901 </w:t>
            </w:r>
          </w:p>
        </w:tc>
        <w:tc>
          <w:tcPr>
            <w:tcW w:w="5180"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pPr>
            <w:r>
              <w:rPr>
                <w:sz w:val="18"/>
              </w:rPr>
              <w:t xml:space="preserve">IMPERMEABILIZACIÓN Y ACONDICIONAMIENTO EXTERIOR DE LA CASA D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16.047,86</w:t>
            </w:r>
            <w:r>
              <w:rPr>
                <w:sz w:val="18"/>
              </w:rPr>
              <w:t xml:space="preserve"> </w:t>
            </w:r>
          </w:p>
        </w:tc>
      </w:tr>
      <w:tr w:rsidR="00DA121A">
        <w:trPr>
          <w:trHeight w:val="547"/>
        </w:trPr>
        <w:tc>
          <w:tcPr>
            <w:tcW w:w="908" w:type="dxa"/>
            <w:tcBorders>
              <w:top w:val="nil"/>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nil"/>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33400.61902 </w:t>
            </w:r>
          </w:p>
        </w:tc>
        <w:tc>
          <w:tcPr>
            <w:tcW w:w="5180" w:type="dxa"/>
            <w:tcBorders>
              <w:top w:val="nil"/>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ACTUACIONES DE PROTECCIÓN FRENTE A DESPRENDIMIENTOS EN EL CE </w:t>
            </w:r>
          </w:p>
        </w:tc>
        <w:tc>
          <w:tcPr>
            <w:tcW w:w="1191" w:type="dxa"/>
            <w:tcBorders>
              <w:top w:val="nil"/>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39.112,37 </w:t>
            </w:r>
          </w:p>
        </w:tc>
      </w:tr>
      <w:tr w:rsidR="00DA121A">
        <w:trPr>
          <w:trHeight w:val="516"/>
        </w:trPr>
        <w:tc>
          <w:tcPr>
            <w:tcW w:w="90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0" w:firstLine="0"/>
            </w:pPr>
            <w:r>
              <w:rPr>
                <w:sz w:val="18"/>
              </w:rPr>
              <w:t xml:space="preserve">P.23.2.34 </w:t>
            </w:r>
          </w:p>
        </w:tc>
        <w:tc>
          <w:tcPr>
            <w:tcW w:w="1758"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15100.60910 </w:t>
            </w:r>
          </w:p>
        </w:tc>
        <w:tc>
          <w:tcPr>
            <w:tcW w:w="5180"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OBRA PLAZA PLAYA LA VIUDA EQUIPAMIENTO DEPORTIVO Y ASISTENCIAL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783.913,06 </w:t>
            </w:r>
          </w:p>
        </w:tc>
      </w:tr>
      <w:tr w:rsidR="00DA121A">
        <w:trPr>
          <w:trHeight w:val="432"/>
        </w:trPr>
        <w:tc>
          <w:tcPr>
            <w:tcW w:w="2667" w:type="dxa"/>
            <w:gridSpan w:val="2"/>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5180" w:type="dxa"/>
            <w:tcBorders>
              <w:top w:val="single" w:sz="4" w:space="0" w:color="000000"/>
              <w:left w:val="nil"/>
              <w:bottom w:val="single" w:sz="4" w:space="0" w:color="000000"/>
              <w:right w:val="single" w:sz="4" w:space="0" w:color="000000"/>
            </w:tcBorders>
            <w:vAlign w:val="center"/>
          </w:tcPr>
          <w:p w:rsidR="00DA121A" w:rsidRDefault="00904DD6">
            <w:pPr>
              <w:spacing w:after="0" w:line="259" w:lineRule="auto"/>
              <w:ind w:left="0" w:right="48" w:firstLine="0"/>
              <w:jc w:val="right"/>
            </w:pPr>
            <w:r>
              <w:rPr>
                <w:b/>
                <w:sz w:val="18"/>
              </w:rPr>
              <w:t xml:space="preserve">Total </w:t>
            </w: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1" w:firstLine="0"/>
            </w:pPr>
            <w:r>
              <w:rPr>
                <w:b/>
                <w:sz w:val="18"/>
              </w:rPr>
              <w:t xml:space="preserve">1.859.520,87 </w:t>
            </w:r>
          </w:p>
        </w:tc>
      </w:tr>
    </w:tbl>
    <w:p w:rsidR="00DA121A" w:rsidRDefault="00904DD6">
      <w:pPr>
        <w:spacing w:after="0" w:line="259" w:lineRule="auto"/>
        <w:ind w:left="3092" w:firstLine="0"/>
        <w:jc w:val="left"/>
      </w:pPr>
      <w:r>
        <w:rPr>
          <w:b/>
          <w:sz w:val="18"/>
        </w:rPr>
        <w:t xml:space="preserve"> </w:t>
      </w:r>
    </w:p>
    <w:p w:rsidR="00DA121A" w:rsidRDefault="00904DD6">
      <w:pPr>
        <w:spacing w:after="0" w:line="259" w:lineRule="auto"/>
        <w:ind w:left="1193" w:firstLine="0"/>
        <w:jc w:val="left"/>
      </w:pPr>
      <w:r>
        <w:rPr>
          <w:b/>
          <w:sz w:val="18"/>
        </w:rPr>
        <w:t xml:space="preserve"> </w:t>
      </w:r>
      <w:r>
        <w:rPr>
          <w:b/>
          <w:sz w:val="18"/>
        </w:rPr>
        <w:tab/>
        <w:t xml:space="preserve">                 </w:t>
      </w:r>
    </w:p>
    <w:p w:rsidR="00DA121A" w:rsidRDefault="00904DD6">
      <w:pPr>
        <w:tabs>
          <w:tab w:val="center" w:pos="1193"/>
          <w:tab w:val="center" w:pos="2144"/>
          <w:tab w:val="center" w:pos="3948"/>
        </w:tabs>
        <w:spacing w:after="0" w:line="259" w:lineRule="auto"/>
        <w:ind w:left="0" w:firstLine="0"/>
        <w:jc w:val="left"/>
      </w:pPr>
      <w:r>
        <w:rPr>
          <w:rFonts w:ascii="Calibri" w:eastAsia="Calibri" w:hAnsi="Calibri" w:cs="Calibri"/>
        </w:rPr>
        <w:tab/>
      </w:r>
      <w:r>
        <w:rPr>
          <w:b/>
          <w:sz w:val="18"/>
        </w:rPr>
        <w:t xml:space="preserve"> </w:t>
      </w:r>
      <w:r>
        <w:rPr>
          <w:b/>
          <w:sz w:val="18"/>
        </w:rPr>
        <w:tab/>
      </w:r>
      <w:r>
        <w:rPr>
          <w:sz w:val="18"/>
        </w:rPr>
        <w:t xml:space="preserve"> </w:t>
      </w:r>
      <w:r>
        <w:rPr>
          <w:sz w:val="18"/>
        </w:rPr>
        <w:tab/>
      </w:r>
      <w:r>
        <w:rPr>
          <w:b/>
          <w:sz w:val="18"/>
        </w:rPr>
        <w:t xml:space="preserve"> </w:t>
      </w:r>
      <w:r>
        <w:rPr>
          <w:b/>
          <w:sz w:val="18"/>
        </w:rPr>
        <w:t xml:space="preserve">Estado de ingresos </w:t>
      </w:r>
    </w:p>
    <w:p w:rsidR="00DA121A" w:rsidRDefault="00904DD6">
      <w:pPr>
        <w:spacing w:after="0" w:line="259" w:lineRule="auto"/>
        <w:ind w:left="2144" w:firstLine="0"/>
        <w:jc w:val="left"/>
      </w:pPr>
      <w:r>
        <w:rPr>
          <w:sz w:val="18"/>
        </w:rPr>
        <w:t xml:space="preserve"> </w:t>
      </w:r>
      <w:r>
        <w:rPr>
          <w:sz w:val="18"/>
        </w:rPr>
        <w:tab/>
      </w:r>
      <w:r>
        <w:rPr>
          <w:b/>
          <w:sz w:val="18"/>
        </w:rPr>
        <w:t xml:space="preserve"> </w:t>
      </w:r>
      <w:r>
        <w:rPr>
          <w:b/>
          <w:sz w:val="18"/>
        </w:rPr>
        <w:tab/>
        <w:t xml:space="preserve"> </w:t>
      </w:r>
    </w:p>
    <w:tbl>
      <w:tblPr>
        <w:tblStyle w:val="TableGrid"/>
        <w:tblW w:w="9037" w:type="dxa"/>
        <w:tblInd w:w="354" w:type="dxa"/>
        <w:tblCellMar>
          <w:top w:w="4" w:type="dxa"/>
          <w:left w:w="0" w:type="dxa"/>
          <w:bottom w:w="8" w:type="dxa"/>
          <w:right w:w="18" w:type="dxa"/>
        </w:tblCellMar>
        <w:tblLook w:val="04A0" w:firstRow="1" w:lastRow="0" w:firstColumn="1" w:lastColumn="0" w:noHBand="0" w:noVBand="1"/>
      </w:tblPr>
      <w:tblGrid>
        <w:gridCol w:w="2667"/>
        <w:gridCol w:w="4681"/>
        <w:gridCol w:w="498"/>
        <w:gridCol w:w="1191"/>
      </w:tblGrid>
      <w:tr w:rsidR="00DA121A">
        <w:trPr>
          <w:trHeight w:val="216"/>
        </w:trPr>
        <w:tc>
          <w:tcPr>
            <w:tcW w:w="2667"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2" w:firstLine="0"/>
              <w:jc w:val="center"/>
            </w:pPr>
            <w:r>
              <w:rPr>
                <w:b/>
                <w:sz w:val="18"/>
              </w:rPr>
              <w:t xml:space="preserve">Aplicación  </w:t>
            </w:r>
          </w:p>
        </w:tc>
        <w:tc>
          <w:tcPr>
            <w:tcW w:w="4682" w:type="dxa"/>
            <w:tcBorders>
              <w:top w:val="single" w:sz="4" w:space="0" w:color="000000"/>
              <w:left w:val="single" w:sz="4" w:space="0" w:color="000000"/>
              <w:bottom w:val="single" w:sz="4" w:space="0" w:color="000000"/>
              <w:right w:val="nil"/>
            </w:tcBorders>
            <w:shd w:val="clear" w:color="auto" w:fill="BFBFBF"/>
          </w:tcPr>
          <w:p w:rsidR="00DA121A" w:rsidRDefault="00904DD6">
            <w:pPr>
              <w:spacing w:after="0" w:line="259" w:lineRule="auto"/>
              <w:ind w:left="71" w:firstLine="0"/>
              <w:jc w:val="left"/>
            </w:pPr>
            <w:r>
              <w:rPr>
                <w:b/>
                <w:sz w:val="18"/>
              </w:rPr>
              <w:t xml:space="preserve">Denominación  </w:t>
            </w:r>
          </w:p>
        </w:tc>
        <w:tc>
          <w:tcPr>
            <w:tcW w:w="498" w:type="dxa"/>
            <w:tcBorders>
              <w:top w:val="single" w:sz="4" w:space="0" w:color="000000"/>
              <w:left w:val="nil"/>
              <w:bottom w:val="single" w:sz="4" w:space="0" w:color="000000"/>
              <w:right w:val="single" w:sz="4" w:space="0" w:color="000000"/>
            </w:tcBorders>
            <w:shd w:val="clear" w:color="auto" w:fill="BFBFBF"/>
          </w:tcPr>
          <w:p w:rsidR="00DA121A" w:rsidRDefault="00DA121A">
            <w:pPr>
              <w:spacing w:after="160" w:line="259" w:lineRule="auto"/>
              <w:ind w:left="0" w:firstLine="0"/>
              <w:jc w:val="left"/>
            </w:pPr>
          </w:p>
        </w:tc>
        <w:tc>
          <w:tcPr>
            <w:tcW w:w="1191"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71" w:firstLine="0"/>
              <w:jc w:val="left"/>
            </w:pPr>
            <w:r>
              <w:rPr>
                <w:b/>
                <w:sz w:val="18"/>
              </w:rPr>
              <w:t xml:space="preserve">Importe </w:t>
            </w:r>
          </w:p>
        </w:tc>
      </w:tr>
      <w:tr w:rsidR="00DA121A">
        <w:trPr>
          <w:trHeight w:val="344"/>
        </w:trPr>
        <w:tc>
          <w:tcPr>
            <w:tcW w:w="266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7" w:firstLine="0"/>
              <w:jc w:val="center"/>
            </w:pPr>
            <w:r>
              <w:rPr>
                <w:sz w:val="18"/>
              </w:rPr>
              <w:t xml:space="preserve">87000 </w:t>
            </w:r>
          </w:p>
        </w:tc>
        <w:tc>
          <w:tcPr>
            <w:tcW w:w="4682" w:type="dxa"/>
            <w:tcBorders>
              <w:top w:val="single" w:sz="4" w:space="0" w:color="000000"/>
              <w:left w:val="single" w:sz="4" w:space="0" w:color="000000"/>
              <w:bottom w:val="single" w:sz="4" w:space="0" w:color="000000"/>
              <w:right w:val="nil"/>
            </w:tcBorders>
            <w:vAlign w:val="bottom"/>
          </w:tcPr>
          <w:p w:rsidR="00DA121A" w:rsidRDefault="00904DD6">
            <w:pPr>
              <w:spacing w:after="0" w:line="259" w:lineRule="auto"/>
              <w:ind w:left="71" w:firstLine="0"/>
              <w:jc w:val="left"/>
            </w:pPr>
            <w:r>
              <w:rPr>
                <w:sz w:val="18"/>
              </w:rPr>
              <w:t xml:space="preserve">Remanente de Tesorería para gastos generales </w:t>
            </w:r>
          </w:p>
        </w:tc>
        <w:tc>
          <w:tcPr>
            <w:tcW w:w="498"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9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71" w:firstLine="0"/>
            </w:pPr>
            <w:r>
              <w:rPr>
                <w:sz w:val="18"/>
              </w:rPr>
              <w:t xml:space="preserve">1.859.520,87 </w:t>
            </w:r>
          </w:p>
        </w:tc>
      </w:tr>
      <w:tr w:rsidR="00DA121A">
        <w:trPr>
          <w:trHeight w:val="278"/>
        </w:trPr>
        <w:tc>
          <w:tcPr>
            <w:tcW w:w="2667" w:type="dxa"/>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4682" w:type="dxa"/>
            <w:tcBorders>
              <w:top w:val="single" w:sz="4" w:space="0" w:color="000000"/>
              <w:left w:val="nil"/>
              <w:bottom w:val="single" w:sz="4" w:space="0" w:color="000000"/>
              <w:right w:val="nil"/>
            </w:tcBorders>
          </w:tcPr>
          <w:p w:rsidR="00DA121A" w:rsidRDefault="00DA121A">
            <w:pPr>
              <w:spacing w:after="160" w:line="259" w:lineRule="auto"/>
              <w:ind w:left="0" w:firstLine="0"/>
              <w:jc w:val="left"/>
            </w:pPr>
          </w:p>
        </w:tc>
        <w:tc>
          <w:tcPr>
            <w:tcW w:w="498"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pPr>
            <w:r>
              <w:rPr>
                <w:b/>
                <w:sz w:val="18"/>
              </w:rPr>
              <w:t xml:space="preserve">Total </w:t>
            </w:r>
          </w:p>
        </w:tc>
        <w:tc>
          <w:tcPr>
            <w:tcW w:w="119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1" w:firstLine="0"/>
            </w:pPr>
            <w:r>
              <w:rPr>
                <w:b/>
                <w:sz w:val="18"/>
              </w:rPr>
              <w:t xml:space="preserve">1.859.520,87 </w:t>
            </w:r>
          </w:p>
        </w:tc>
      </w:tr>
    </w:tbl>
    <w:p w:rsidR="00DA121A" w:rsidRDefault="00904DD6">
      <w:pPr>
        <w:spacing w:after="126"/>
        <w:ind w:left="288" w:right="146"/>
      </w:pPr>
      <w: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4"/>
        <w:ind w:left="279" w:right="144"/>
      </w:pPr>
      <w:r>
        <w:rPr>
          <w:b/>
        </w:rPr>
        <w:t xml:space="preserve">    </w:t>
      </w:r>
      <w:r>
        <w:rPr>
          <w:b/>
        </w:rPr>
        <w:t xml:space="preserve">Consta en el expediente propuesta del Concejal delegado de Hacienda, D. Airam Pérez Chinea, de fecha 22 de marzo de 2023, que transcrito literalmente dice: </w:t>
      </w:r>
    </w:p>
    <w:p w:rsidR="00DA121A" w:rsidRDefault="00904DD6">
      <w:pPr>
        <w:spacing w:after="0" w:line="259" w:lineRule="auto"/>
        <w:ind w:left="284" w:firstLine="0"/>
        <w:jc w:val="left"/>
      </w:pPr>
      <w:r>
        <w:rPr>
          <w:b/>
        </w:rPr>
        <w:t xml:space="preserve"> </w:t>
      </w:r>
    </w:p>
    <w:p w:rsidR="00DA121A" w:rsidRDefault="00904DD6">
      <w:pPr>
        <w:spacing w:after="19" w:line="259" w:lineRule="auto"/>
        <w:ind w:left="284" w:firstLine="0"/>
        <w:jc w:val="left"/>
      </w:pPr>
      <w:r>
        <w:rPr>
          <w:b/>
        </w:rPr>
        <w:t xml:space="preserve"> </w:t>
      </w:r>
    </w:p>
    <w:p w:rsidR="00DA121A" w:rsidRDefault="00904DD6">
      <w:pPr>
        <w:pStyle w:val="Ttulo2"/>
        <w:spacing w:after="120"/>
        <w:ind w:right="1091"/>
      </w:pPr>
      <w:r>
        <w:t xml:space="preserve">“Propuesta de la Concejalía de Hacienda </w:t>
      </w:r>
    </w:p>
    <w:p w:rsidR="00DA121A" w:rsidRDefault="00904DD6">
      <w:pPr>
        <w:spacing w:after="121"/>
        <w:ind w:left="288" w:right="146"/>
      </w:pPr>
      <w:r>
        <w:t xml:space="preserve"> Dado expediente </w:t>
      </w:r>
      <w:r>
        <w:rPr>
          <w:b/>
        </w:rPr>
        <w:t>3304/2023 de Créditos Extraordinarios</w:t>
      </w:r>
      <w:r>
        <w:t>, y visto informe de la Intervención General que se transcribe a continuación:</w:t>
      </w:r>
      <w:r>
        <w:rPr>
          <w:rFonts w:ascii="Times New Roman" w:eastAsia="Times New Roman" w:hAnsi="Times New Roman" w:cs="Times New Roman"/>
          <w:sz w:val="24"/>
        </w:rPr>
        <w:t xml:space="preserve"> </w:t>
      </w:r>
    </w:p>
    <w:p w:rsidR="00DA121A" w:rsidRDefault="00904DD6">
      <w:pPr>
        <w:spacing w:after="45"/>
        <w:ind w:left="278" w:right="146" w:firstLine="708"/>
      </w:pPr>
      <w:r>
        <w:t>“Vista la propuesta de la Alcaldesa, de tramitación de modificación presupuestaria por Créditos Extraordinarios financiados con remanantes de Tesorería para Gastos Generales, q</w:t>
      </w:r>
      <w:r>
        <w:t>ue dice:</w:t>
      </w:r>
      <w:r>
        <w:rPr>
          <w:rFonts w:ascii="Times New Roman" w:eastAsia="Times New Roman" w:hAnsi="Times New Roman" w:cs="Times New Roman"/>
          <w:sz w:val="24"/>
        </w:rPr>
        <w:t xml:space="preserve"> </w:t>
      </w:r>
    </w:p>
    <w:p w:rsidR="00DA121A" w:rsidRDefault="00904DD6">
      <w:pPr>
        <w:spacing w:after="83" w:line="259" w:lineRule="auto"/>
        <w:ind w:left="992" w:firstLine="0"/>
        <w:jc w:val="left"/>
      </w:pPr>
      <w:r>
        <w:t xml:space="preserve">  </w:t>
      </w:r>
    </w:p>
    <w:p w:rsidR="00DA121A" w:rsidRDefault="00904DD6">
      <w:pPr>
        <w:spacing w:after="43"/>
        <w:ind w:left="278" w:right="146" w:firstLine="708"/>
      </w:pPr>
      <w:r>
        <w:t xml:space="preserve">“El Ayuntamiento de Candelaria necesita créditos extraordinarios a los consignados en el Presupuesto vigente para llevar a cabo actuaciones de mejora de instalaciones e infraestructuras municipales con ocasión de la ejecución de los proyectos </w:t>
      </w:r>
      <w:r>
        <w:t>siguientes, según memorias-propuestas presentadas:</w:t>
      </w:r>
      <w:r>
        <w:rPr>
          <w:rFonts w:ascii="Times New Roman" w:eastAsia="Times New Roman" w:hAnsi="Times New Roman" w:cs="Times New Roman"/>
          <w:sz w:val="24"/>
        </w:rPr>
        <w:t xml:space="preserve"> </w:t>
      </w:r>
    </w:p>
    <w:p w:rsidR="00DA121A" w:rsidRDefault="00904DD6">
      <w:pPr>
        <w:spacing w:after="148" w:line="259" w:lineRule="auto"/>
        <w:ind w:left="341" w:firstLine="0"/>
        <w:jc w:val="left"/>
      </w:pPr>
      <w:r>
        <w:t xml:space="preserve"> </w:t>
      </w:r>
    </w:p>
    <w:p w:rsidR="00DA121A" w:rsidRDefault="00904DD6">
      <w:pPr>
        <w:numPr>
          <w:ilvl w:val="0"/>
          <w:numId w:val="28"/>
        </w:numPr>
        <w:spacing w:after="104"/>
        <w:ind w:right="146" w:hanging="360"/>
      </w:pPr>
      <w:r>
        <w:rPr>
          <w:b/>
        </w:rPr>
        <w:t>Redacción y dirección Obra Urbanización Rubén Marichal en Barranco Hondo</w:t>
      </w:r>
      <w:r>
        <w:t>: “debido al estado de deterioro de las obras de urbanización de Rubén Marichal en Barranco Hondo, cuyo alcance deberá valorarse y</w:t>
      </w:r>
      <w:r>
        <w:t xml:space="preserve"> estudiarse, dentro del correspondiente proyecto de urbanización y que deberá incluir, entre otros los siguientes servicios: Saneamiento, Abastecimiento, Alumbrado público y eficiencia energía, Pluviales, Cumplimiento de la normativa de accesibilidad,  Rie</w:t>
      </w:r>
      <w:r>
        <w:t xml:space="preserve">go y jardinería, Descolgamientos de los muros perimetrales de la urbanización, Pavimentos y Telecomunicaciones. El presupuesto estimado para la redacción del Proyecto de Urbanización y la Dirección de Obra, de la Urbanización de Rubén Marichal en Barranco </w:t>
      </w:r>
      <w:r>
        <w:t xml:space="preserve">Hondo, conforme a la propuesta de honorarios recibida por GESTUR CANARIAS S.A asciende a </w:t>
      </w:r>
      <w:r>
        <w:rPr>
          <w:b/>
        </w:rPr>
        <w:t>163.539,79 €.</w:t>
      </w:r>
      <w:r>
        <w:rPr>
          <w:rFonts w:ascii="Times New Roman" w:eastAsia="Times New Roman" w:hAnsi="Times New Roman" w:cs="Times New Roman"/>
          <w:sz w:val="24"/>
        </w:rPr>
        <w:t xml:space="preserve"> </w:t>
      </w:r>
    </w:p>
    <w:p w:rsidR="00DA121A" w:rsidRDefault="00904DD6">
      <w:pPr>
        <w:spacing w:after="0" w:line="259" w:lineRule="auto"/>
        <w:ind w:left="1004" w:firstLine="0"/>
        <w:jc w:val="left"/>
      </w:pPr>
      <w:r>
        <w:t xml:space="preserve"> </w:t>
      </w:r>
    </w:p>
    <w:p w:rsidR="00DA121A" w:rsidRDefault="00904DD6">
      <w:pPr>
        <w:numPr>
          <w:ilvl w:val="0"/>
          <w:numId w:val="28"/>
        </w:numPr>
        <w:spacing w:after="107"/>
        <w:ind w:right="146" w:hanging="360"/>
      </w:pPr>
      <w:r>
        <w:rPr>
          <w:b/>
        </w:rPr>
        <w:t>Expropiación Parcela dotacional en Barranco Hondo: a</w:t>
      </w:r>
      <w:r>
        <w:t xml:space="preserve"> </w:t>
      </w:r>
      <w:r>
        <w:t>la vista del expediente de expropiación forzosa 3304/2023 de una parcela según los informes técnicos clasificada, categorizada y calificada como suelo urbano consolidado, dotacional público, de acuerdo con la delimitación establecida por el Plan General de</w:t>
      </w:r>
      <w:r>
        <w:t xml:space="preserve"> Ordenación de la Villa de Candelaria, aprobado definitivamente por la Comisión de Ordenación del Territorio y Medio Ambiente de Canarias el 20 de julio de 2006, y cuya propietaria es Doña Juana Ascensión Peña González. La aprobación del Plan General de Or</w:t>
      </w:r>
      <w:r>
        <w:t>denación produce la declaración tácita de utilidad pública a los efectos expropiatorios de la parcela con referencia catastral 7722130CS6472S0001PU y la necesidad de ocupación de los terrenos. Conforme a los informes el justiprecio asciende a 78.697,00 € y</w:t>
      </w:r>
      <w:r>
        <w:t xml:space="preserve"> el premio de afección a 3.934,85€, lo que hace un total de </w:t>
      </w:r>
      <w:r>
        <w:rPr>
          <w:b/>
        </w:rPr>
        <w:t>82.631,85 €.</w:t>
      </w:r>
      <w:r>
        <w:rPr>
          <w:rFonts w:ascii="Times New Roman" w:eastAsia="Times New Roman" w:hAnsi="Times New Roman" w:cs="Times New Roman"/>
          <w:sz w:val="24"/>
        </w:rPr>
        <w:t xml:space="preserve"> </w:t>
      </w:r>
    </w:p>
    <w:p w:rsidR="00DA121A" w:rsidRDefault="00904DD6">
      <w:pPr>
        <w:spacing w:after="182" w:line="259" w:lineRule="auto"/>
        <w:ind w:left="284" w:firstLine="0"/>
        <w:jc w:val="left"/>
      </w:pPr>
      <w:r>
        <w:t xml:space="preserve"> </w:t>
      </w:r>
    </w:p>
    <w:p w:rsidR="00DA121A" w:rsidRDefault="00904DD6">
      <w:pPr>
        <w:numPr>
          <w:ilvl w:val="0"/>
          <w:numId w:val="28"/>
        </w:numPr>
        <w:spacing w:after="102"/>
        <w:ind w:right="146" w:hanging="360"/>
      </w:pPr>
      <w:r>
        <w:rPr>
          <w:b/>
        </w:rPr>
        <w:t>Obra Repavimentación del “Camino Rural Los Asomaderos” tramos Rural y Urbanos</w:t>
      </w:r>
      <w:r>
        <w:t>: La repavimentación del Camino Rural de Los Asomaderos, tiene como objetivo definir las actuaciones ne</w:t>
      </w:r>
      <w:r>
        <w:t>cesarias para la pavimentación del camino rural conocido como “Camino los asomaderos”, situado en el T.M de Candelaria, en el núcleo de Barranco Hondo. Los criterios generales adoptados, de diseño y funcionalidad, se han adaptado al trazado actual, permiti</w:t>
      </w:r>
      <w:r>
        <w:t>endo un tránsito cómodo y seguro para los usuarios de la vía en cualquier circunstancia, de modo que las condiciones atmosféricas adversas no influyan en manera alguna sobre la accesibilidad a las propiedades a las que sirve. Se benefician de la pavimentac</w:t>
      </w:r>
      <w:r>
        <w:t xml:space="preserve">ión y mejora del camino unos 100.000 m2 de terreno cultivable que se encuentran en abandono actualmente. </w:t>
      </w:r>
      <w:r>
        <w:rPr>
          <w:rFonts w:ascii="Times New Roman" w:eastAsia="Times New Roman" w:hAnsi="Times New Roman" w:cs="Times New Roman"/>
          <w:sz w:val="24"/>
        </w:rPr>
        <w:t xml:space="preserve"> </w:t>
      </w:r>
    </w:p>
    <w:p w:rsidR="00DA121A" w:rsidRDefault="00904DD6">
      <w:pPr>
        <w:spacing w:after="139"/>
        <w:ind w:left="1014" w:right="146"/>
      </w:pPr>
      <w:r>
        <w:t>El Camino los Asomaderos sirve a una zona agraria de 30.014 m2 de las cuales sólo se encuentran explotación actualmente 9.706 m2 y permitirá poner en</w:t>
      </w:r>
      <w:r>
        <w:t xml:space="preserve"> explotación 2.3 Has de cultivo. Para acceder al camino rural de Los Asomaderos existen dos tramos a inicio y final, con categoría de urbano que también se engloban en esta actuación, el importe del presupuesto de ejecución por contrata actualizado, ascien</w:t>
      </w:r>
      <w:r>
        <w:t xml:space="preserve">de a la cantidad de </w:t>
      </w:r>
      <w:r>
        <w:rPr>
          <w:b/>
        </w:rPr>
        <w:t>522.018,80 €</w:t>
      </w:r>
      <w:r>
        <w:t xml:space="preserve"> incluido el IGIC.</w:t>
      </w:r>
      <w:r>
        <w:rPr>
          <w:rFonts w:ascii="Times New Roman" w:eastAsia="Times New Roman" w:hAnsi="Times New Roman" w:cs="Times New Roman"/>
          <w:sz w:val="24"/>
        </w:rPr>
        <w:t xml:space="preserve"> </w:t>
      </w:r>
    </w:p>
    <w:p w:rsidR="00DA121A" w:rsidRDefault="00904DD6">
      <w:pPr>
        <w:numPr>
          <w:ilvl w:val="0"/>
          <w:numId w:val="28"/>
        </w:numPr>
        <w:spacing w:after="138"/>
        <w:ind w:right="146" w:hanging="360"/>
      </w:pPr>
      <w:r>
        <w:rPr>
          <w:b/>
        </w:rPr>
        <w:t>Proyecto Mobiliario Urbano</w:t>
      </w:r>
      <w:r>
        <w:t>: debido a que determinados elementos e instalaciones de las infraestructuras municipales se van deteriorando con el paso del tiempo y en especial aquellas que se encuentran a la</w:t>
      </w:r>
      <w:r>
        <w:t xml:space="preserve"> intemperie, el ayuntamiento ha tenido que ir reforzando, acondicionando, adaptando y renovando sus instalaciones públicas tanto para dar servicios de calidad a la ciudadanía como para convertir el municipio en un lugar más seguro, habitable, confortable y</w:t>
      </w:r>
      <w:r>
        <w:t xml:space="preserve"> limpio. El presente proyecto tiene el objeto de proceder al suministro de mobiliario urbano (bancos y papeleras), para el municipio de Candelaria, con el presente suministro, se pretende mejorar la imagen del municipio a la par que conseguir dotar a los e</w:t>
      </w:r>
      <w:r>
        <w:t xml:space="preserve">spacios públicos de mobiliario urbano, para uso y disfrute de los usuarios, con 200 bancos y 200 papeleras. El presupuesto base de licitación asciende a un importe de 106.280,00 € más 7.439,60 € en concepto de IGIC para un total de </w:t>
      </w:r>
      <w:r>
        <w:rPr>
          <w:b/>
        </w:rPr>
        <w:t>113.719,60 €.</w:t>
      </w:r>
      <w:r>
        <w:rPr>
          <w:rFonts w:ascii="Times New Roman" w:eastAsia="Times New Roman" w:hAnsi="Times New Roman" w:cs="Times New Roman"/>
          <w:sz w:val="24"/>
        </w:rPr>
        <w:t xml:space="preserve"> </w:t>
      </w:r>
    </w:p>
    <w:p w:rsidR="00DA121A" w:rsidRDefault="00904DD6">
      <w:pPr>
        <w:numPr>
          <w:ilvl w:val="0"/>
          <w:numId w:val="28"/>
        </w:numPr>
        <w:ind w:right="146" w:hanging="360"/>
      </w:pPr>
      <w:r>
        <w:rPr>
          <w:b/>
        </w:rPr>
        <w:t xml:space="preserve">Proyecto </w:t>
      </w:r>
      <w:r>
        <w:rPr>
          <w:b/>
        </w:rPr>
        <w:t xml:space="preserve">Suministro e Instalación de Equipos de Aire Acondicionado en Salón de Plenos: </w:t>
      </w:r>
      <w:r>
        <w:t>el presente proyecto tiene el objeto de proceder al suministro y la instalación de maquinaria de aire acondicionado en el salón de plenos del ayuntamiento de Candelaria. El Salón</w:t>
      </w:r>
      <w:r>
        <w:t xml:space="preserve"> de Plenos es una instalación cuyo empleo implica la acumulación de personas en un espacio relativamente reducido y por lo tanto se hace necesario una modernización total de </w:t>
      </w:r>
    </w:p>
    <w:p w:rsidR="00DA121A" w:rsidRDefault="00904DD6">
      <w:pPr>
        <w:spacing w:after="137"/>
        <w:ind w:left="1014" w:right="146"/>
      </w:pPr>
      <w:r>
        <w:t>los equipamientos de aire acondicionado que se encuentran en la actualidad instal</w:t>
      </w:r>
      <w:r>
        <w:t xml:space="preserve">ados y que presentan unas deficiencias muy graves que impiden su utilización eficiente. El presupuesto asciende a un total de 36.000,00 € más IGIC tipo 7% (2.520,00 €), para un total de </w:t>
      </w:r>
      <w:r>
        <w:rPr>
          <w:b/>
        </w:rPr>
        <w:t>38.520,00 €.</w:t>
      </w:r>
      <w:r>
        <w:rPr>
          <w:rFonts w:ascii="Times New Roman" w:eastAsia="Times New Roman" w:hAnsi="Times New Roman" w:cs="Times New Roman"/>
          <w:sz w:val="24"/>
        </w:rPr>
        <w:t xml:space="preserve"> </w:t>
      </w:r>
    </w:p>
    <w:p w:rsidR="00DA121A" w:rsidRDefault="00904DD6">
      <w:pPr>
        <w:numPr>
          <w:ilvl w:val="0"/>
          <w:numId w:val="28"/>
        </w:numPr>
        <w:spacing w:after="138"/>
        <w:ind w:right="146" w:hanging="360"/>
      </w:pPr>
      <w:r>
        <w:rPr>
          <w:b/>
        </w:rPr>
        <w:t>Proyecto de Microfonía digital Salón de Plenos: e</w:t>
      </w:r>
      <w:r>
        <w:t>l Salón</w:t>
      </w:r>
      <w:r>
        <w:t xml:space="preserve"> de Plenos necesita un nuevo sistema de microfonía digital para el Salón de Plenos del Ayuntamiento motivado por la necesidad de integración al sistema de video y streaming que ya está implantada en el salón de plenos para así poder aprovechar el etiquetad</w:t>
      </w:r>
      <w:r>
        <w:t>o de las intervenciones, por parte de los miembros del pleno en los videos resultantes de la grabación. El módulo a contratar sería el Séneca que permite la integración de la grabadora con su solución de microfonía y votación digital, lo cual hace innecesa</w:t>
      </w:r>
      <w:r>
        <w:t xml:space="preserve">rio mantener distintas bases de datos con la misma información para distintos sistemas. El Presupuesto sería de 14.995,00 € mas 7% de IGIC (1049,55 €) siendo el total por importe de </w:t>
      </w:r>
      <w:r>
        <w:rPr>
          <w:b/>
        </w:rPr>
        <w:t>16.044,65€</w:t>
      </w:r>
      <w:r>
        <w:t>.</w:t>
      </w:r>
      <w:r>
        <w:rPr>
          <w:rFonts w:ascii="Times New Roman" w:eastAsia="Times New Roman" w:hAnsi="Times New Roman" w:cs="Times New Roman"/>
          <w:sz w:val="24"/>
        </w:rPr>
        <w:t xml:space="preserve"> </w:t>
      </w:r>
    </w:p>
    <w:p w:rsidR="00DA121A" w:rsidRDefault="00904DD6">
      <w:pPr>
        <w:numPr>
          <w:ilvl w:val="0"/>
          <w:numId w:val="28"/>
        </w:numPr>
        <w:spacing w:after="138"/>
        <w:ind w:right="146" w:hanging="360"/>
      </w:pPr>
      <w:r>
        <w:rPr>
          <w:b/>
        </w:rPr>
        <w:t xml:space="preserve">Proyecto Accesibilidad Aulas Urbanización de Los Menceyes: </w:t>
      </w:r>
      <w:r>
        <w:t>La</w:t>
      </w:r>
      <w:r>
        <w:t>s aulas de formación de la Urbanización Los Menceyes no reúnen las condiciones técnicas de accesibilidad según informe técnico de la Dirección General de Dependencia y Discapacidad. Para la obtención del Símbolo de Accesibilidad (BOC nº16, de 24.01.2014) e</w:t>
      </w:r>
      <w:r>
        <w:t xml:space="preserve">s necesario subsanar una serie de deficiencias que se detallan en el informe. La supresión de las barreras físicas es un elemento esencial para alcanzar una plena integración de las personas con discapacidad proporcionando una mayor calidad en el servicio </w:t>
      </w:r>
      <w:r>
        <w:t xml:space="preserve">de personas con mayores dificultades de movilidad. Con un Presupuesto de </w:t>
      </w:r>
      <w:r>
        <w:rPr>
          <w:b/>
        </w:rPr>
        <w:t>73.949,71€</w:t>
      </w:r>
      <w:r>
        <w:t>.</w:t>
      </w:r>
      <w:r>
        <w:rPr>
          <w:rFonts w:ascii="Times New Roman" w:eastAsia="Times New Roman" w:hAnsi="Times New Roman" w:cs="Times New Roman"/>
          <w:sz w:val="24"/>
        </w:rPr>
        <w:t xml:space="preserve"> </w:t>
      </w:r>
    </w:p>
    <w:p w:rsidR="00DA121A" w:rsidRDefault="00904DD6">
      <w:pPr>
        <w:numPr>
          <w:ilvl w:val="0"/>
          <w:numId w:val="28"/>
        </w:numPr>
        <w:spacing w:after="138"/>
        <w:ind w:right="146" w:hanging="360"/>
      </w:pPr>
      <w:r>
        <w:rPr>
          <w:b/>
        </w:rPr>
        <w:t xml:space="preserve">Proyecto Servidor CPD del DALIX: </w:t>
      </w:r>
      <w:r>
        <w:t xml:space="preserve">Se ha realizado el despliegue de las máquinas virtuales de todos los servidores del Ayuntamiento en una nueva sede ubicada en el CPD del </w:t>
      </w:r>
      <w:r>
        <w:t>DALIX, a la cual estamos conectados por un armario de autoprestación del Cabildo Insular de Tenerife. En la actualidad en dicha sede disponemos de un servidor físico, que hace posible que las máquinas virtuales (servidores virtuales del ayuntamiento) funci</w:t>
      </w:r>
      <w:r>
        <w:t xml:space="preserve">onen correctamente. Sería necesario disponer de un segundo servidor en el CPD del DALIX en caso que incidencia con el Servidor actual y tener así una redundancia que permita seguir manteniendo la conexión con los servidores virtuales del ayuntamiento, con </w:t>
      </w:r>
      <w:r>
        <w:t xml:space="preserve">un presupuesto de </w:t>
      </w:r>
      <w:r>
        <w:rPr>
          <w:b/>
        </w:rPr>
        <w:t>10.023,18€</w:t>
      </w:r>
      <w:r>
        <w:t>.</w:t>
      </w:r>
      <w:r>
        <w:rPr>
          <w:rFonts w:ascii="Times New Roman" w:eastAsia="Times New Roman" w:hAnsi="Times New Roman" w:cs="Times New Roman"/>
          <w:sz w:val="24"/>
        </w:rPr>
        <w:t xml:space="preserve"> </w:t>
      </w:r>
    </w:p>
    <w:p w:rsidR="00DA121A" w:rsidRDefault="00904DD6">
      <w:pPr>
        <w:numPr>
          <w:ilvl w:val="0"/>
          <w:numId w:val="28"/>
        </w:numPr>
        <w:spacing w:after="138"/>
        <w:ind w:right="146" w:hanging="360"/>
      </w:pPr>
      <w:r>
        <w:rPr>
          <w:b/>
        </w:rPr>
        <w:t xml:space="preserve">Impermeabilización y acondicionamiento exterior de la Casa de la Música Abilio Alonso Otazo: </w:t>
      </w:r>
      <w:r>
        <w:t>con el fin de continuar con el mantenimiento de las instalaciones municipales, necesario para que las mismas se encuentren en un est</w:t>
      </w:r>
      <w:r>
        <w:t xml:space="preserve">ado óptimo de conservación para su uso y disfrute por parte de la ciudadanía, y continuar con el desarrollo de la programación cultural anual, por un importe de </w:t>
      </w:r>
      <w:r>
        <w:rPr>
          <w:b/>
        </w:rPr>
        <w:t>16.047,86€</w:t>
      </w:r>
      <w:r>
        <w:t>.</w:t>
      </w:r>
      <w:r>
        <w:rPr>
          <w:rFonts w:ascii="Times New Roman" w:eastAsia="Times New Roman" w:hAnsi="Times New Roman" w:cs="Times New Roman"/>
          <w:sz w:val="24"/>
        </w:rPr>
        <w:t xml:space="preserve"> </w:t>
      </w:r>
    </w:p>
    <w:p w:rsidR="00DA121A" w:rsidRDefault="00904DD6">
      <w:pPr>
        <w:numPr>
          <w:ilvl w:val="0"/>
          <w:numId w:val="28"/>
        </w:numPr>
        <w:spacing w:after="138"/>
        <w:ind w:right="146" w:hanging="360"/>
      </w:pPr>
      <w:r>
        <w:rPr>
          <w:b/>
        </w:rPr>
        <w:t>Actuaciones de protección frente a desprendimientos en el Centro Cultural de la Vi</w:t>
      </w:r>
      <w:r>
        <w:rPr>
          <w:b/>
        </w:rPr>
        <w:t>lla</w:t>
      </w:r>
      <w:r>
        <w:t>: con el fin de continuar con el mantenimiento de las instalaciones municipales, necesario para que las mismas se encuentren en un estado óptimo de conservación para su uso y disfrute por parte de la ciudadanía, y continuar con el desarrollo de la progr</w:t>
      </w:r>
      <w:r>
        <w:t xml:space="preserve">amación cultural anual, por un importe de </w:t>
      </w:r>
      <w:r>
        <w:rPr>
          <w:b/>
        </w:rPr>
        <w:t>39.112,37€.</w:t>
      </w:r>
      <w:r>
        <w:rPr>
          <w:rFonts w:ascii="Times New Roman" w:eastAsia="Times New Roman" w:hAnsi="Times New Roman" w:cs="Times New Roman"/>
          <w:sz w:val="24"/>
        </w:rPr>
        <w:t xml:space="preserve"> </w:t>
      </w:r>
    </w:p>
    <w:p w:rsidR="00DA121A" w:rsidRDefault="00904DD6">
      <w:pPr>
        <w:numPr>
          <w:ilvl w:val="0"/>
          <w:numId w:val="28"/>
        </w:numPr>
        <w:ind w:right="146" w:hanging="360"/>
      </w:pPr>
      <w:r>
        <w:rPr>
          <w:b/>
        </w:rPr>
        <w:t xml:space="preserve">Proyecto para obra plaza Playa de la Viuda Equipamientos deportivos y asistenciales: </w:t>
      </w:r>
      <w:r>
        <w:t>La Playa de la Viuda, barrio costero, conformado por viviendas de autoconstrucción. El Barrio no dispone de servicio</w:t>
      </w:r>
      <w:r>
        <w:t xml:space="preserve">s, ni equipamientos ni de espacios libres para el esparcimiento </w:t>
      </w:r>
    </w:p>
    <w:p w:rsidR="00DA121A" w:rsidRDefault="00904DD6">
      <w:pPr>
        <w:spacing w:after="102"/>
        <w:ind w:left="1014" w:right="146"/>
      </w:pPr>
      <w:r>
        <w:t xml:space="preserve">de los vecinos, fundamentalmente debido a la colmatación del mismo. El presupuesto de ejecución por contrata, de acuerdo al proyecto modificado obrante asciende a la cantidad de </w:t>
      </w:r>
      <w:r>
        <w:rPr>
          <w:b/>
        </w:rPr>
        <w:t>783.913,06 €</w:t>
      </w:r>
      <w:r>
        <w:rPr>
          <w:rFonts w:ascii="Times New Roman" w:eastAsia="Times New Roman" w:hAnsi="Times New Roman" w:cs="Times New Roman"/>
          <w:sz w:val="24"/>
        </w:rPr>
        <w:t xml:space="preserve"> </w:t>
      </w:r>
    </w:p>
    <w:p w:rsidR="00DA121A" w:rsidRDefault="00904DD6">
      <w:pPr>
        <w:spacing w:after="110" w:line="259" w:lineRule="auto"/>
        <w:ind w:left="284" w:firstLine="0"/>
        <w:jc w:val="left"/>
      </w:pPr>
      <w:r>
        <w:t xml:space="preserve"> </w:t>
      </w:r>
    </w:p>
    <w:p w:rsidR="00DA121A" w:rsidRDefault="00904DD6">
      <w:pPr>
        <w:spacing w:after="137"/>
        <w:ind w:left="278" w:right="146" w:firstLine="720"/>
      </w:pPr>
      <w:r>
        <w:t xml:space="preserve">Siendo un gasto específico y determinado ante la imposibilidad de demorarlo a ejercicios posteriores, y no habiendo crédito suficiente en las aplicaciónes presupuestarias. </w:t>
      </w:r>
    </w:p>
    <w:p w:rsidR="00DA121A" w:rsidRDefault="00904DD6">
      <w:pPr>
        <w:spacing w:after="135" w:line="259" w:lineRule="auto"/>
        <w:ind w:left="284" w:firstLine="0"/>
        <w:jc w:val="left"/>
      </w:pPr>
      <w:r>
        <w:rPr>
          <w:b/>
        </w:rPr>
        <w:t xml:space="preserve"> </w:t>
      </w:r>
    </w:p>
    <w:p w:rsidR="00DA121A" w:rsidRDefault="00904DD6">
      <w:pPr>
        <w:spacing w:after="110"/>
        <w:ind w:left="279" w:right="144"/>
      </w:pPr>
      <w:r>
        <w:rPr>
          <w:b/>
        </w:rPr>
        <w:t>SE PROPONE:</w:t>
      </w:r>
      <w:r>
        <w:rPr>
          <w:rFonts w:ascii="Times New Roman" w:eastAsia="Times New Roman" w:hAnsi="Times New Roman" w:cs="Times New Roman"/>
          <w:sz w:val="24"/>
        </w:rPr>
        <w:t xml:space="preserve"> </w:t>
      </w:r>
    </w:p>
    <w:p w:rsidR="00DA121A" w:rsidRDefault="00904DD6">
      <w:pPr>
        <w:ind w:left="288" w:right="146"/>
      </w:pPr>
      <w:r>
        <w:t xml:space="preserve">Único: Tramitar expediente </w:t>
      </w:r>
      <w:r>
        <w:rPr>
          <w:b/>
        </w:rPr>
        <w:t>3304/2023</w:t>
      </w:r>
      <w:r>
        <w:t xml:space="preserve"> de modificación presupuestar</w:t>
      </w:r>
      <w:r>
        <w:t xml:space="preserve">ia por </w:t>
      </w:r>
      <w:r>
        <w:rPr>
          <w:b/>
        </w:rPr>
        <w:t xml:space="preserve">Créditos </w:t>
      </w:r>
    </w:p>
    <w:p w:rsidR="00DA121A" w:rsidRDefault="00904DD6">
      <w:pPr>
        <w:spacing w:after="116"/>
        <w:ind w:left="288" w:right="146"/>
      </w:pPr>
      <w:r>
        <w:rPr>
          <w:b/>
        </w:rPr>
        <w:t xml:space="preserve">extraordinarios </w:t>
      </w:r>
      <w:r>
        <w:t>financiado con Remanente de Tesorería para gastos generales, por una cantidad total de</w:t>
      </w:r>
      <w:r>
        <w:rPr>
          <w:b/>
        </w:rPr>
        <w:t xml:space="preserve"> 1.859.520,87 euros</w:t>
      </w:r>
      <w:r>
        <w:t xml:space="preserve">, de acuerdo al siguiente detalle: </w:t>
      </w:r>
    </w:p>
    <w:p w:rsidR="00DA121A" w:rsidRDefault="00904DD6">
      <w:pPr>
        <w:spacing w:after="57" w:line="259" w:lineRule="auto"/>
        <w:ind w:left="284" w:firstLine="0"/>
        <w:jc w:val="left"/>
      </w:pPr>
      <w:r>
        <w:t xml:space="preserve"> </w:t>
      </w:r>
    </w:p>
    <w:p w:rsidR="00DA121A" w:rsidRDefault="00904DD6">
      <w:pPr>
        <w:spacing w:after="0" w:line="259" w:lineRule="auto"/>
        <w:ind w:left="3090"/>
        <w:jc w:val="left"/>
      </w:pPr>
      <w:r>
        <w:rPr>
          <w:b/>
          <w:sz w:val="18"/>
        </w:rPr>
        <w:t xml:space="preserve">                   Estado de gastos </w:t>
      </w:r>
    </w:p>
    <w:p w:rsidR="00DA121A" w:rsidRDefault="00904DD6">
      <w:pPr>
        <w:spacing w:after="0" w:line="259" w:lineRule="auto"/>
        <w:ind w:left="423" w:firstLine="0"/>
        <w:jc w:val="left"/>
      </w:pPr>
      <w:r>
        <w:rPr>
          <w:rFonts w:ascii="Times New Roman" w:eastAsia="Times New Roman" w:hAnsi="Times New Roman" w:cs="Times New Roman"/>
          <w:sz w:val="18"/>
        </w:rPr>
        <w:t xml:space="preserve"> </w:t>
      </w:r>
    </w:p>
    <w:p w:rsidR="00DA121A" w:rsidRDefault="00904DD6">
      <w:pPr>
        <w:spacing w:after="0" w:line="259" w:lineRule="auto"/>
        <w:ind w:left="2132"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b/>
          <w:sz w:val="18"/>
        </w:rPr>
        <w:t xml:space="preserve"> </w:t>
      </w:r>
      <w:r>
        <w:rPr>
          <w:b/>
          <w:sz w:val="18"/>
        </w:rPr>
        <w:tab/>
        <w:t xml:space="preserve"> </w:t>
      </w:r>
    </w:p>
    <w:tbl>
      <w:tblPr>
        <w:tblStyle w:val="TableGrid"/>
        <w:tblW w:w="9028" w:type="dxa"/>
        <w:tblInd w:w="354" w:type="dxa"/>
        <w:tblCellMar>
          <w:top w:w="4" w:type="dxa"/>
          <w:left w:w="71" w:type="dxa"/>
          <w:bottom w:w="5" w:type="dxa"/>
          <w:right w:w="18" w:type="dxa"/>
        </w:tblCellMar>
        <w:tblLook w:val="04A0" w:firstRow="1" w:lastRow="0" w:firstColumn="1" w:lastColumn="0" w:noHBand="0" w:noVBand="1"/>
      </w:tblPr>
      <w:tblGrid>
        <w:gridCol w:w="898"/>
        <w:gridCol w:w="1757"/>
        <w:gridCol w:w="5181"/>
        <w:gridCol w:w="1192"/>
      </w:tblGrid>
      <w:tr w:rsidR="00DA121A">
        <w:trPr>
          <w:trHeight w:val="629"/>
        </w:trPr>
        <w:tc>
          <w:tcPr>
            <w:tcW w:w="898"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right="18" w:firstLine="5"/>
              <w:jc w:val="center"/>
            </w:pPr>
            <w:r>
              <w:rPr>
                <w:b/>
                <w:sz w:val="18"/>
              </w:rPr>
              <w:t xml:space="preserve">Proyecto gasto </w:t>
            </w:r>
          </w:p>
        </w:tc>
        <w:tc>
          <w:tcPr>
            <w:tcW w:w="1757"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0" w:firstLine="0"/>
              <w:jc w:val="left"/>
            </w:pPr>
            <w:r>
              <w:rPr>
                <w:b/>
                <w:sz w:val="18"/>
              </w:rPr>
              <w:t xml:space="preserve">Aplicación  </w:t>
            </w:r>
          </w:p>
        </w:tc>
        <w:tc>
          <w:tcPr>
            <w:tcW w:w="5181"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0" w:firstLine="0"/>
              <w:jc w:val="left"/>
            </w:pPr>
            <w:r>
              <w:rPr>
                <w:b/>
                <w:sz w:val="18"/>
              </w:rPr>
              <w:t xml:space="preserve">Denominación  </w:t>
            </w:r>
          </w:p>
        </w:tc>
        <w:tc>
          <w:tcPr>
            <w:tcW w:w="119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2" w:firstLine="0"/>
              <w:jc w:val="left"/>
            </w:pPr>
            <w:r>
              <w:rPr>
                <w:b/>
                <w:sz w:val="18"/>
              </w:rPr>
              <w:t xml:space="preserve">Importe </w:t>
            </w:r>
          </w:p>
        </w:tc>
      </w:tr>
      <w:tr w:rsidR="00DA121A">
        <w:trPr>
          <w:trHeight w:val="484"/>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15100.22715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REDACCION Y DIRECCION OBRA DE URBANIZACION EN RUBEN MARICHAL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163.539,79 </w:t>
            </w:r>
          </w:p>
        </w:tc>
      </w:tr>
      <w:tr w:rsidR="00DA121A">
        <w:trPr>
          <w:trHeight w:val="562"/>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15100.60000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sz w:val="18"/>
              </w:rPr>
              <w:t xml:space="preserve">PARCELA DOTACIONAL BARRANCO HONDO - EXPROPIACION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82.631,85 </w:t>
            </w:r>
          </w:p>
        </w:tc>
      </w:tr>
      <w:tr w:rsidR="00DA121A">
        <w:trPr>
          <w:trHeight w:val="427"/>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41400.61901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OBRA REPAVIMENTACION CAMINO RURAL LOS ASOMADEROS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522.018,80 </w:t>
            </w:r>
          </w:p>
        </w:tc>
      </w:tr>
      <w:tr w:rsidR="00DA121A">
        <w:trPr>
          <w:trHeight w:val="293"/>
        </w:trPr>
        <w:tc>
          <w:tcPr>
            <w:tcW w:w="89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15320.62500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MOBILIARIO VIAS PUBLICAS (BANCOS Y PAPELERAS) </w:t>
            </w:r>
          </w:p>
        </w:tc>
        <w:tc>
          <w:tcPr>
            <w:tcW w:w="11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right"/>
            </w:pPr>
            <w:r>
              <w:rPr>
                <w:sz w:val="18"/>
              </w:rPr>
              <w:t xml:space="preserve">113.719,60 </w:t>
            </w:r>
          </w:p>
        </w:tc>
      </w:tr>
      <w:tr w:rsidR="00DA121A">
        <w:trPr>
          <w:trHeight w:val="576"/>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92000.62300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sz w:val="18"/>
              </w:rPr>
              <w:t xml:space="preserve">Proyecto Aire acondicionado y Microfonía digital Salón de Plenos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54.564,65 </w:t>
            </w:r>
          </w:p>
        </w:tc>
      </w:tr>
      <w:tr w:rsidR="00DA121A">
        <w:trPr>
          <w:trHeight w:val="418"/>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49200.62301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Proyecto Servidor CPD del DALIX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10.023,18 </w:t>
            </w:r>
          </w:p>
        </w:tc>
      </w:tr>
      <w:tr w:rsidR="00DA121A">
        <w:trPr>
          <w:trHeight w:val="564"/>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45900.61901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OBRAS DE ACCESIBILIDAD AULAS URBANIZACION LOS MENCEYES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73.949,71 </w:t>
            </w:r>
          </w:p>
        </w:tc>
      </w:tr>
      <w:tr w:rsidR="00DA121A">
        <w:trPr>
          <w:trHeight w:val="572"/>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33400.61901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sz w:val="18"/>
              </w:rPr>
              <w:t xml:space="preserve">IMPERMEABILIZACIÓN Y ACONDICIONAMIENTO EXTERIOR DE LA CASA D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16.047,86</w:t>
            </w:r>
            <w:r>
              <w:rPr>
                <w:sz w:val="18"/>
              </w:rPr>
              <w:t xml:space="preserve"> </w:t>
            </w:r>
          </w:p>
        </w:tc>
      </w:tr>
      <w:tr w:rsidR="00DA121A">
        <w:trPr>
          <w:trHeight w:val="552"/>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33400.61902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ACTUACIONES DE PROTECCIÓN FRENTE A DESPRENDIMIENTOS EN EL CE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39.112,37 </w:t>
            </w:r>
          </w:p>
        </w:tc>
      </w:tr>
      <w:tr w:rsidR="00DA121A">
        <w:trPr>
          <w:trHeight w:val="516"/>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15100.60910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OBRA PLAZA PLAYA LA VIUDA EQUIPAMIENTO DEPORTIVO Y ASISTENCIAL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783.913,06 </w:t>
            </w:r>
          </w:p>
        </w:tc>
      </w:tr>
      <w:tr w:rsidR="00DA121A">
        <w:trPr>
          <w:trHeight w:val="432"/>
        </w:trPr>
        <w:tc>
          <w:tcPr>
            <w:tcW w:w="2655" w:type="dxa"/>
            <w:gridSpan w:val="2"/>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5181" w:type="dxa"/>
            <w:tcBorders>
              <w:top w:val="single" w:sz="4" w:space="0" w:color="000000"/>
              <w:left w:val="nil"/>
              <w:bottom w:val="single" w:sz="4" w:space="0" w:color="000000"/>
              <w:right w:val="single" w:sz="4" w:space="0" w:color="000000"/>
            </w:tcBorders>
            <w:vAlign w:val="center"/>
          </w:tcPr>
          <w:p w:rsidR="00DA121A" w:rsidRDefault="00904DD6">
            <w:pPr>
              <w:spacing w:after="0" w:line="259" w:lineRule="auto"/>
              <w:ind w:left="0" w:right="52" w:firstLine="0"/>
              <w:jc w:val="right"/>
            </w:pPr>
            <w:r>
              <w:rPr>
                <w:b/>
                <w:sz w:val="18"/>
              </w:rPr>
              <w:t xml:space="preserve">Total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pPr>
            <w:r>
              <w:rPr>
                <w:b/>
                <w:sz w:val="18"/>
              </w:rPr>
              <w:t xml:space="preserve">1.859.520,87 </w:t>
            </w:r>
          </w:p>
        </w:tc>
      </w:tr>
    </w:tbl>
    <w:p w:rsidR="00DA121A" w:rsidRDefault="00904DD6">
      <w:pPr>
        <w:spacing w:after="0" w:line="259" w:lineRule="auto"/>
        <w:ind w:left="3080" w:firstLine="0"/>
        <w:jc w:val="left"/>
      </w:pPr>
      <w:r>
        <w:rPr>
          <w:b/>
          <w:sz w:val="18"/>
        </w:rPr>
        <w:t xml:space="preserve"> </w:t>
      </w:r>
    </w:p>
    <w:p w:rsidR="00DA121A" w:rsidRDefault="00904DD6">
      <w:pPr>
        <w:spacing w:after="0" w:line="259" w:lineRule="auto"/>
        <w:ind w:left="1184" w:firstLine="0"/>
        <w:jc w:val="left"/>
      </w:pPr>
      <w:r>
        <w:rPr>
          <w:b/>
          <w:sz w:val="18"/>
        </w:rPr>
        <w:t xml:space="preserve"> </w:t>
      </w:r>
    </w:p>
    <w:p w:rsidR="00DA121A" w:rsidRDefault="00904DD6">
      <w:pPr>
        <w:tabs>
          <w:tab w:val="center" w:pos="1184"/>
          <w:tab w:val="center" w:pos="2132"/>
          <w:tab w:val="center" w:pos="4334"/>
        </w:tabs>
        <w:spacing w:after="63" w:line="259" w:lineRule="auto"/>
        <w:ind w:left="0" w:firstLine="0"/>
        <w:jc w:val="left"/>
      </w:pPr>
      <w:r>
        <w:rPr>
          <w:rFonts w:ascii="Calibri" w:eastAsia="Calibri" w:hAnsi="Calibri" w:cs="Calibri"/>
        </w:rPr>
        <w:tab/>
      </w:r>
      <w:r>
        <w:rPr>
          <w:b/>
          <w:sz w:val="18"/>
        </w:rPr>
        <w:t xml:space="preserve"> </w:t>
      </w:r>
      <w:r>
        <w:rPr>
          <w:b/>
          <w:sz w:val="18"/>
        </w:rPr>
        <w:tab/>
      </w:r>
      <w:r>
        <w:rPr>
          <w:sz w:val="18"/>
        </w:rPr>
        <w:t xml:space="preserve"> </w:t>
      </w:r>
      <w:r>
        <w:rPr>
          <w:sz w:val="18"/>
        </w:rPr>
        <w:tab/>
      </w:r>
      <w:r>
        <w:rPr>
          <w:b/>
          <w:sz w:val="18"/>
        </w:rPr>
        <w:t xml:space="preserve">                 </w:t>
      </w:r>
      <w:r>
        <w:rPr>
          <w:b/>
          <w:sz w:val="18"/>
        </w:rPr>
        <w:t xml:space="preserve">Estado de ingresos </w:t>
      </w:r>
    </w:p>
    <w:p w:rsidR="00DA121A" w:rsidRDefault="00904DD6">
      <w:pPr>
        <w:spacing w:after="0" w:line="259" w:lineRule="auto"/>
        <w:ind w:left="2132" w:firstLine="0"/>
        <w:jc w:val="left"/>
      </w:pPr>
      <w:r>
        <w:rPr>
          <w:sz w:val="18"/>
        </w:rPr>
        <w:t xml:space="preserve"> </w:t>
      </w:r>
      <w:r>
        <w:rPr>
          <w:sz w:val="18"/>
        </w:rPr>
        <w:tab/>
      </w:r>
      <w:r>
        <w:rPr>
          <w:b/>
          <w:sz w:val="18"/>
        </w:rPr>
        <w:t xml:space="preserve"> </w:t>
      </w:r>
      <w:r>
        <w:rPr>
          <w:b/>
          <w:sz w:val="18"/>
        </w:rPr>
        <w:tab/>
        <w:t xml:space="preserve"> </w:t>
      </w:r>
    </w:p>
    <w:tbl>
      <w:tblPr>
        <w:tblStyle w:val="TableGrid"/>
        <w:tblW w:w="9028" w:type="dxa"/>
        <w:tblInd w:w="354" w:type="dxa"/>
        <w:tblCellMar>
          <w:top w:w="4" w:type="dxa"/>
          <w:left w:w="0" w:type="dxa"/>
          <w:bottom w:w="8" w:type="dxa"/>
          <w:right w:w="18" w:type="dxa"/>
        </w:tblCellMar>
        <w:tblLook w:val="04A0" w:firstRow="1" w:lastRow="0" w:firstColumn="1" w:lastColumn="0" w:noHBand="0" w:noVBand="1"/>
      </w:tblPr>
      <w:tblGrid>
        <w:gridCol w:w="2655"/>
        <w:gridCol w:w="4694"/>
        <w:gridCol w:w="487"/>
        <w:gridCol w:w="1192"/>
      </w:tblGrid>
      <w:tr w:rsidR="00DA121A">
        <w:trPr>
          <w:trHeight w:val="216"/>
        </w:trPr>
        <w:tc>
          <w:tcPr>
            <w:tcW w:w="2655"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4" w:firstLine="0"/>
              <w:jc w:val="center"/>
            </w:pPr>
            <w:r>
              <w:rPr>
                <w:b/>
                <w:sz w:val="18"/>
              </w:rPr>
              <w:t xml:space="preserve">Aplicación  </w:t>
            </w:r>
          </w:p>
        </w:tc>
        <w:tc>
          <w:tcPr>
            <w:tcW w:w="4694" w:type="dxa"/>
            <w:tcBorders>
              <w:top w:val="single" w:sz="4" w:space="0" w:color="000000"/>
              <w:left w:val="single" w:sz="4" w:space="0" w:color="000000"/>
              <w:bottom w:val="single" w:sz="4" w:space="0" w:color="000000"/>
              <w:right w:val="nil"/>
            </w:tcBorders>
            <w:shd w:val="clear" w:color="auto" w:fill="BFBFBF"/>
          </w:tcPr>
          <w:p w:rsidR="00DA121A" w:rsidRDefault="00904DD6">
            <w:pPr>
              <w:spacing w:after="0" w:line="259" w:lineRule="auto"/>
              <w:ind w:left="71" w:firstLine="0"/>
              <w:jc w:val="left"/>
            </w:pPr>
            <w:r>
              <w:rPr>
                <w:b/>
                <w:sz w:val="18"/>
              </w:rPr>
              <w:t xml:space="preserve">Denominación  </w:t>
            </w:r>
          </w:p>
        </w:tc>
        <w:tc>
          <w:tcPr>
            <w:tcW w:w="487" w:type="dxa"/>
            <w:tcBorders>
              <w:top w:val="single" w:sz="4" w:space="0" w:color="000000"/>
              <w:left w:val="nil"/>
              <w:bottom w:val="single" w:sz="4" w:space="0" w:color="000000"/>
              <w:right w:val="single" w:sz="4" w:space="0" w:color="000000"/>
            </w:tcBorders>
            <w:shd w:val="clear" w:color="auto" w:fill="BFBFBF"/>
          </w:tcPr>
          <w:p w:rsidR="00DA121A" w:rsidRDefault="00DA121A">
            <w:pPr>
              <w:spacing w:after="160" w:line="259" w:lineRule="auto"/>
              <w:ind w:left="0" w:firstLine="0"/>
              <w:jc w:val="left"/>
            </w:pPr>
          </w:p>
        </w:tc>
        <w:tc>
          <w:tcPr>
            <w:tcW w:w="1192"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73" w:firstLine="0"/>
              <w:jc w:val="left"/>
            </w:pPr>
            <w:r>
              <w:rPr>
                <w:b/>
                <w:sz w:val="18"/>
              </w:rPr>
              <w:t xml:space="preserve">Importe </w:t>
            </w:r>
          </w:p>
        </w:tc>
      </w:tr>
      <w:tr w:rsidR="00DA121A">
        <w:trPr>
          <w:trHeight w:val="344"/>
        </w:trPr>
        <w:tc>
          <w:tcPr>
            <w:tcW w:w="265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9" w:firstLine="0"/>
              <w:jc w:val="center"/>
            </w:pPr>
            <w:r>
              <w:rPr>
                <w:sz w:val="18"/>
              </w:rPr>
              <w:t xml:space="preserve">87000 </w:t>
            </w:r>
          </w:p>
        </w:tc>
        <w:tc>
          <w:tcPr>
            <w:tcW w:w="4694" w:type="dxa"/>
            <w:tcBorders>
              <w:top w:val="single" w:sz="4" w:space="0" w:color="000000"/>
              <w:left w:val="single" w:sz="4" w:space="0" w:color="000000"/>
              <w:bottom w:val="single" w:sz="4" w:space="0" w:color="000000"/>
              <w:right w:val="nil"/>
            </w:tcBorders>
            <w:vAlign w:val="bottom"/>
          </w:tcPr>
          <w:p w:rsidR="00DA121A" w:rsidRDefault="00904DD6">
            <w:pPr>
              <w:spacing w:after="0" w:line="259" w:lineRule="auto"/>
              <w:ind w:left="71" w:firstLine="0"/>
              <w:jc w:val="left"/>
            </w:pPr>
            <w:r>
              <w:rPr>
                <w:sz w:val="18"/>
              </w:rPr>
              <w:t xml:space="preserve">Remanente de Tesorería para gastos generales </w:t>
            </w:r>
          </w:p>
        </w:tc>
        <w:tc>
          <w:tcPr>
            <w:tcW w:w="487" w:type="dxa"/>
            <w:tcBorders>
              <w:top w:val="single" w:sz="4" w:space="0" w:color="000000"/>
              <w:left w:val="nil"/>
              <w:bottom w:val="single" w:sz="4" w:space="0" w:color="000000"/>
              <w:right w:val="single" w:sz="4" w:space="0" w:color="000000"/>
            </w:tcBorders>
            <w:vAlign w:val="center"/>
          </w:tcPr>
          <w:p w:rsidR="00DA121A" w:rsidRDefault="00DA121A">
            <w:pPr>
              <w:spacing w:after="160" w:line="259" w:lineRule="auto"/>
              <w:ind w:left="0" w:firstLine="0"/>
              <w:jc w:val="left"/>
            </w:pP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73" w:firstLine="0"/>
            </w:pPr>
            <w:r>
              <w:rPr>
                <w:sz w:val="18"/>
              </w:rPr>
              <w:t xml:space="preserve">1.859.520,87 </w:t>
            </w:r>
          </w:p>
        </w:tc>
      </w:tr>
      <w:tr w:rsidR="00DA121A">
        <w:trPr>
          <w:trHeight w:val="279"/>
        </w:trPr>
        <w:tc>
          <w:tcPr>
            <w:tcW w:w="2655" w:type="dxa"/>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4694" w:type="dxa"/>
            <w:tcBorders>
              <w:top w:val="single" w:sz="4" w:space="0" w:color="000000"/>
              <w:left w:val="nil"/>
              <w:bottom w:val="single" w:sz="4" w:space="0" w:color="000000"/>
              <w:right w:val="nil"/>
            </w:tcBorders>
          </w:tcPr>
          <w:p w:rsidR="00DA121A" w:rsidRDefault="00DA121A">
            <w:pPr>
              <w:spacing w:after="160" w:line="259" w:lineRule="auto"/>
              <w:ind w:left="0" w:firstLine="0"/>
              <w:jc w:val="left"/>
            </w:pPr>
          </w:p>
        </w:tc>
        <w:tc>
          <w:tcPr>
            <w:tcW w:w="48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pPr>
            <w:r>
              <w:rPr>
                <w:b/>
                <w:sz w:val="18"/>
              </w:rPr>
              <w:t xml:space="preserve">Total </w:t>
            </w:r>
          </w:p>
        </w:tc>
        <w:tc>
          <w:tcPr>
            <w:tcW w:w="11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3" w:firstLine="0"/>
            </w:pPr>
            <w:r>
              <w:rPr>
                <w:b/>
                <w:sz w:val="18"/>
              </w:rPr>
              <w:t xml:space="preserve">1.859.520,87 </w:t>
            </w:r>
          </w:p>
        </w:tc>
      </w:tr>
    </w:tbl>
    <w:p w:rsidR="00DA121A" w:rsidRDefault="00904DD6">
      <w:pPr>
        <w:spacing w:after="65" w:line="259" w:lineRule="auto"/>
        <w:ind w:left="279"/>
        <w:jc w:val="left"/>
      </w:pPr>
      <w:r>
        <w:rPr>
          <w:sz w:val="18"/>
        </w:rPr>
        <w:t xml:space="preserve">.” </w:t>
      </w:r>
    </w:p>
    <w:p w:rsidR="00DA121A" w:rsidRDefault="00904DD6">
      <w:pPr>
        <w:spacing w:after="153" w:line="259" w:lineRule="auto"/>
        <w:ind w:left="992" w:firstLine="0"/>
        <w:jc w:val="left"/>
      </w:pPr>
      <w:r>
        <w:t xml:space="preserve"> </w:t>
      </w:r>
    </w:p>
    <w:p w:rsidR="00DA121A" w:rsidRDefault="00904DD6">
      <w:pPr>
        <w:spacing w:after="164"/>
        <w:ind w:left="278" w:right="146" w:firstLine="708"/>
      </w:pPr>
      <w:r>
        <w:t>Vista las Memorias, informes técnicos, proyectos de obra y presupuestos, de las actuaciones que se quieren llevar a cabo, en la que se justifican la necesidad y urgencia de la modificación presupuestaria, requisito que se establece en la base 9ª del Presup</w:t>
      </w:r>
      <w:r>
        <w:t xml:space="preserve">uesto General, y siendo un gasto específico y determinado, ante la imposibilidad de demorarlo a ejercicios posteriores, y no habiendo crédito suficiente en las aplicaciones presupuestarias. </w:t>
      </w:r>
    </w:p>
    <w:p w:rsidR="00DA121A" w:rsidRDefault="00904DD6">
      <w:pPr>
        <w:spacing w:after="34"/>
        <w:ind w:left="288" w:right="146"/>
      </w:pPr>
      <w:r>
        <w:rPr>
          <w:b/>
        </w:rPr>
        <w:t xml:space="preserve">PRIMERO. </w:t>
      </w:r>
      <w:r>
        <w:t>Visto Acuerdo del Congreso de los Diputados del 22 de se</w:t>
      </w:r>
      <w:r>
        <w:t>ptiembre de 2022por el que el Congreso de los Diputados, a petición del Gobierno, ha respaldado que en España se mantienen las condiciones de excepcionalidad que aconsejan y justifican mantener la suspensión de las reglas fiscales, en línea con la recomend</w:t>
      </w:r>
      <w:r>
        <w:t>ación de la Comisión Europea, que también ha decidido extender la cláusula de salvaguarda del Pacto de Estabilidad y Crecimiento ante la crisis desatada por el encarecimiento de precios derivados de la invasión rusa de Ucrania.</w:t>
      </w:r>
      <w:r>
        <w:rPr>
          <w:sz w:val="24"/>
        </w:rPr>
        <w:t xml:space="preserve"> </w:t>
      </w:r>
    </w:p>
    <w:p w:rsidR="00DA121A" w:rsidRDefault="00904DD6">
      <w:pPr>
        <w:spacing w:after="33"/>
        <w:ind w:left="288" w:right="146"/>
      </w:pPr>
      <w:r>
        <w:t xml:space="preserve"> Atendiendo al acuerdo del </w:t>
      </w:r>
      <w:r>
        <w:t>Consejo de Ministros de 26 de julio de 2022, mediante el que se acuerda: “</w:t>
      </w:r>
      <w:r>
        <w:rPr>
          <w:b/>
        </w:rPr>
        <w:t xml:space="preserve">Suspensión de las reglas fiscales: </w:t>
      </w:r>
      <w:r>
        <w:t>El acuerdo de Consejo de Ministros también incluye el mantenimiento de la suspensión de las reglas fiscales. Una medida que ya se ha realizado en a</w:t>
      </w:r>
      <w:r>
        <w:t>ños anteriores y va en línea con la decisión de la Comisión Europea de mantener la cláusula de salvaguarda del Pacto de Estabilidad y Crecimiento también para 2023. Esto permite dotar a los países de mayor flexibilidad para afrontar la crisis derivada de l</w:t>
      </w:r>
      <w:r>
        <w:t xml:space="preserve">a invasión de Ucrania. </w:t>
      </w:r>
      <w:r>
        <w:rPr>
          <w:rFonts w:ascii="Times New Roman" w:eastAsia="Times New Roman" w:hAnsi="Times New Roman" w:cs="Times New Roman"/>
          <w:sz w:val="24"/>
        </w:rPr>
        <w:t xml:space="preserve"> </w:t>
      </w:r>
    </w:p>
    <w:p w:rsidR="00DA121A" w:rsidRDefault="00904DD6">
      <w:pPr>
        <w:ind w:left="288" w:right="146"/>
      </w:pPr>
      <w:r>
        <w:t>Por tanto, el Gobierno solicitará de nuevo al Congreso de los Diputados que aprecie si en España concurren las circunstancias extraordinarias previstas en el artículo 135.4 de la Constitución Española y 11.3 de la Ley Orgánica de Estabilidad Presupuestaria</w:t>
      </w:r>
      <w:r>
        <w:t xml:space="preserve"> y Sostenibilidad Financiera. Es el mismo trámite que se siguió en años anteriores para suspender las reglas fiscales nacionales.   </w:t>
      </w:r>
    </w:p>
    <w:p w:rsidR="00DA121A" w:rsidRDefault="00904DD6">
      <w:pPr>
        <w:ind w:left="288" w:right="146"/>
      </w:pPr>
      <w:r>
        <w:t>En cualquier caso, la suspensión de las reglas fiscales no implica abandonar la responsabilidad fiscal, sino que el comprom</w:t>
      </w:r>
      <w:r>
        <w:t xml:space="preserve">iso con la reducción del déficit público se mantiene con una senda descendente que llevará al déficit por debajo del 3% en 2025.” </w:t>
      </w:r>
    </w:p>
    <w:p w:rsidR="00DA121A" w:rsidRDefault="00904DD6">
      <w:pPr>
        <w:ind w:left="288" w:right="146"/>
      </w:pPr>
      <w:r>
        <w:t xml:space="preserve"> La suspensión de las reglas fiscales ha supuesto que el superávit no tenga que dedicarse a amortizar deuda, aun siendo posib</w:t>
      </w:r>
      <w:r>
        <w:t>le realizar esta amortización si la EELL lo considera. La regla del artículo 32 de la LOEPSF puede no aplicarse a partir del momento en que se han suspendido las reglas fiscales, ya que estas son el fundamento de aquella regla. Regla que conecta con el obj</w:t>
      </w:r>
      <w:r>
        <w:t xml:space="preserve">etivo de estabilidad presupuestaria y con el de deuda pública.  </w:t>
      </w:r>
    </w:p>
    <w:p w:rsidR="00DA121A" w:rsidRDefault="00904DD6">
      <w:pPr>
        <w:spacing w:after="0" w:line="259" w:lineRule="auto"/>
        <w:ind w:left="992" w:firstLine="0"/>
        <w:jc w:val="left"/>
      </w:pPr>
      <w:r>
        <w:t xml:space="preserve"> </w:t>
      </w:r>
    </w:p>
    <w:p w:rsidR="00DA121A" w:rsidRDefault="00904DD6">
      <w:pPr>
        <w:ind w:left="288" w:right="146"/>
      </w:pPr>
      <w:r>
        <w:t xml:space="preserve"> Al no ser aplicable la regla general, tampoco es necesaria la regla especial de destinar el superávit a inversiones financieramente sostenibles, salvo las excepciones siguientes, o mediant</w:t>
      </w:r>
      <w:r>
        <w:t xml:space="preserve">e norma posterior que prorrogue íntegramente la DA 6ª de la LOEPSF. </w:t>
      </w:r>
    </w:p>
    <w:p w:rsidR="00DA121A" w:rsidRDefault="00904DD6">
      <w:pPr>
        <w:spacing w:after="59" w:line="259" w:lineRule="auto"/>
        <w:ind w:left="284" w:firstLine="0"/>
        <w:jc w:val="left"/>
      </w:pPr>
      <w:r>
        <w:t xml:space="preserve"> </w:t>
      </w:r>
      <w:r>
        <w:tab/>
        <w:t xml:space="preserve"> </w:t>
      </w:r>
    </w:p>
    <w:p w:rsidR="00DA121A" w:rsidRDefault="00904DD6">
      <w:pPr>
        <w:spacing w:after="30"/>
        <w:ind w:left="288" w:right="146"/>
      </w:pPr>
      <w:r>
        <w:rPr>
          <w:b/>
        </w:rPr>
        <w:t>SEGUNDO</w:t>
      </w:r>
      <w:r>
        <w:t>. La legislación aplicable es la siguiente:</w:t>
      </w:r>
      <w:r>
        <w:rPr>
          <w:rFonts w:ascii="Times New Roman" w:eastAsia="Times New Roman" w:hAnsi="Times New Roman" w:cs="Times New Roman"/>
          <w:sz w:val="24"/>
        </w:rPr>
        <w:t xml:space="preserve"> </w:t>
      </w:r>
    </w:p>
    <w:p w:rsidR="00DA121A" w:rsidRDefault="00904DD6">
      <w:pPr>
        <w:numPr>
          <w:ilvl w:val="0"/>
          <w:numId w:val="29"/>
        </w:numPr>
        <w:spacing w:after="39" w:line="259" w:lineRule="auto"/>
        <w:ind w:right="146" w:hanging="360"/>
      </w:pPr>
      <w:r>
        <w:t xml:space="preserve">Los artículos 169, 170 y 172 a 177 del Real Decreto Legislativo 2/2004, de 5 de marzo, por el que se aprueba el Texto Refundido de </w:t>
      </w:r>
      <w:r>
        <w:t xml:space="preserve">la Ley Reguladora de las Haciendas Locales.  </w:t>
      </w:r>
    </w:p>
    <w:p w:rsidR="00DA121A" w:rsidRDefault="00904DD6">
      <w:pPr>
        <w:numPr>
          <w:ilvl w:val="0"/>
          <w:numId w:val="29"/>
        </w:numPr>
        <w:spacing w:after="56" w:line="242" w:lineRule="auto"/>
        <w:ind w:right="146" w:hanging="360"/>
      </w:pPr>
      <w:r>
        <w:t xml:space="preserve">Los artículos 34 a 38 del Real Decreto 500/1990, de 20 de abril, por el que se desarrolla el Capítulo I, del Título VI, de la Ley 39/1988, de 28 de diciembre, Reguladora de las Haciendas Locales, en materia de </w:t>
      </w:r>
      <w:r>
        <w:t xml:space="preserve">presupuestos. </w:t>
      </w:r>
    </w:p>
    <w:p w:rsidR="00DA121A" w:rsidRDefault="00904DD6">
      <w:pPr>
        <w:numPr>
          <w:ilvl w:val="0"/>
          <w:numId w:val="29"/>
        </w:numPr>
        <w:ind w:right="146" w:hanging="360"/>
      </w:pPr>
      <w:r>
        <w:t xml:space="preserve">Los artículos 3, 4, 11, 12, 13, 21, 23 y 32 de la Ley Orgánica 2/2012, de 27 de abril, de Estabilidad Presupuestaria y Sostenibilidad Financiera.  </w:t>
      </w:r>
    </w:p>
    <w:p w:rsidR="00DA121A" w:rsidRDefault="00904DD6">
      <w:pPr>
        <w:numPr>
          <w:ilvl w:val="0"/>
          <w:numId w:val="29"/>
        </w:numPr>
        <w:spacing w:after="52"/>
        <w:ind w:right="146" w:hanging="360"/>
      </w:pPr>
      <w:r>
        <w:t xml:space="preserve">El artículo 16.2 del Real Decreto 1463/2007, de 2 de noviembre, por el que se aprueba el Reglamento de Desarrollo de la Ley 18/2001, de 12 de noviembre, de Estabilidad Presupuestaria, en su Aplicación a las Entidades Locales. </w:t>
      </w:r>
    </w:p>
    <w:p w:rsidR="00DA121A" w:rsidRDefault="00904DD6">
      <w:pPr>
        <w:numPr>
          <w:ilvl w:val="0"/>
          <w:numId w:val="29"/>
        </w:numPr>
        <w:spacing w:after="51"/>
        <w:ind w:right="146" w:hanging="360"/>
      </w:pPr>
      <w:r>
        <w:t>El artículo 22.2.e) de la Ley</w:t>
      </w:r>
      <w:r>
        <w:t xml:space="preserve"> 7/1985, de 2 de abril, Reguladora de las Bases del Régimen Local. </w:t>
      </w:r>
    </w:p>
    <w:p w:rsidR="00DA121A" w:rsidRDefault="00904DD6">
      <w:pPr>
        <w:numPr>
          <w:ilvl w:val="0"/>
          <w:numId w:val="29"/>
        </w:numPr>
        <w:spacing w:after="88"/>
        <w:ind w:right="146" w:hanging="360"/>
      </w:pPr>
      <w:r>
        <w:t xml:space="preserve">La Disposición Adicional 6.ª de la Ley Orgánica 2/2012, de 27 de abril, de Estabilidad Presupuestaria y Sostenibilidad Financiera. </w:t>
      </w:r>
    </w:p>
    <w:p w:rsidR="00DA121A" w:rsidRDefault="00904DD6">
      <w:pPr>
        <w:numPr>
          <w:ilvl w:val="0"/>
          <w:numId w:val="29"/>
        </w:numPr>
        <w:spacing w:after="35"/>
        <w:ind w:right="146" w:hanging="360"/>
      </w:pPr>
      <w:r>
        <w:t>La Orden EHA/3565/2008, de 3 de diciembre, por la que se</w:t>
      </w:r>
      <w:r>
        <w:t xml:space="preserve"> aprueba la estructura de presupuestos de las entidades locales. - Resolución de 14 de septiembre de 2009, de la Dirección General de Coordinación Financiera con las Comunidades Autónomas y con las Entidades Locales, por la que se Dictan Medidas para el De</w:t>
      </w:r>
      <w:r>
        <w:t>sarrollo de la Orden EHA/3565/2008, de 3 de diciembre, por la que se Aprueba la Estructura de los Presupuestos de las Entidades Locales</w:t>
      </w:r>
      <w:r>
        <w:rPr>
          <w:b/>
        </w:rPr>
        <w:t>.</w:t>
      </w:r>
      <w:r>
        <w:rPr>
          <w:rFonts w:ascii="Times New Roman" w:eastAsia="Times New Roman" w:hAnsi="Times New Roman" w:cs="Times New Roman"/>
          <w:sz w:val="24"/>
        </w:rPr>
        <w:t xml:space="preserve"> </w:t>
      </w:r>
    </w:p>
    <w:p w:rsidR="00DA121A" w:rsidRDefault="00904DD6">
      <w:pPr>
        <w:numPr>
          <w:ilvl w:val="0"/>
          <w:numId w:val="29"/>
        </w:numPr>
        <w:spacing w:after="51"/>
        <w:ind w:right="146" w:hanging="360"/>
      </w:pPr>
      <w:r>
        <w:t xml:space="preserve">La Disposición Adicional 16.ª del Texto Refundido de la Ley Reguladora de las Haciendas Locales.  </w:t>
      </w:r>
    </w:p>
    <w:p w:rsidR="00DA121A" w:rsidRDefault="00904DD6">
      <w:pPr>
        <w:numPr>
          <w:ilvl w:val="0"/>
          <w:numId w:val="29"/>
        </w:numPr>
        <w:spacing w:after="53"/>
        <w:ind w:right="146" w:hanging="360"/>
      </w:pPr>
      <w:r>
        <w:t>Acuerdo del Congres</w:t>
      </w:r>
      <w:r>
        <w:t>o de los Diputados del 13 de octubre de 2020, relativo al Objetivo de Estabilidad Presupuestaria, según acuerdo del Consejo de Ministros de 6 de octubre de 2020 de “Someter a la deliberación del Pleno, a los efectos previstos en los artículos 135.4 de la C</w:t>
      </w:r>
      <w:r>
        <w:t xml:space="preserve">onstitución y 11.3 de la Ley Orgánica 2/2012, de 27 de abril, de Estabilidad Presupuestaria y Sostenibilidad Financiera y publicar en el Boletín Oficial de las Cortes Generales.” </w:t>
      </w:r>
    </w:p>
    <w:p w:rsidR="00DA121A" w:rsidRDefault="00904DD6">
      <w:pPr>
        <w:spacing w:after="0" w:line="259" w:lineRule="auto"/>
        <w:ind w:left="284" w:firstLine="0"/>
        <w:jc w:val="left"/>
      </w:pPr>
      <w:r>
        <w:t xml:space="preserve"> </w:t>
      </w:r>
    </w:p>
    <w:p w:rsidR="00DA121A" w:rsidRDefault="00904DD6">
      <w:pPr>
        <w:ind w:left="288" w:right="146"/>
      </w:pPr>
      <w:r>
        <w:rPr>
          <w:b/>
        </w:rPr>
        <w:t>TERCERO</w:t>
      </w:r>
      <w:r>
        <w:t>: Considerando que el artículo 177 del Real Decreto Legislativo 2/2</w:t>
      </w:r>
      <w:r>
        <w:t>004, de 5 de marzo, por el que se aprueba el texto refundido de la Ley Reguladora de las Haciendas Locales, regula los expedientes de modificación presupuestaria mediante créditos extraordinarios y suplementos de crédito, al señalar que:</w:t>
      </w:r>
      <w:r>
        <w:rPr>
          <w:rFonts w:ascii="Times New Roman" w:eastAsia="Times New Roman" w:hAnsi="Times New Roman" w:cs="Times New Roman"/>
          <w:sz w:val="24"/>
        </w:rPr>
        <w:t xml:space="preserve"> </w:t>
      </w:r>
    </w:p>
    <w:p w:rsidR="00DA121A" w:rsidRDefault="00904DD6">
      <w:pPr>
        <w:numPr>
          <w:ilvl w:val="0"/>
          <w:numId w:val="30"/>
        </w:numPr>
        <w:ind w:right="146" w:hanging="360"/>
      </w:pPr>
      <w:r>
        <w:t>Cuando haya de re</w:t>
      </w:r>
      <w:r>
        <w:t xml:space="preserve">alizarse algún gasto que no pueda demorarse hasta el ejercicio siguiente, y sea insuficiente en el presupuesto de la corporación el crédito consignado, el presidente de la corporación ordenará la incoación del expediente de suplemento de crédito.  </w:t>
      </w:r>
    </w:p>
    <w:p w:rsidR="00DA121A" w:rsidRDefault="00904DD6">
      <w:pPr>
        <w:numPr>
          <w:ilvl w:val="0"/>
          <w:numId w:val="30"/>
        </w:numPr>
        <w:ind w:right="146" w:hanging="360"/>
      </w:pPr>
      <w:r>
        <w:t>El expe</w:t>
      </w:r>
      <w:r>
        <w:t>diente, que habrá de ser previamente informado por la Intervención, se someterá a la aprobación del Pleno de la corporación, con sujeción a los mismos trámites y requisitos que los presupuestos. Serán, asimismo, de aplicación, las normas sobre información,</w:t>
      </w:r>
      <w:r>
        <w:t xml:space="preserve"> reclamación y publicidad de los presupuestos a que se refiere el artículo 169 de esta ley.  </w:t>
      </w:r>
    </w:p>
    <w:p w:rsidR="00DA121A" w:rsidRDefault="00904DD6">
      <w:pPr>
        <w:numPr>
          <w:ilvl w:val="0"/>
          <w:numId w:val="30"/>
        </w:numPr>
        <w:ind w:right="146" w:hanging="360"/>
      </w:pPr>
      <w:r>
        <w:t xml:space="preserve">El expediente deberá especificar la concreta partida presupuestaria a incrementar y el medio o recurso que ha de financiar el aumento que se propone. </w:t>
      </w:r>
    </w:p>
    <w:p w:rsidR="00DA121A" w:rsidRDefault="00904DD6">
      <w:pPr>
        <w:numPr>
          <w:ilvl w:val="0"/>
          <w:numId w:val="30"/>
        </w:numPr>
        <w:ind w:right="146" w:hanging="360"/>
      </w:pPr>
      <w:r>
        <w:t>Dicho aumen</w:t>
      </w:r>
      <w:r>
        <w:t>to se financiará con cargo al remanente líquido de tesorería, con nuevos o mayores ingresos recaudados sobre los totales previstos en el presupuesto corriente, y mediante anulaciones o bajas de créditos de gastos de otras partidas del presupuesto vigente n</w:t>
      </w:r>
      <w:r>
        <w:t xml:space="preserve">o comprometidos, cuyas dotaciones se estimen reducibles sin perturbación del respectivo servicio. En el expediente se acreditará que los ingresos previstos en el presupuesto vengan efectuándose con normalidad, salvo que aquéllos tengan carácter finalista. </w:t>
      </w:r>
      <w:r>
        <w:t xml:space="preserve"> </w:t>
      </w:r>
    </w:p>
    <w:p w:rsidR="00DA121A" w:rsidRDefault="00904DD6">
      <w:pPr>
        <w:spacing w:after="0" w:line="259" w:lineRule="auto"/>
        <w:ind w:left="284" w:firstLine="0"/>
        <w:jc w:val="left"/>
      </w:pPr>
      <w:r>
        <w:rPr>
          <w:b/>
        </w:rPr>
        <w:t xml:space="preserve"> </w:t>
      </w:r>
    </w:p>
    <w:p w:rsidR="00DA121A" w:rsidRDefault="00904DD6">
      <w:pPr>
        <w:ind w:left="288" w:right="146"/>
      </w:pPr>
      <w:r>
        <w:rPr>
          <w:b/>
        </w:rPr>
        <w:t>CUARTO:</w:t>
      </w:r>
      <w:r>
        <w:t xml:space="preserve"> Vista la Liquidación del Presupuesto general 2022, aprobada por </w:t>
      </w:r>
      <w:r>
        <w:rPr>
          <w:b/>
        </w:rPr>
        <w:t xml:space="preserve">decreto 550/2023 </w:t>
      </w:r>
      <w:r>
        <w:t xml:space="preserve">de 1/03/2023, donde se aprueba un Remanente de Tesorería para gastos Generales (RTGG) por un importe de </w:t>
      </w:r>
      <w:r>
        <w:rPr>
          <w:b/>
        </w:rPr>
        <w:t>23.408.195,38€</w:t>
      </w:r>
      <w:r>
        <w:t>.</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r>
        <w:tab/>
        <w:t xml:space="preserve"> </w:t>
      </w:r>
    </w:p>
    <w:p w:rsidR="00DA121A" w:rsidRDefault="00904DD6">
      <w:pPr>
        <w:ind w:left="288" w:right="146"/>
      </w:pPr>
      <w:r>
        <w:t xml:space="preserve">Visto Expediente 2209/2023 de Incorporación de Créditos financiados con RTGG, por un importe total de 9.490.282,51€; queda un disponible de Remanente de Tesorería para gastos Generales (RTGG) de </w:t>
      </w:r>
      <w:r>
        <w:rPr>
          <w:b/>
        </w:rPr>
        <w:t>13.917.912,87€.</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121" w:line="242" w:lineRule="auto"/>
        <w:ind w:left="279" w:right="99"/>
        <w:jc w:val="left"/>
      </w:pPr>
      <w:r>
        <w:rPr>
          <w:b/>
        </w:rPr>
        <w:t>QUINTO:</w:t>
      </w:r>
      <w:r>
        <w:t xml:space="preserve"> Que el expediente de modificación </w:t>
      </w:r>
      <w:r>
        <w:t xml:space="preserve">presupuestaria </w:t>
      </w:r>
      <w:r>
        <w:rPr>
          <w:b/>
        </w:rPr>
        <w:t>nº 3304/2023</w:t>
      </w:r>
      <w:r>
        <w:t xml:space="preserve"> de modificación presupuestaria por </w:t>
      </w:r>
      <w:r>
        <w:rPr>
          <w:b/>
        </w:rPr>
        <w:t xml:space="preserve">Créditos extraordinarios </w:t>
      </w:r>
      <w:r>
        <w:t>financiado con Remanente de Tesorería para gastos generales, por una cantidad total de</w:t>
      </w:r>
      <w:r>
        <w:rPr>
          <w:b/>
        </w:rPr>
        <w:t xml:space="preserve"> 1.859.520,87 euros</w:t>
      </w:r>
      <w:r>
        <w:t xml:space="preserve">, de acuerdo al siguiente detalle: </w:t>
      </w:r>
    </w:p>
    <w:p w:rsidR="00DA121A" w:rsidRDefault="00904DD6">
      <w:pPr>
        <w:spacing w:after="58" w:line="259" w:lineRule="auto"/>
        <w:ind w:left="284" w:firstLine="0"/>
        <w:jc w:val="left"/>
      </w:pPr>
      <w:r>
        <w:t xml:space="preserve"> </w:t>
      </w:r>
    </w:p>
    <w:p w:rsidR="00DA121A" w:rsidRDefault="00904DD6">
      <w:pPr>
        <w:spacing w:after="0" w:line="259" w:lineRule="auto"/>
        <w:ind w:left="3090"/>
        <w:jc w:val="left"/>
      </w:pPr>
      <w:r>
        <w:rPr>
          <w:b/>
          <w:sz w:val="18"/>
        </w:rPr>
        <w:t xml:space="preserve">                   Estado</w:t>
      </w:r>
      <w:r>
        <w:rPr>
          <w:b/>
          <w:sz w:val="18"/>
        </w:rPr>
        <w:t xml:space="preserve"> de gastos </w:t>
      </w:r>
    </w:p>
    <w:p w:rsidR="00DA121A" w:rsidRDefault="00904DD6">
      <w:pPr>
        <w:spacing w:after="0" w:line="259" w:lineRule="auto"/>
        <w:ind w:left="423" w:firstLine="0"/>
        <w:jc w:val="left"/>
      </w:pPr>
      <w:r>
        <w:rPr>
          <w:rFonts w:ascii="Times New Roman" w:eastAsia="Times New Roman" w:hAnsi="Times New Roman" w:cs="Times New Roman"/>
          <w:sz w:val="18"/>
        </w:rPr>
        <w:t xml:space="preserve"> </w:t>
      </w:r>
    </w:p>
    <w:p w:rsidR="00DA121A" w:rsidRDefault="00904DD6">
      <w:pPr>
        <w:spacing w:after="0" w:line="259" w:lineRule="auto"/>
        <w:ind w:left="2132"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b/>
          <w:sz w:val="18"/>
        </w:rPr>
        <w:t xml:space="preserve"> </w:t>
      </w:r>
      <w:r>
        <w:rPr>
          <w:b/>
          <w:sz w:val="18"/>
        </w:rPr>
        <w:tab/>
        <w:t xml:space="preserve"> </w:t>
      </w:r>
    </w:p>
    <w:tbl>
      <w:tblPr>
        <w:tblStyle w:val="TableGrid"/>
        <w:tblW w:w="9028" w:type="dxa"/>
        <w:tblInd w:w="354" w:type="dxa"/>
        <w:tblCellMar>
          <w:top w:w="4" w:type="dxa"/>
          <w:left w:w="71" w:type="dxa"/>
          <w:bottom w:w="5" w:type="dxa"/>
          <w:right w:w="18" w:type="dxa"/>
        </w:tblCellMar>
        <w:tblLook w:val="04A0" w:firstRow="1" w:lastRow="0" w:firstColumn="1" w:lastColumn="0" w:noHBand="0" w:noVBand="1"/>
      </w:tblPr>
      <w:tblGrid>
        <w:gridCol w:w="898"/>
        <w:gridCol w:w="1757"/>
        <w:gridCol w:w="5181"/>
        <w:gridCol w:w="1192"/>
      </w:tblGrid>
      <w:tr w:rsidR="00DA121A">
        <w:trPr>
          <w:trHeight w:val="626"/>
        </w:trPr>
        <w:tc>
          <w:tcPr>
            <w:tcW w:w="898"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right="18" w:firstLine="5"/>
              <w:jc w:val="center"/>
            </w:pPr>
            <w:r>
              <w:rPr>
                <w:b/>
                <w:sz w:val="18"/>
              </w:rPr>
              <w:t xml:space="preserve">Proyecto gasto </w:t>
            </w:r>
          </w:p>
        </w:tc>
        <w:tc>
          <w:tcPr>
            <w:tcW w:w="1757"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0" w:firstLine="0"/>
              <w:jc w:val="left"/>
            </w:pPr>
            <w:r>
              <w:rPr>
                <w:b/>
                <w:sz w:val="18"/>
              </w:rPr>
              <w:t xml:space="preserve">Aplicación  </w:t>
            </w:r>
          </w:p>
        </w:tc>
        <w:tc>
          <w:tcPr>
            <w:tcW w:w="5181"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0" w:firstLine="0"/>
              <w:jc w:val="left"/>
            </w:pPr>
            <w:r>
              <w:rPr>
                <w:b/>
                <w:sz w:val="18"/>
              </w:rPr>
              <w:t xml:space="preserve">Denominación  </w:t>
            </w:r>
          </w:p>
        </w:tc>
        <w:tc>
          <w:tcPr>
            <w:tcW w:w="119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2" w:firstLine="0"/>
              <w:jc w:val="left"/>
            </w:pPr>
            <w:r>
              <w:rPr>
                <w:b/>
                <w:sz w:val="18"/>
              </w:rPr>
              <w:t xml:space="preserve">Importe </w:t>
            </w:r>
          </w:p>
        </w:tc>
      </w:tr>
      <w:tr w:rsidR="00DA121A">
        <w:trPr>
          <w:trHeight w:val="486"/>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15100.22715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REDACCION Y DIRECCION OBRA DE URBANIZACION EN RUBEN MARICHAL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163.539,79 </w:t>
            </w:r>
          </w:p>
        </w:tc>
      </w:tr>
      <w:tr w:rsidR="00DA121A">
        <w:trPr>
          <w:trHeight w:val="562"/>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15100.60000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sz w:val="18"/>
              </w:rPr>
              <w:t xml:space="preserve">PARCELA DOTACIONAL BARRANCO HONDO - EXPROPIACION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82.631,85</w:t>
            </w:r>
            <w:r>
              <w:rPr>
                <w:sz w:val="18"/>
              </w:rPr>
              <w:t xml:space="preserve"> </w:t>
            </w:r>
          </w:p>
        </w:tc>
      </w:tr>
      <w:tr w:rsidR="00DA121A">
        <w:trPr>
          <w:trHeight w:val="427"/>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41400.61901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OBRA REPAVIMENTACION CAMINO RURAL LOS ASOMADEROS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522.018,80 </w:t>
            </w:r>
          </w:p>
        </w:tc>
      </w:tr>
      <w:tr w:rsidR="00DA121A">
        <w:trPr>
          <w:trHeight w:val="290"/>
        </w:trPr>
        <w:tc>
          <w:tcPr>
            <w:tcW w:w="89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15320.62500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MOBILIARIO VIAS PUBLICAS (BANCOS Y PAPELERAS) </w:t>
            </w:r>
          </w:p>
        </w:tc>
        <w:tc>
          <w:tcPr>
            <w:tcW w:w="11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right"/>
            </w:pPr>
            <w:r>
              <w:rPr>
                <w:sz w:val="18"/>
              </w:rPr>
              <w:t xml:space="preserve">113.719,60 </w:t>
            </w:r>
          </w:p>
        </w:tc>
      </w:tr>
      <w:tr w:rsidR="00DA121A">
        <w:trPr>
          <w:trHeight w:val="579"/>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92000.62300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sz w:val="18"/>
              </w:rPr>
              <w:t xml:space="preserve">Proyecto Aire acondicionado y Microfonía digital Salón de Plenos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54.564,65 </w:t>
            </w:r>
          </w:p>
        </w:tc>
      </w:tr>
      <w:tr w:rsidR="00DA121A">
        <w:trPr>
          <w:trHeight w:val="418"/>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49200.62301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Proyecto Servidor CPD del DALIX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10.023,18 </w:t>
            </w:r>
          </w:p>
        </w:tc>
      </w:tr>
      <w:tr w:rsidR="00DA121A">
        <w:trPr>
          <w:trHeight w:val="564"/>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45900.61901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OBRAS DE ACCESIBILIDAD AULAS URBANIZACION LOS MENCEYES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73.949,71 </w:t>
            </w:r>
          </w:p>
        </w:tc>
      </w:tr>
      <w:tr w:rsidR="00DA121A">
        <w:trPr>
          <w:trHeight w:val="571"/>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33400.61901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sz w:val="18"/>
              </w:rPr>
              <w:t xml:space="preserve">IMPERMEABILIZACIÓN Y ACONDICIONAMIENTO EXTERIOR DE LA CASA D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16.047,86 </w:t>
            </w:r>
          </w:p>
        </w:tc>
      </w:tr>
      <w:tr w:rsidR="00DA121A">
        <w:trPr>
          <w:trHeight w:val="552"/>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33400.61902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ACTUACIONES DE PROTECCIÓN FRENTE A DESPRENDIMIENTOS EN EL CE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39.112,37 </w:t>
            </w:r>
          </w:p>
        </w:tc>
      </w:tr>
      <w:tr w:rsidR="00DA121A">
        <w:trPr>
          <w:trHeight w:val="516"/>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15100.60910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OBRA PLAZA PLAYA LA VIUDA EQUIPAMIENTO DEPORTIVO Y ASISTENCIAL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783.913,06 </w:t>
            </w:r>
          </w:p>
        </w:tc>
      </w:tr>
      <w:tr w:rsidR="00DA121A">
        <w:trPr>
          <w:trHeight w:val="433"/>
        </w:trPr>
        <w:tc>
          <w:tcPr>
            <w:tcW w:w="2655" w:type="dxa"/>
            <w:gridSpan w:val="2"/>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5181" w:type="dxa"/>
            <w:tcBorders>
              <w:top w:val="single" w:sz="4" w:space="0" w:color="000000"/>
              <w:left w:val="nil"/>
              <w:bottom w:val="single" w:sz="4" w:space="0" w:color="000000"/>
              <w:right w:val="single" w:sz="4" w:space="0" w:color="000000"/>
            </w:tcBorders>
            <w:vAlign w:val="center"/>
          </w:tcPr>
          <w:p w:rsidR="00DA121A" w:rsidRDefault="00904DD6">
            <w:pPr>
              <w:spacing w:after="0" w:line="259" w:lineRule="auto"/>
              <w:ind w:left="0" w:right="52" w:firstLine="0"/>
              <w:jc w:val="right"/>
            </w:pPr>
            <w:r>
              <w:rPr>
                <w:b/>
                <w:sz w:val="18"/>
              </w:rPr>
              <w:t xml:space="preserve">Total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pPr>
            <w:r>
              <w:rPr>
                <w:b/>
                <w:sz w:val="18"/>
              </w:rPr>
              <w:t xml:space="preserve">1.859.520,87 </w:t>
            </w:r>
          </w:p>
        </w:tc>
      </w:tr>
    </w:tbl>
    <w:p w:rsidR="00DA121A" w:rsidRDefault="00904DD6">
      <w:pPr>
        <w:spacing w:after="51" w:line="259" w:lineRule="auto"/>
        <w:ind w:left="3080" w:firstLine="0"/>
        <w:jc w:val="left"/>
      </w:pPr>
      <w:r>
        <w:rPr>
          <w:rFonts w:ascii="Times New Roman" w:eastAsia="Times New Roman" w:hAnsi="Times New Roman" w:cs="Times New Roman"/>
          <w:b/>
          <w:sz w:val="18"/>
        </w:rPr>
        <w:t xml:space="preserve"> </w:t>
      </w:r>
    </w:p>
    <w:p w:rsidR="00DA121A" w:rsidRDefault="00904DD6">
      <w:pPr>
        <w:pStyle w:val="Ttulo3"/>
        <w:tabs>
          <w:tab w:val="center" w:pos="1184"/>
          <w:tab w:val="center" w:pos="2132"/>
          <w:tab w:val="center" w:pos="4174"/>
        </w:tabs>
        <w:ind w:left="0" w:firstLine="0"/>
      </w:pPr>
      <w:r>
        <w:rPr>
          <w:rFonts w:ascii="Calibri" w:eastAsia="Calibri" w:hAnsi="Calibri" w:cs="Calibri"/>
          <w:b w:val="0"/>
          <w:sz w:val="22"/>
        </w:rPr>
        <w:tab/>
      </w:r>
      <w:r>
        <w:rPr>
          <w:sz w:val="28"/>
          <w:vertAlign w:val="superscript"/>
        </w:rPr>
        <w:t xml:space="preserve"> </w:t>
      </w:r>
      <w:r>
        <w:rPr>
          <w:sz w:val="28"/>
          <w:vertAlign w:val="superscript"/>
        </w:rPr>
        <w:tab/>
      </w:r>
      <w:r>
        <w:rPr>
          <w:b w:val="0"/>
        </w:rPr>
        <w:t xml:space="preserve"> </w:t>
      </w:r>
      <w:r>
        <w:rPr>
          <w:b w:val="0"/>
        </w:rPr>
        <w:tab/>
      </w:r>
      <w:r>
        <w:t xml:space="preserve">                 Estado de ingresos </w:t>
      </w:r>
    </w:p>
    <w:p w:rsidR="00DA121A" w:rsidRDefault="00904DD6">
      <w:pPr>
        <w:spacing w:after="0" w:line="259" w:lineRule="auto"/>
        <w:ind w:left="1184" w:firstLine="0"/>
        <w:jc w:val="left"/>
      </w:pPr>
      <w:r>
        <w:rPr>
          <w:rFonts w:ascii="Times New Roman" w:eastAsia="Times New Roman" w:hAnsi="Times New Roman" w:cs="Times New Roman"/>
          <w:b/>
          <w:sz w:val="28"/>
          <w:vertAlign w:val="superscript"/>
        </w:rPr>
        <w:t xml:space="preserve"> </w:t>
      </w:r>
      <w:r>
        <w:rPr>
          <w:rFonts w:ascii="Times New Roman" w:eastAsia="Times New Roman" w:hAnsi="Times New Roman" w:cs="Times New Roman"/>
          <w:b/>
          <w:sz w:val="28"/>
          <w:vertAlign w:val="superscript"/>
        </w:rPr>
        <w:tab/>
      </w: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t xml:space="preserve"> </w:t>
      </w:r>
    </w:p>
    <w:tbl>
      <w:tblPr>
        <w:tblStyle w:val="TableGrid"/>
        <w:tblW w:w="9028" w:type="dxa"/>
        <w:tblInd w:w="354" w:type="dxa"/>
        <w:tblCellMar>
          <w:top w:w="11" w:type="dxa"/>
          <w:left w:w="24" w:type="dxa"/>
          <w:bottom w:w="6" w:type="dxa"/>
          <w:right w:w="23" w:type="dxa"/>
        </w:tblCellMar>
        <w:tblLook w:val="04A0" w:firstRow="1" w:lastRow="0" w:firstColumn="1" w:lastColumn="0" w:noHBand="0" w:noVBand="1"/>
      </w:tblPr>
      <w:tblGrid>
        <w:gridCol w:w="2655"/>
        <w:gridCol w:w="4694"/>
        <w:gridCol w:w="487"/>
        <w:gridCol w:w="1192"/>
      </w:tblGrid>
      <w:tr w:rsidR="00DA121A">
        <w:trPr>
          <w:trHeight w:val="216"/>
        </w:trPr>
        <w:tc>
          <w:tcPr>
            <w:tcW w:w="2655"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firstLine="0"/>
              <w:jc w:val="center"/>
            </w:pPr>
            <w:r>
              <w:rPr>
                <w:rFonts w:ascii="Times New Roman" w:eastAsia="Times New Roman" w:hAnsi="Times New Roman" w:cs="Times New Roman"/>
                <w:b/>
                <w:sz w:val="18"/>
              </w:rPr>
              <w:t xml:space="preserve">Aplicación  </w:t>
            </w:r>
          </w:p>
        </w:tc>
        <w:tc>
          <w:tcPr>
            <w:tcW w:w="4694" w:type="dxa"/>
            <w:tcBorders>
              <w:top w:val="single" w:sz="4" w:space="0" w:color="000000"/>
              <w:left w:val="single" w:sz="4" w:space="0" w:color="000000"/>
              <w:bottom w:val="single" w:sz="4" w:space="0" w:color="000000"/>
              <w:right w:val="nil"/>
            </w:tcBorders>
            <w:shd w:val="clear" w:color="auto" w:fill="BFBFBF"/>
          </w:tcPr>
          <w:p w:rsidR="00DA121A" w:rsidRDefault="00904DD6">
            <w:pPr>
              <w:spacing w:after="0" w:line="259" w:lineRule="auto"/>
              <w:ind w:left="47" w:firstLine="0"/>
              <w:jc w:val="left"/>
            </w:pPr>
            <w:r>
              <w:rPr>
                <w:rFonts w:ascii="Times New Roman" w:eastAsia="Times New Roman" w:hAnsi="Times New Roman" w:cs="Times New Roman"/>
                <w:b/>
                <w:sz w:val="18"/>
              </w:rPr>
              <w:t xml:space="preserve">Denominación  </w:t>
            </w:r>
          </w:p>
        </w:tc>
        <w:tc>
          <w:tcPr>
            <w:tcW w:w="487" w:type="dxa"/>
            <w:tcBorders>
              <w:top w:val="single" w:sz="4" w:space="0" w:color="000000"/>
              <w:left w:val="nil"/>
              <w:bottom w:val="single" w:sz="4" w:space="0" w:color="000000"/>
              <w:right w:val="single" w:sz="4" w:space="0" w:color="000000"/>
            </w:tcBorders>
            <w:shd w:val="clear" w:color="auto" w:fill="BFBFBF"/>
          </w:tcPr>
          <w:p w:rsidR="00DA121A" w:rsidRDefault="00DA121A">
            <w:pPr>
              <w:spacing w:after="160" w:line="259" w:lineRule="auto"/>
              <w:ind w:left="0" w:firstLine="0"/>
              <w:jc w:val="left"/>
            </w:pPr>
          </w:p>
        </w:tc>
        <w:tc>
          <w:tcPr>
            <w:tcW w:w="1192"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49" w:firstLine="0"/>
              <w:jc w:val="left"/>
            </w:pPr>
            <w:r>
              <w:rPr>
                <w:rFonts w:ascii="Times New Roman" w:eastAsia="Times New Roman" w:hAnsi="Times New Roman" w:cs="Times New Roman"/>
                <w:b/>
                <w:sz w:val="18"/>
              </w:rPr>
              <w:t xml:space="preserve">Importe </w:t>
            </w:r>
          </w:p>
        </w:tc>
      </w:tr>
      <w:tr w:rsidR="00DA121A">
        <w:trPr>
          <w:trHeight w:val="344"/>
        </w:trPr>
        <w:tc>
          <w:tcPr>
            <w:tcW w:w="265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3" w:firstLine="0"/>
              <w:jc w:val="center"/>
            </w:pPr>
            <w:r>
              <w:rPr>
                <w:rFonts w:ascii="Times New Roman" w:eastAsia="Times New Roman" w:hAnsi="Times New Roman" w:cs="Times New Roman"/>
                <w:sz w:val="18"/>
              </w:rPr>
              <w:t xml:space="preserve">87000 </w:t>
            </w:r>
          </w:p>
        </w:tc>
        <w:tc>
          <w:tcPr>
            <w:tcW w:w="4694" w:type="dxa"/>
            <w:tcBorders>
              <w:top w:val="single" w:sz="4" w:space="0" w:color="000000"/>
              <w:left w:val="single" w:sz="4" w:space="0" w:color="000000"/>
              <w:bottom w:val="single" w:sz="4" w:space="0" w:color="000000"/>
              <w:right w:val="nil"/>
            </w:tcBorders>
            <w:vAlign w:val="bottom"/>
          </w:tcPr>
          <w:p w:rsidR="00DA121A" w:rsidRDefault="00904DD6">
            <w:pPr>
              <w:spacing w:after="0" w:line="259" w:lineRule="auto"/>
              <w:ind w:left="47" w:firstLine="0"/>
              <w:jc w:val="left"/>
            </w:pPr>
            <w:r>
              <w:rPr>
                <w:rFonts w:ascii="Times New Roman" w:eastAsia="Times New Roman" w:hAnsi="Times New Roman" w:cs="Times New Roman"/>
                <w:sz w:val="18"/>
              </w:rPr>
              <w:t xml:space="preserve">Remanente de Tesorería para gastos generales </w:t>
            </w:r>
          </w:p>
        </w:tc>
        <w:tc>
          <w:tcPr>
            <w:tcW w:w="487" w:type="dxa"/>
            <w:tcBorders>
              <w:top w:val="single" w:sz="4" w:space="0" w:color="000000"/>
              <w:left w:val="nil"/>
              <w:bottom w:val="single" w:sz="4" w:space="0" w:color="000000"/>
              <w:right w:val="single" w:sz="4" w:space="0" w:color="000000"/>
            </w:tcBorders>
            <w:vAlign w:val="center"/>
          </w:tcPr>
          <w:p w:rsidR="00DA121A" w:rsidRDefault="00DA121A">
            <w:pPr>
              <w:spacing w:after="160" w:line="259" w:lineRule="auto"/>
              <w:ind w:left="0" w:firstLine="0"/>
              <w:jc w:val="left"/>
            </w:pP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5" w:firstLine="0"/>
              <w:jc w:val="right"/>
            </w:pPr>
            <w:r>
              <w:rPr>
                <w:rFonts w:ascii="Times New Roman" w:eastAsia="Times New Roman" w:hAnsi="Times New Roman" w:cs="Times New Roman"/>
                <w:sz w:val="18"/>
              </w:rPr>
              <w:t xml:space="preserve">1.859.520,87 </w:t>
            </w:r>
          </w:p>
        </w:tc>
      </w:tr>
      <w:tr w:rsidR="00DA121A">
        <w:trPr>
          <w:trHeight w:val="278"/>
        </w:trPr>
        <w:tc>
          <w:tcPr>
            <w:tcW w:w="2655" w:type="dxa"/>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4694" w:type="dxa"/>
            <w:tcBorders>
              <w:top w:val="single" w:sz="4" w:space="0" w:color="000000"/>
              <w:left w:val="nil"/>
              <w:bottom w:val="single" w:sz="4" w:space="0" w:color="000000"/>
              <w:right w:val="nil"/>
            </w:tcBorders>
          </w:tcPr>
          <w:p w:rsidR="00DA121A" w:rsidRDefault="00DA121A">
            <w:pPr>
              <w:spacing w:after="160" w:line="259" w:lineRule="auto"/>
              <w:ind w:left="0" w:firstLine="0"/>
              <w:jc w:val="left"/>
            </w:pPr>
          </w:p>
        </w:tc>
        <w:tc>
          <w:tcPr>
            <w:tcW w:w="48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pPr>
            <w:r>
              <w:rPr>
                <w:rFonts w:ascii="Times New Roman" w:eastAsia="Times New Roman" w:hAnsi="Times New Roman" w:cs="Times New Roman"/>
                <w:b/>
                <w:sz w:val="18"/>
              </w:rPr>
              <w:t xml:space="preserve">Total </w:t>
            </w:r>
          </w:p>
        </w:tc>
        <w:tc>
          <w:tcPr>
            <w:tcW w:w="11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5" w:firstLine="0"/>
              <w:jc w:val="right"/>
            </w:pPr>
            <w:r>
              <w:rPr>
                <w:rFonts w:ascii="Times New Roman" w:eastAsia="Times New Roman" w:hAnsi="Times New Roman" w:cs="Times New Roman"/>
                <w:b/>
                <w:sz w:val="18"/>
              </w:rPr>
              <w:t xml:space="preserve">1.859.520,87 </w:t>
            </w:r>
          </w:p>
        </w:tc>
      </w:tr>
    </w:tbl>
    <w:p w:rsidR="00DA121A" w:rsidRDefault="00904DD6">
      <w:pPr>
        <w:spacing w:after="91" w:line="259" w:lineRule="auto"/>
        <w:ind w:left="992" w:firstLine="0"/>
        <w:jc w:val="left"/>
      </w:pPr>
      <w:r>
        <w:rPr>
          <w:rFonts w:ascii="Times New Roman" w:eastAsia="Times New Roman" w:hAnsi="Times New Roman" w:cs="Times New Roman"/>
          <w:sz w:val="24"/>
        </w:rPr>
        <w:t xml:space="preserve"> </w:t>
      </w:r>
    </w:p>
    <w:p w:rsidR="00DA121A" w:rsidRDefault="00904DD6">
      <w:pPr>
        <w:spacing w:after="39" w:line="271" w:lineRule="auto"/>
        <w:ind w:left="279" w:right="148"/>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4"/>
        <w:ind w:left="279" w:right="144"/>
      </w:pPr>
      <w:r>
        <w:rPr>
          <w:b/>
        </w:rPr>
        <w:t xml:space="preserve">Este Concejal Delegado de Hacienda, PROPONE al Pleno la adopción del siguiente ACUERDO: </w:t>
      </w:r>
    </w:p>
    <w:p w:rsidR="00DA121A" w:rsidRDefault="00904DD6">
      <w:pPr>
        <w:spacing w:after="0" w:line="259" w:lineRule="auto"/>
        <w:ind w:left="284" w:firstLine="0"/>
        <w:jc w:val="left"/>
      </w:pPr>
      <w:r>
        <w:rPr>
          <w:b/>
        </w:rPr>
        <w:t xml:space="preserve"> </w:t>
      </w:r>
    </w:p>
    <w:p w:rsidR="00DA121A" w:rsidRDefault="00904DD6">
      <w:pPr>
        <w:ind w:left="288" w:right="146"/>
      </w:pPr>
      <w:r>
        <w:rPr>
          <w:b/>
        </w:rPr>
        <w:t xml:space="preserve">PRIMERO. - </w:t>
      </w:r>
      <w:r>
        <w:t xml:space="preserve">Aprobar expediente de modificación presupuestaria </w:t>
      </w:r>
      <w:r>
        <w:rPr>
          <w:b/>
        </w:rPr>
        <w:t>nº 3304/2023</w:t>
      </w:r>
      <w:r>
        <w:t xml:space="preserve"> de modificación presupuestaria por </w:t>
      </w:r>
      <w:r>
        <w:rPr>
          <w:b/>
        </w:rPr>
        <w:t>Créditos extraordinarios</w:t>
      </w:r>
      <w:r>
        <w:t xml:space="preserve"> financiado con Remanente de Tesorería para gastos generales, por una cantidad total </w:t>
      </w:r>
      <w:r>
        <w:rPr>
          <w:b/>
        </w:rPr>
        <w:t>1.859.520,87 euros</w:t>
      </w:r>
      <w:r>
        <w:t>, de acuerdo al siguiente detalle:</w:t>
      </w:r>
      <w:r>
        <w:rPr>
          <w:rFonts w:ascii="Times New Roman" w:eastAsia="Times New Roman" w:hAnsi="Times New Roman" w:cs="Times New Roman"/>
          <w:sz w:val="24"/>
        </w:rPr>
        <w:t xml:space="preserve"> </w:t>
      </w:r>
    </w:p>
    <w:p w:rsidR="00DA121A" w:rsidRDefault="00904DD6">
      <w:pPr>
        <w:spacing w:after="0" w:line="230" w:lineRule="auto"/>
        <w:ind w:left="284" w:right="9660" w:firstLine="0"/>
        <w:jc w:val="left"/>
      </w:pPr>
      <w:r>
        <w:t xml:space="preserve"> </w:t>
      </w:r>
      <w:r>
        <w:rPr>
          <w:rFonts w:ascii="Times New Roman" w:eastAsia="Times New Roman" w:hAnsi="Times New Roman" w:cs="Times New Roman"/>
          <w:sz w:val="24"/>
        </w:rPr>
        <w:t xml:space="preserve"> </w:t>
      </w:r>
    </w:p>
    <w:p w:rsidR="00DA121A" w:rsidRDefault="00904DD6">
      <w:pPr>
        <w:spacing w:after="0" w:line="259" w:lineRule="auto"/>
        <w:ind w:left="3090"/>
        <w:jc w:val="left"/>
      </w:pPr>
      <w:r>
        <w:rPr>
          <w:b/>
          <w:sz w:val="18"/>
        </w:rPr>
        <w:t xml:space="preserve">                   Estado de gastos </w:t>
      </w:r>
    </w:p>
    <w:p w:rsidR="00DA121A" w:rsidRDefault="00904DD6">
      <w:pPr>
        <w:spacing w:after="0" w:line="259" w:lineRule="auto"/>
        <w:ind w:left="423" w:firstLine="0"/>
        <w:jc w:val="left"/>
      </w:pPr>
      <w:r>
        <w:rPr>
          <w:rFonts w:ascii="Times New Roman" w:eastAsia="Times New Roman" w:hAnsi="Times New Roman" w:cs="Times New Roman"/>
          <w:sz w:val="18"/>
        </w:rPr>
        <w:t xml:space="preserve"> </w:t>
      </w:r>
    </w:p>
    <w:p w:rsidR="00DA121A" w:rsidRDefault="00904DD6">
      <w:pPr>
        <w:spacing w:after="0" w:line="259" w:lineRule="auto"/>
        <w:ind w:left="2132" w:firstLine="0"/>
        <w:jc w:val="left"/>
      </w:pPr>
      <w:r>
        <w:rPr>
          <w:rFonts w:ascii="Times New Roman" w:eastAsia="Times New Roman" w:hAnsi="Times New Roman" w:cs="Times New Roman"/>
          <w:sz w:val="18"/>
        </w:rPr>
        <w:t xml:space="preserve"> </w:t>
      </w:r>
      <w:r>
        <w:rPr>
          <w:rFonts w:ascii="Times New Roman" w:eastAsia="Times New Roman" w:hAnsi="Times New Roman" w:cs="Times New Roman"/>
          <w:sz w:val="18"/>
        </w:rPr>
        <w:tab/>
      </w:r>
      <w:r>
        <w:rPr>
          <w:b/>
          <w:sz w:val="18"/>
        </w:rPr>
        <w:t xml:space="preserve"> </w:t>
      </w:r>
      <w:r>
        <w:rPr>
          <w:b/>
          <w:sz w:val="18"/>
        </w:rPr>
        <w:tab/>
        <w:t xml:space="preserve"> </w:t>
      </w:r>
    </w:p>
    <w:tbl>
      <w:tblPr>
        <w:tblStyle w:val="TableGrid"/>
        <w:tblW w:w="9028" w:type="dxa"/>
        <w:tblInd w:w="354" w:type="dxa"/>
        <w:tblCellMar>
          <w:top w:w="5" w:type="dxa"/>
          <w:left w:w="71" w:type="dxa"/>
          <w:bottom w:w="5" w:type="dxa"/>
          <w:right w:w="18" w:type="dxa"/>
        </w:tblCellMar>
        <w:tblLook w:val="04A0" w:firstRow="1" w:lastRow="0" w:firstColumn="1" w:lastColumn="0" w:noHBand="0" w:noVBand="1"/>
      </w:tblPr>
      <w:tblGrid>
        <w:gridCol w:w="898"/>
        <w:gridCol w:w="1757"/>
        <w:gridCol w:w="5181"/>
        <w:gridCol w:w="1192"/>
      </w:tblGrid>
      <w:tr w:rsidR="00DA121A">
        <w:trPr>
          <w:trHeight w:val="628"/>
        </w:trPr>
        <w:tc>
          <w:tcPr>
            <w:tcW w:w="898"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right="18" w:firstLine="5"/>
              <w:jc w:val="center"/>
            </w:pPr>
            <w:r>
              <w:rPr>
                <w:b/>
                <w:sz w:val="18"/>
              </w:rPr>
              <w:t xml:space="preserve">Proyecto gasto </w:t>
            </w:r>
          </w:p>
        </w:tc>
        <w:tc>
          <w:tcPr>
            <w:tcW w:w="1757"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0" w:firstLine="0"/>
              <w:jc w:val="left"/>
            </w:pPr>
            <w:r>
              <w:rPr>
                <w:b/>
                <w:sz w:val="18"/>
              </w:rPr>
              <w:t xml:space="preserve">Aplicación  </w:t>
            </w:r>
          </w:p>
        </w:tc>
        <w:tc>
          <w:tcPr>
            <w:tcW w:w="5181"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0" w:firstLine="0"/>
              <w:jc w:val="left"/>
            </w:pPr>
            <w:r>
              <w:rPr>
                <w:b/>
                <w:sz w:val="18"/>
              </w:rPr>
              <w:t xml:space="preserve">Denominación  </w:t>
            </w:r>
          </w:p>
        </w:tc>
        <w:tc>
          <w:tcPr>
            <w:tcW w:w="119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2" w:firstLine="0"/>
              <w:jc w:val="left"/>
            </w:pPr>
            <w:r>
              <w:rPr>
                <w:b/>
                <w:sz w:val="18"/>
              </w:rPr>
              <w:t xml:space="preserve">Importe </w:t>
            </w:r>
          </w:p>
        </w:tc>
      </w:tr>
      <w:tr w:rsidR="00DA121A">
        <w:trPr>
          <w:trHeight w:val="486"/>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15100.22715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REDACCION Y DIRECCION OBRA DE URBANIZACION EN RUBEN MARICHAL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163.539,79 </w:t>
            </w:r>
          </w:p>
        </w:tc>
      </w:tr>
      <w:tr w:rsidR="00DA121A">
        <w:trPr>
          <w:trHeight w:val="562"/>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15100.60000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sz w:val="18"/>
              </w:rPr>
              <w:t xml:space="preserve">PARCELA DOTACIONAL BARRANCO HONDO - EXPROPIACION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82.631,85 </w:t>
            </w:r>
          </w:p>
        </w:tc>
      </w:tr>
      <w:tr w:rsidR="00DA121A">
        <w:trPr>
          <w:trHeight w:val="427"/>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41400.61901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OBRA REPAVIMENTACION CAMINO RURAL LOS ASOMADEROS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522.018,80 </w:t>
            </w:r>
          </w:p>
        </w:tc>
      </w:tr>
      <w:tr w:rsidR="00DA121A">
        <w:trPr>
          <w:trHeight w:val="290"/>
        </w:trPr>
        <w:tc>
          <w:tcPr>
            <w:tcW w:w="89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15320.62500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sz w:val="18"/>
              </w:rPr>
              <w:t xml:space="preserve">MOBILIARIO VIAS PUBLICAS (BANCOS Y PAPELERAS) </w:t>
            </w:r>
          </w:p>
        </w:tc>
        <w:tc>
          <w:tcPr>
            <w:tcW w:w="11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right"/>
            </w:pPr>
            <w:r>
              <w:rPr>
                <w:sz w:val="18"/>
              </w:rPr>
              <w:t xml:space="preserve">113.719,60 </w:t>
            </w:r>
          </w:p>
        </w:tc>
      </w:tr>
      <w:tr w:rsidR="00DA121A">
        <w:trPr>
          <w:trHeight w:val="578"/>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92000.62300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sz w:val="18"/>
              </w:rPr>
              <w:t xml:space="preserve">Proyecto Aire acondicionado y Microfonía digital Salón de Plenos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54.564,65 </w:t>
            </w:r>
          </w:p>
        </w:tc>
      </w:tr>
      <w:tr w:rsidR="00DA121A">
        <w:trPr>
          <w:trHeight w:val="415"/>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49200.62301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Proyecto Servidor CPD del DALIX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10.023,18 </w:t>
            </w:r>
          </w:p>
        </w:tc>
      </w:tr>
      <w:tr w:rsidR="00DA121A">
        <w:trPr>
          <w:trHeight w:val="567"/>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45900.61901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OBRAS DE ACCESIBILIDAD AULAS URBANIZACION LOS MENCEYES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73.949,71 </w:t>
            </w:r>
          </w:p>
        </w:tc>
      </w:tr>
      <w:tr w:rsidR="00DA121A">
        <w:trPr>
          <w:trHeight w:val="571"/>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33400.61901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sz w:val="18"/>
              </w:rPr>
              <w:t xml:space="preserve">IMPERMEABILIZACIÓN Y ACONDICIONAMIENTO EXTERIOR DE LA CASA D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16.047,86</w:t>
            </w:r>
            <w:r>
              <w:rPr>
                <w:sz w:val="18"/>
              </w:rPr>
              <w:t xml:space="preserve"> </w:t>
            </w:r>
          </w:p>
        </w:tc>
      </w:tr>
      <w:tr w:rsidR="00DA121A">
        <w:trPr>
          <w:trHeight w:val="552"/>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33400.61902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ACTUACIONES DE PROTECCIÓN FRENTE A DESPRENDIMIENTOS EN EL CE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39.112,37 </w:t>
            </w:r>
          </w:p>
        </w:tc>
      </w:tr>
      <w:tr w:rsidR="00DA121A">
        <w:trPr>
          <w:trHeight w:val="516"/>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sz w:val="18"/>
              </w:rPr>
              <w:t xml:space="preserve">15100.60910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sz w:val="18"/>
              </w:rPr>
              <w:t xml:space="preserve">OBRA PLAZA PLAYA LA VIUDA EQUIPAMIENTO DEPORTIVO Y ASISTENCIAL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sz w:val="18"/>
              </w:rPr>
              <w:t xml:space="preserve">783.913,06 </w:t>
            </w:r>
          </w:p>
        </w:tc>
      </w:tr>
      <w:tr w:rsidR="00DA121A">
        <w:trPr>
          <w:trHeight w:val="432"/>
        </w:trPr>
        <w:tc>
          <w:tcPr>
            <w:tcW w:w="2655" w:type="dxa"/>
            <w:gridSpan w:val="2"/>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5181" w:type="dxa"/>
            <w:tcBorders>
              <w:top w:val="single" w:sz="4" w:space="0" w:color="000000"/>
              <w:left w:val="nil"/>
              <w:bottom w:val="single" w:sz="4" w:space="0" w:color="000000"/>
              <w:right w:val="single" w:sz="4" w:space="0" w:color="000000"/>
            </w:tcBorders>
            <w:vAlign w:val="center"/>
          </w:tcPr>
          <w:p w:rsidR="00DA121A" w:rsidRDefault="00904DD6">
            <w:pPr>
              <w:spacing w:after="0" w:line="259" w:lineRule="auto"/>
              <w:ind w:left="0" w:right="52" w:firstLine="0"/>
              <w:jc w:val="right"/>
            </w:pPr>
            <w:r>
              <w:rPr>
                <w:b/>
                <w:sz w:val="18"/>
              </w:rPr>
              <w:t xml:space="preserve">Total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pPr>
            <w:r>
              <w:rPr>
                <w:b/>
                <w:sz w:val="18"/>
              </w:rPr>
              <w:t xml:space="preserve">1.859.520,87 </w:t>
            </w:r>
          </w:p>
        </w:tc>
      </w:tr>
    </w:tbl>
    <w:p w:rsidR="00DA121A" w:rsidRDefault="00904DD6">
      <w:pPr>
        <w:spacing w:after="55" w:line="259" w:lineRule="auto"/>
        <w:ind w:left="3080" w:firstLine="0"/>
        <w:jc w:val="left"/>
      </w:pPr>
      <w:r>
        <w:rPr>
          <w:b/>
          <w:sz w:val="18"/>
        </w:rPr>
        <w:t xml:space="preserve"> </w:t>
      </w:r>
    </w:p>
    <w:p w:rsidR="00DA121A" w:rsidRDefault="00904DD6">
      <w:pPr>
        <w:tabs>
          <w:tab w:val="center" w:pos="1184"/>
          <w:tab w:val="center" w:pos="2132"/>
          <w:tab w:val="center" w:pos="4334"/>
        </w:tabs>
        <w:spacing w:after="0" w:line="259" w:lineRule="auto"/>
        <w:ind w:left="0" w:firstLine="0"/>
        <w:jc w:val="left"/>
      </w:pPr>
      <w:r>
        <w:rPr>
          <w:rFonts w:ascii="Calibri" w:eastAsia="Calibri" w:hAnsi="Calibri" w:cs="Calibri"/>
        </w:rPr>
        <w:tab/>
      </w:r>
      <w:r>
        <w:rPr>
          <w:rFonts w:ascii="Times New Roman" w:eastAsia="Times New Roman" w:hAnsi="Times New Roman" w:cs="Times New Roman"/>
          <w:b/>
          <w:sz w:val="28"/>
          <w:vertAlign w:val="superscript"/>
        </w:rPr>
        <w:t xml:space="preserve"> </w:t>
      </w:r>
      <w:r>
        <w:rPr>
          <w:rFonts w:ascii="Times New Roman" w:eastAsia="Times New Roman" w:hAnsi="Times New Roman" w:cs="Times New Roman"/>
          <w:b/>
          <w:sz w:val="28"/>
          <w:vertAlign w:val="superscript"/>
        </w:rPr>
        <w:tab/>
      </w:r>
      <w:r>
        <w:rPr>
          <w:sz w:val="18"/>
        </w:rPr>
        <w:t xml:space="preserve"> </w:t>
      </w:r>
      <w:r>
        <w:rPr>
          <w:sz w:val="18"/>
        </w:rPr>
        <w:tab/>
      </w:r>
      <w:r>
        <w:rPr>
          <w:b/>
          <w:sz w:val="18"/>
        </w:rPr>
        <w:t xml:space="preserve">                 </w:t>
      </w:r>
      <w:r>
        <w:rPr>
          <w:b/>
          <w:sz w:val="18"/>
        </w:rPr>
        <w:t xml:space="preserve">Estado de ingresos </w:t>
      </w:r>
    </w:p>
    <w:p w:rsidR="00DA121A" w:rsidRDefault="00904DD6">
      <w:pPr>
        <w:spacing w:after="0" w:line="259" w:lineRule="auto"/>
        <w:ind w:left="1184" w:firstLine="0"/>
        <w:jc w:val="left"/>
      </w:pPr>
      <w:r>
        <w:rPr>
          <w:rFonts w:ascii="Times New Roman" w:eastAsia="Times New Roman" w:hAnsi="Times New Roman" w:cs="Times New Roman"/>
          <w:b/>
          <w:sz w:val="28"/>
          <w:vertAlign w:val="superscript"/>
        </w:rPr>
        <w:t xml:space="preserve"> </w:t>
      </w:r>
      <w:r>
        <w:rPr>
          <w:rFonts w:ascii="Times New Roman" w:eastAsia="Times New Roman" w:hAnsi="Times New Roman" w:cs="Times New Roman"/>
          <w:b/>
          <w:sz w:val="28"/>
          <w:vertAlign w:val="superscript"/>
        </w:rPr>
        <w:tab/>
      </w:r>
      <w:r>
        <w:rPr>
          <w:sz w:val="18"/>
        </w:rPr>
        <w:t xml:space="preserve"> </w:t>
      </w:r>
      <w:r>
        <w:rPr>
          <w:sz w:val="18"/>
        </w:rPr>
        <w:tab/>
      </w:r>
      <w:r>
        <w:rPr>
          <w:b/>
          <w:sz w:val="18"/>
        </w:rPr>
        <w:t xml:space="preserve"> </w:t>
      </w:r>
      <w:r>
        <w:rPr>
          <w:b/>
          <w:sz w:val="18"/>
        </w:rPr>
        <w:tab/>
        <w:t xml:space="preserve"> </w:t>
      </w:r>
    </w:p>
    <w:tbl>
      <w:tblPr>
        <w:tblStyle w:val="TableGrid"/>
        <w:tblW w:w="9028" w:type="dxa"/>
        <w:tblInd w:w="354" w:type="dxa"/>
        <w:tblCellMar>
          <w:top w:w="4" w:type="dxa"/>
          <w:left w:w="0" w:type="dxa"/>
          <w:bottom w:w="5" w:type="dxa"/>
          <w:right w:w="18" w:type="dxa"/>
        </w:tblCellMar>
        <w:tblLook w:val="04A0" w:firstRow="1" w:lastRow="0" w:firstColumn="1" w:lastColumn="0" w:noHBand="0" w:noVBand="1"/>
      </w:tblPr>
      <w:tblGrid>
        <w:gridCol w:w="2655"/>
        <w:gridCol w:w="4694"/>
        <w:gridCol w:w="487"/>
        <w:gridCol w:w="1192"/>
      </w:tblGrid>
      <w:tr w:rsidR="00DA121A">
        <w:trPr>
          <w:trHeight w:val="214"/>
        </w:trPr>
        <w:tc>
          <w:tcPr>
            <w:tcW w:w="2655"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4" w:firstLine="0"/>
              <w:jc w:val="center"/>
            </w:pPr>
            <w:r>
              <w:rPr>
                <w:b/>
                <w:sz w:val="18"/>
              </w:rPr>
              <w:t xml:space="preserve">Aplicación  </w:t>
            </w:r>
          </w:p>
        </w:tc>
        <w:tc>
          <w:tcPr>
            <w:tcW w:w="4694" w:type="dxa"/>
            <w:tcBorders>
              <w:top w:val="single" w:sz="4" w:space="0" w:color="000000"/>
              <w:left w:val="single" w:sz="4" w:space="0" w:color="000000"/>
              <w:bottom w:val="single" w:sz="4" w:space="0" w:color="000000"/>
              <w:right w:val="nil"/>
            </w:tcBorders>
            <w:shd w:val="clear" w:color="auto" w:fill="BFBFBF"/>
          </w:tcPr>
          <w:p w:rsidR="00DA121A" w:rsidRDefault="00904DD6">
            <w:pPr>
              <w:spacing w:after="0" w:line="259" w:lineRule="auto"/>
              <w:ind w:left="71" w:firstLine="0"/>
              <w:jc w:val="left"/>
            </w:pPr>
            <w:r>
              <w:rPr>
                <w:b/>
                <w:sz w:val="18"/>
              </w:rPr>
              <w:t xml:space="preserve">Denominación  </w:t>
            </w:r>
          </w:p>
        </w:tc>
        <w:tc>
          <w:tcPr>
            <w:tcW w:w="487" w:type="dxa"/>
            <w:tcBorders>
              <w:top w:val="single" w:sz="4" w:space="0" w:color="000000"/>
              <w:left w:val="nil"/>
              <w:bottom w:val="single" w:sz="4" w:space="0" w:color="000000"/>
              <w:right w:val="single" w:sz="4" w:space="0" w:color="000000"/>
            </w:tcBorders>
            <w:shd w:val="clear" w:color="auto" w:fill="BFBFBF"/>
          </w:tcPr>
          <w:p w:rsidR="00DA121A" w:rsidRDefault="00DA121A">
            <w:pPr>
              <w:spacing w:after="160" w:line="259" w:lineRule="auto"/>
              <w:ind w:left="0" w:firstLine="0"/>
              <w:jc w:val="left"/>
            </w:pPr>
          </w:p>
        </w:tc>
        <w:tc>
          <w:tcPr>
            <w:tcW w:w="1192"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73" w:firstLine="0"/>
              <w:jc w:val="left"/>
            </w:pPr>
            <w:r>
              <w:rPr>
                <w:b/>
                <w:sz w:val="18"/>
              </w:rPr>
              <w:t xml:space="preserve">Importe </w:t>
            </w:r>
          </w:p>
        </w:tc>
      </w:tr>
      <w:tr w:rsidR="00DA121A">
        <w:trPr>
          <w:trHeight w:val="344"/>
        </w:trPr>
        <w:tc>
          <w:tcPr>
            <w:tcW w:w="265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9" w:firstLine="0"/>
              <w:jc w:val="center"/>
            </w:pPr>
            <w:r>
              <w:rPr>
                <w:sz w:val="18"/>
              </w:rPr>
              <w:t xml:space="preserve">87000 </w:t>
            </w:r>
          </w:p>
        </w:tc>
        <w:tc>
          <w:tcPr>
            <w:tcW w:w="4694" w:type="dxa"/>
            <w:tcBorders>
              <w:top w:val="single" w:sz="4" w:space="0" w:color="000000"/>
              <w:left w:val="single" w:sz="4" w:space="0" w:color="000000"/>
              <w:bottom w:val="single" w:sz="4" w:space="0" w:color="000000"/>
              <w:right w:val="nil"/>
            </w:tcBorders>
            <w:vAlign w:val="bottom"/>
          </w:tcPr>
          <w:p w:rsidR="00DA121A" w:rsidRDefault="00904DD6">
            <w:pPr>
              <w:spacing w:after="0" w:line="259" w:lineRule="auto"/>
              <w:ind w:left="71" w:firstLine="0"/>
              <w:jc w:val="left"/>
            </w:pPr>
            <w:r>
              <w:rPr>
                <w:sz w:val="18"/>
              </w:rPr>
              <w:t xml:space="preserve">Remanente de Tesorería para gastos generales </w:t>
            </w:r>
          </w:p>
        </w:tc>
        <w:tc>
          <w:tcPr>
            <w:tcW w:w="487"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73" w:firstLine="0"/>
            </w:pPr>
            <w:r>
              <w:rPr>
                <w:sz w:val="18"/>
              </w:rPr>
              <w:t xml:space="preserve">1.859.520,87 </w:t>
            </w:r>
          </w:p>
        </w:tc>
      </w:tr>
      <w:tr w:rsidR="00DA121A">
        <w:trPr>
          <w:trHeight w:val="278"/>
        </w:trPr>
        <w:tc>
          <w:tcPr>
            <w:tcW w:w="2655" w:type="dxa"/>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4694" w:type="dxa"/>
            <w:tcBorders>
              <w:top w:val="single" w:sz="4" w:space="0" w:color="000000"/>
              <w:left w:val="nil"/>
              <w:bottom w:val="single" w:sz="4" w:space="0" w:color="000000"/>
              <w:right w:val="nil"/>
            </w:tcBorders>
          </w:tcPr>
          <w:p w:rsidR="00DA121A" w:rsidRDefault="00DA121A">
            <w:pPr>
              <w:spacing w:after="160" w:line="259" w:lineRule="auto"/>
              <w:ind w:left="0" w:firstLine="0"/>
              <w:jc w:val="left"/>
            </w:pPr>
          </w:p>
        </w:tc>
        <w:tc>
          <w:tcPr>
            <w:tcW w:w="48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pPr>
            <w:r>
              <w:rPr>
                <w:b/>
                <w:sz w:val="18"/>
              </w:rPr>
              <w:t xml:space="preserve">Total </w:t>
            </w:r>
          </w:p>
        </w:tc>
        <w:tc>
          <w:tcPr>
            <w:tcW w:w="11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3" w:firstLine="0"/>
            </w:pPr>
            <w:r>
              <w:rPr>
                <w:b/>
                <w:sz w:val="18"/>
              </w:rPr>
              <w:t xml:space="preserve">1.859.520,87 </w:t>
            </w:r>
          </w:p>
        </w:tc>
      </w:tr>
    </w:tbl>
    <w:p w:rsidR="00DA121A" w:rsidRDefault="00904DD6">
      <w:pPr>
        <w:spacing w:after="36" w:line="259" w:lineRule="auto"/>
        <w:ind w:left="284" w:firstLine="0"/>
        <w:jc w:val="left"/>
      </w:pPr>
      <w:r>
        <w:rPr>
          <w:rFonts w:ascii="Times New Roman" w:eastAsia="Times New Roman" w:hAnsi="Times New Roman" w:cs="Times New Roman"/>
          <w:sz w:val="24"/>
        </w:rPr>
        <w:t xml:space="preserve"> </w:t>
      </w:r>
    </w:p>
    <w:p w:rsidR="00DA121A" w:rsidRDefault="00904DD6">
      <w:pPr>
        <w:spacing w:after="21" w:line="259" w:lineRule="auto"/>
        <w:ind w:left="284" w:firstLine="0"/>
        <w:jc w:val="left"/>
      </w:pPr>
      <w:r>
        <w:rPr>
          <w:rFonts w:ascii="Times New Roman" w:eastAsia="Times New Roman" w:hAnsi="Times New Roman" w:cs="Times New Roman"/>
          <w:sz w:val="24"/>
        </w:rPr>
        <w:t xml:space="preserve"> </w:t>
      </w:r>
    </w:p>
    <w:p w:rsidR="00DA121A" w:rsidRDefault="00904DD6">
      <w:pPr>
        <w:ind w:left="288" w:right="146"/>
      </w:pPr>
      <w:r>
        <w:rPr>
          <w:b/>
        </w:rPr>
        <w:t>SEGUNDO. -</w:t>
      </w:r>
      <w:r>
        <w:t xml:space="preserve"> </w:t>
      </w:r>
      <w:r>
        <w:t>Exponer este expediente al público mediante anuncio publicado en el Boletín Oficial de la Provincia, por 15 días, durante los cuales los interesados podrán examinarlo y presentar reclamaciones ante el Pleno.</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r>
        <w:tab/>
        <w:t xml:space="preserve"> </w:t>
      </w:r>
    </w:p>
    <w:p w:rsidR="00DA121A" w:rsidRDefault="00904DD6">
      <w:pPr>
        <w:spacing w:after="2" w:line="242" w:lineRule="auto"/>
        <w:ind w:left="279" w:right="99"/>
        <w:jc w:val="left"/>
      </w:pPr>
      <w:r>
        <w:rPr>
          <w:b/>
        </w:rPr>
        <w:t xml:space="preserve">TERCERO. - </w:t>
      </w:r>
      <w:r>
        <w:t>El expediente se considerará def</w:t>
      </w:r>
      <w:r>
        <w:t>initivamente aprobado si durante el citado plazo no se hubiesen presentado reclamaciones, en caso contrario el Pleno dispondrá de un mes para resolverlas. El expediente definitivamente aprobado, será insertado en el boletín oficial de la provincia.”</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22" w:line="259" w:lineRule="auto"/>
        <w:ind w:left="284" w:firstLine="0"/>
        <w:jc w:val="left"/>
      </w:pPr>
      <w:r>
        <w:rPr>
          <w:rFonts w:ascii="Times New Roman" w:eastAsia="Times New Roman" w:hAnsi="Times New Roman" w:cs="Times New Roman"/>
          <w:sz w:val="20"/>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4"/>
        <w:ind w:left="279" w:right="144"/>
      </w:pPr>
      <w:r>
        <w:rPr>
          <w:b/>
        </w:rPr>
        <w:t xml:space="preserve">DICTAMEN FAVORABLE DE LA COMISIÓN INFORMATIVA DE HACIENDA, RECURSOS HUMANOS Y SERVICIOS GENERALES DE 27 DE MARZO DE 2023. </w:t>
      </w:r>
    </w:p>
    <w:p w:rsidR="00DA121A" w:rsidRDefault="00904DD6">
      <w:pPr>
        <w:spacing w:after="0" w:line="259" w:lineRule="auto"/>
        <w:ind w:left="284" w:firstLine="0"/>
        <w:jc w:val="left"/>
      </w:pPr>
      <w:r>
        <w:rPr>
          <w:b/>
        </w:rPr>
        <w:t xml:space="preserve"> </w:t>
      </w:r>
    </w:p>
    <w:p w:rsidR="00DA121A" w:rsidRDefault="00904DD6">
      <w:pPr>
        <w:ind w:left="288" w:right="146"/>
      </w:pPr>
      <w:r>
        <w:t xml:space="preserve">Votos a favor: 4. </w:t>
      </w:r>
    </w:p>
    <w:p w:rsidR="00DA121A" w:rsidRDefault="00904DD6">
      <w:pPr>
        <w:ind w:left="288" w:right="146"/>
      </w:pPr>
      <w:r>
        <w:t>Los 4 concejales del Grupo Socialista: Don Airam Pérez Chinea, Don Jorge Baute Delgado, Don José Francisc</w:t>
      </w:r>
      <w:r>
        <w:t xml:space="preserve">o Pinto Ramos y Doña Margarita Eva Tendero Barroso. </w:t>
      </w:r>
    </w:p>
    <w:p w:rsidR="00DA121A" w:rsidRDefault="00904DD6">
      <w:pPr>
        <w:spacing w:after="0" w:line="259" w:lineRule="auto"/>
        <w:ind w:left="284" w:firstLine="0"/>
        <w:jc w:val="left"/>
      </w:pPr>
      <w:r>
        <w:t xml:space="preserve"> </w:t>
      </w:r>
    </w:p>
    <w:p w:rsidR="00DA121A" w:rsidRDefault="00904DD6">
      <w:pPr>
        <w:ind w:left="288" w:right="146"/>
      </w:pPr>
      <w:r>
        <w:t xml:space="preserve">Votos en contra: 0. </w:t>
      </w:r>
    </w:p>
    <w:p w:rsidR="00DA121A" w:rsidRDefault="00904DD6">
      <w:pPr>
        <w:spacing w:after="0" w:line="259" w:lineRule="auto"/>
        <w:ind w:left="284" w:firstLine="0"/>
        <w:jc w:val="left"/>
      </w:pPr>
      <w:r>
        <w:t xml:space="preserve"> </w:t>
      </w:r>
    </w:p>
    <w:p w:rsidR="00DA121A" w:rsidRDefault="00904DD6">
      <w:pPr>
        <w:ind w:left="288" w:right="146"/>
      </w:pPr>
      <w:r>
        <w:t xml:space="preserve">Abstenciones: 3. </w:t>
      </w:r>
    </w:p>
    <w:p w:rsidR="00DA121A" w:rsidRDefault="00904DD6">
      <w:pPr>
        <w:spacing w:after="0" w:line="259" w:lineRule="auto"/>
        <w:ind w:left="284" w:firstLine="0"/>
        <w:jc w:val="left"/>
      </w:pPr>
      <w:r>
        <w:t xml:space="preserve"> </w:t>
      </w:r>
    </w:p>
    <w:p w:rsidR="00DA121A" w:rsidRDefault="00904DD6">
      <w:pPr>
        <w:ind w:left="288" w:right="146"/>
      </w:pPr>
      <w:r>
        <w:t xml:space="preserve">El concejal del Grupo Popular, Don Jacobo López Fariña. </w:t>
      </w:r>
    </w:p>
    <w:p w:rsidR="00DA121A" w:rsidRDefault="00904DD6">
      <w:pPr>
        <w:spacing w:after="0" w:line="259" w:lineRule="auto"/>
        <w:ind w:left="284" w:firstLine="0"/>
        <w:jc w:val="left"/>
      </w:pPr>
      <w:r>
        <w:t xml:space="preserve"> </w:t>
      </w:r>
    </w:p>
    <w:p w:rsidR="00DA121A" w:rsidRDefault="00904DD6">
      <w:pPr>
        <w:ind w:left="288" w:right="146"/>
      </w:pPr>
      <w:r>
        <w:t>La concejal del Grupo Mixto (SSP), Doña Lourdes del Carmen Mondéjar Rondón.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La concejal del Grupo Mixto (CC-PNC): Doña Ángela Cruz Perera.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3344"/>
      </w:pPr>
      <w:r>
        <w:rPr>
          <w:b/>
        </w:rPr>
        <w:t xml:space="preserve"> JUNTA DE PORTAVOCES DE 27 DE MARZO DE 2023.  </w:t>
      </w:r>
      <w:r>
        <w:t xml:space="preserve">Quedó oída.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ACUERDO DEL PLENO DE 30 DE MARZO DE 2023. </w:t>
      </w:r>
    </w:p>
    <w:p w:rsidR="00DA121A" w:rsidRDefault="00904DD6">
      <w:pPr>
        <w:spacing w:after="0" w:line="259" w:lineRule="auto"/>
        <w:ind w:left="284" w:firstLine="0"/>
        <w:jc w:val="left"/>
      </w:pPr>
      <w:r>
        <w:t xml:space="preserve"> </w:t>
      </w:r>
    </w:p>
    <w:p w:rsidR="00DA121A" w:rsidRDefault="00904DD6">
      <w:pPr>
        <w:ind w:left="288" w:right="146"/>
      </w:pPr>
      <w:r>
        <w:t xml:space="preserve">Votos a favor: 19. </w:t>
      </w:r>
    </w:p>
    <w:p w:rsidR="00DA121A" w:rsidRDefault="00904DD6">
      <w:pPr>
        <w:ind w:left="288" w:right="146"/>
      </w:pPr>
      <w:r>
        <w:t>11 concejales del Grupo Socialista: Doña María Concepción Br</w:t>
      </w:r>
      <w:r>
        <w:t>ito Núñez, Doña Don Jorge Baute Delgado, Doña Olivia Concepción Pérez Díaz, Don José Francisco Pinto Ramos, Doña Hilaria Cecilia Otazo González, Don Airam Pérez Chinea, Doña Margarita Eva Tendero Barroso, Don Manuel Alberto González Pestano, Doña María del</w:t>
      </w:r>
      <w:r>
        <w:t xml:space="preserve"> Carmen Clemente Díaz, Don Olegario Francisco Alonso Bello y Don Reinaldo José Triviño Blanco.  </w:t>
      </w:r>
    </w:p>
    <w:p w:rsidR="00DA121A" w:rsidRDefault="00904DD6">
      <w:pPr>
        <w:spacing w:after="0" w:line="259" w:lineRule="auto"/>
        <w:ind w:left="284" w:firstLine="0"/>
        <w:jc w:val="left"/>
      </w:pPr>
      <w:r>
        <w:t xml:space="preserve"> </w:t>
      </w:r>
    </w:p>
    <w:p w:rsidR="00DA121A" w:rsidRDefault="00904DD6">
      <w:pPr>
        <w:ind w:left="288" w:right="146"/>
      </w:pPr>
      <w:r>
        <w:t xml:space="preserve">4 concejales del Grupo Popular: Don Andrés Rodríguez Delgado, Don Jacobo López Fariña, Doña Raquel Martín Castro y Don David Crego Cháves. </w:t>
      </w:r>
      <w:r>
        <w:rPr>
          <w:rFonts w:ascii="Times New Roman" w:eastAsia="Times New Roman" w:hAnsi="Times New Roman" w:cs="Times New Roman"/>
          <w:sz w:val="24"/>
        </w:rPr>
        <w:t xml:space="preserve"> </w:t>
      </w:r>
    </w:p>
    <w:p w:rsidR="00DA121A" w:rsidRDefault="00904DD6">
      <w:pPr>
        <w:spacing w:after="98" w:line="259" w:lineRule="auto"/>
        <w:ind w:left="284" w:firstLine="0"/>
        <w:jc w:val="left"/>
      </w:pPr>
      <w:r>
        <w:t xml:space="preserve"> </w:t>
      </w:r>
    </w:p>
    <w:p w:rsidR="00DA121A" w:rsidRDefault="00904DD6">
      <w:pPr>
        <w:spacing w:after="111"/>
        <w:ind w:left="288" w:right="146"/>
      </w:pPr>
      <w:r>
        <w:t>2 de los conce</w:t>
      </w:r>
      <w:r>
        <w:t xml:space="preserve">jales del Grupo Mixto (CC-PNC): Doña Ángela Cruz Perera y Don Emilio Jesús Atienzar Armas.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(Cs), Doña Marta Plasencia Gutiérrez.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(VxC): Doña Alicia Mercedes Marrero Meneses.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1702" w:firstLine="0"/>
        <w:jc w:val="left"/>
      </w:pPr>
      <w:r>
        <w:rPr>
          <w:b/>
        </w:rPr>
        <w:t xml:space="preserve"> </w:t>
      </w:r>
    </w:p>
    <w:p w:rsidR="00DA121A" w:rsidRDefault="00904DD6">
      <w:pPr>
        <w:spacing w:after="0" w:line="259" w:lineRule="auto"/>
        <w:ind w:left="1702" w:firstLine="0"/>
        <w:jc w:val="left"/>
      </w:pPr>
      <w:r>
        <w:rPr>
          <w:b/>
        </w:rPr>
        <w:t xml:space="preserve"> </w:t>
      </w:r>
    </w:p>
    <w:p w:rsidR="00DA121A" w:rsidRDefault="00904DD6">
      <w:pPr>
        <w:spacing w:after="0" w:line="259" w:lineRule="auto"/>
        <w:ind w:left="1702" w:firstLine="0"/>
        <w:jc w:val="left"/>
      </w:pPr>
      <w:r>
        <w:rPr>
          <w:b/>
        </w:rPr>
        <w:t xml:space="preserve"> </w:t>
      </w:r>
    </w:p>
    <w:p w:rsidR="00DA121A" w:rsidRDefault="00904DD6">
      <w:pPr>
        <w:spacing w:after="4"/>
        <w:ind w:left="1712" w:right="144"/>
      </w:pPr>
      <w:r>
        <w:rPr>
          <w:b/>
        </w:rPr>
        <w:t xml:space="preserve"> ACUERDO DEL PLENO DE 30 DE MARZO DE 2023.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PRIMERO. - </w:t>
      </w:r>
      <w:r>
        <w:rPr>
          <w:b/>
        </w:rPr>
        <w:t>Aprobar expediente de modificación presupuestaria nº 3304/2023 de modificación presupuestaria por Créditos extraordinarios financiado con Remanente de Tesorería para gastos generales, por una cantidad total 1.859.520,87 euros, de acuerdo al siguiente detal</w:t>
      </w:r>
      <w:r>
        <w:rPr>
          <w:b/>
        </w:rPr>
        <w:t>le:</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31" w:line="259" w:lineRule="auto"/>
        <w:ind w:left="3090"/>
        <w:jc w:val="left"/>
      </w:pPr>
      <w:r>
        <w:rPr>
          <w:b/>
          <w:sz w:val="18"/>
        </w:rPr>
        <w:t xml:space="preserve">                   Estado de gastos </w:t>
      </w:r>
    </w:p>
    <w:p w:rsidR="00DA121A" w:rsidRDefault="00904DD6">
      <w:pPr>
        <w:spacing w:after="0" w:line="259" w:lineRule="auto"/>
        <w:ind w:left="423" w:firstLine="0"/>
        <w:jc w:val="left"/>
      </w:pPr>
      <w:r>
        <w:rPr>
          <w:rFonts w:ascii="Times New Roman" w:eastAsia="Times New Roman" w:hAnsi="Times New Roman" w:cs="Times New Roman"/>
          <w:b/>
          <w:sz w:val="28"/>
          <w:vertAlign w:val="superscript"/>
        </w:rPr>
        <w:t xml:space="preserve"> </w:t>
      </w:r>
      <w:r>
        <w:rPr>
          <w:rFonts w:ascii="Times New Roman" w:eastAsia="Times New Roman" w:hAnsi="Times New Roman" w:cs="Times New Roman"/>
          <w:b/>
          <w:sz w:val="28"/>
          <w:vertAlign w:val="superscript"/>
        </w:rPr>
        <w:tab/>
      </w: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b/>
          <w:sz w:val="18"/>
        </w:rPr>
        <w:t xml:space="preserve"> </w:t>
      </w:r>
      <w:r>
        <w:rPr>
          <w:b/>
          <w:sz w:val="18"/>
        </w:rPr>
        <w:tab/>
        <w:t xml:space="preserve"> </w:t>
      </w:r>
    </w:p>
    <w:tbl>
      <w:tblPr>
        <w:tblStyle w:val="TableGrid"/>
        <w:tblW w:w="9028" w:type="dxa"/>
        <w:tblInd w:w="354" w:type="dxa"/>
        <w:tblCellMar>
          <w:top w:w="4" w:type="dxa"/>
          <w:left w:w="71" w:type="dxa"/>
          <w:bottom w:w="10" w:type="dxa"/>
          <w:right w:w="18" w:type="dxa"/>
        </w:tblCellMar>
        <w:tblLook w:val="04A0" w:firstRow="1" w:lastRow="0" w:firstColumn="1" w:lastColumn="0" w:noHBand="0" w:noVBand="1"/>
      </w:tblPr>
      <w:tblGrid>
        <w:gridCol w:w="898"/>
        <w:gridCol w:w="1757"/>
        <w:gridCol w:w="5181"/>
        <w:gridCol w:w="1192"/>
      </w:tblGrid>
      <w:tr w:rsidR="00DA121A">
        <w:trPr>
          <w:trHeight w:val="629"/>
        </w:trPr>
        <w:tc>
          <w:tcPr>
            <w:tcW w:w="898"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0" w:right="18" w:firstLine="5"/>
              <w:jc w:val="center"/>
            </w:pPr>
            <w:r>
              <w:rPr>
                <w:b/>
                <w:sz w:val="18"/>
              </w:rPr>
              <w:t xml:space="preserve">Proyecto gasto </w:t>
            </w:r>
          </w:p>
        </w:tc>
        <w:tc>
          <w:tcPr>
            <w:tcW w:w="1757"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0" w:firstLine="0"/>
              <w:jc w:val="left"/>
            </w:pPr>
            <w:r>
              <w:rPr>
                <w:b/>
                <w:sz w:val="18"/>
              </w:rPr>
              <w:t xml:space="preserve">Aplicación  </w:t>
            </w:r>
          </w:p>
        </w:tc>
        <w:tc>
          <w:tcPr>
            <w:tcW w:w="5181"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0" w:firstLine="0"/>
              <w:jc w:val="left"/>
            </w:pPr>
            <w:r>
              <w:rPr>
                <w:b/>
                <w:sz w:val="18"/>
              </w:rPr>
              <w:t xml:space="preserve">Denominación  </w:t>
            </w:r>
          </w:p>
        </w:tc>
        <w:tc>
          <w:tcPr>
            <w:tcW w:w="1192" w:type="dxa"/>
            <w:tcBorders>
              <w:top w:val="single" w:sz="4" w:space="0" w:color="000000"/>
              <w:left w:val="single" w:sz="4" w:space="0" w:color="000000"/>
              <w:bottom w:val="single" w:sz="4" w:space="0" w:color="000000"/>
              <w:right w:val="single" w:sz="4" w:space="0" w:color="000000"/>
            </w:tcBorders>
            <w:shd w:val="clear" w:color="auto" w:fill="BFBFBF"/>
            <w:vAlign w:val="bottom"/>
          </w:tcPr>
          <w:p w:rsidR="00DA121A" w:rsidRDefault="00904DD6">
            <w:pPr>
              <w:spacing w:after="0" w:line="259" w:lineRule="auto"/>
              <w:ind w:left="2" w:firstLine="0"/>
              <w:jc w:val="left"/>
            </w:pPr>
            <w:r>
              <w:rPr>
                <w:b/>
                <w:sz w:val="18"/>
              </w:rPr>
              <w:t xml:space="preserve">Importe </w:t>
            </w:r>
          </w:p>
        </w:tc>
      </w:tr>
      <w:tr w:rsidR="00DA121A">
        <w:trPr>
          <w:trHeight w:val="484"/>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b/>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15100.22715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 xml:space="preserve">REDACCION Y DIRECCION OBRA DE URBANIZACION EN RUBEN MARICHAL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b/>
                <w:sz w:val="18"/>
              </w:rPr>
              <w:t xml:space="preserve">163.539,79 </w:t>
            </w:r>
          </w:p>
        </w:tc>
      </w:tr>
      <w:tr w:rsidR="00DA121A">
        <w:trPr>
          <w:trHeight w:val="562"/>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b/>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15100.60000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PARCELA DOTACIONAL BARRANCO HONDO - EXPROPIACION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b/>
                <w:sz w:val="18"/>
              </w:rPr>
              <w:t xml:space="preserve">82.631,85 </w:t>
            </w:r>
          </w:p>
        </w:tc>
      </w:tr>
      <w:tr w:rsidR="00DA121A">
        <w:trPr>
          <w:trHeight w:val="427"/>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b/>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41400.61901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 xml:space="preserve">OBRA REPAVIMENTACION CAMINO RURAL LOS ASOMADEROS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b/>
                <w:sz w:val="18"/>
              </w:rPr>
              <w:t xml:space="preserve">522.018,80 </w:t>
            </w:r>
          </w:p>
        </w:tc>
      </w:tr>
      <w:tr w:rsidR="00DA121A">
        <w:trPr>
          <w:trHeight w:val="293"/>
        </w:trPr>
        <w:tc>
          <w:tcPr>
            <w:tcW w:w="898"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5" w:firstLine="0"/>
            </w:pPr>
            <w:r>
              <w:rPr>
                <w:b/>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 xml:space="preserve">15320.62500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jc w:val="left"/>
            </w:pPr>
            <w:r>
              <w:rPr>
                <w:b/>
                <w:sz w:val="18"/>
              </w:rPr>
              <w:t xml:space="preserve">MOBILIARIO VIAS PUBLICAS (BANCOS Y PAPELERAS) </w:t>
            </w:r>
          </w:p>
        </w:tc>
        <w:tc>
          <w:tcPr>
            <w:tcW w:w="11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right="49" w:firstLine="0"/>
              <w:jc w:val="right"/>
            </w:pPr>
            <w:r>
              <w:rPr>
                <w:b/>
                <w:sz w:val="18"/>
              </w:rPr>
              <w:t xml:space="preserve">113.719,60 </w:t>
            </w:r>
          </w:p>
        </w:tc>
      </w:tr>
      <w:tr w:rsidR="00DA121A">
        <w:trPr>
          <w:trHeight w:val="576"/>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b/>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92000.62300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Proyecto Aire acondicionado y Microfonía digital Salón de Plenos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b/>
                <w:sz w:val="18"/>
              </w:rPr>
              <w:t xml:space="preserve">54.564,65 </w:t>
            </w:r>
          </w:p>
        </w:tc>
      </w:tr>
      <w:tr w:rsidR="00DA121A">
        <w:trPr>
          <w:trHeight w:val="418"/>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b/>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49200.62301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Proyecto Servidor CPD del DALIX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b/>
                <w:sz w:val="18"/>
              </w:rPr>
              <w:t xml:space="preserve">10.023,18 </w:t>
            </w:r>
          </w:p>
        </w:tc>
      </w:tr>
      <w:tr w:rsidR="00DA121A">
        <w:trPr>
          <w:trHeight w:val="564"/>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b/>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45900.61901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OBRAS DE ACCESIBILIDAD AULAS URBANIZACION LOS MENCEYES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b/>
                <w:sz w:val="18"/>
              </w:rPr>
              <w:t xml:space="preserve">73.949,71 </w:t>
            </w:r>
          </w:p>
        </w:tc>
      </w:tr>
      <w:tr w:rsidR="00DA121A">
        <w:trPr>
          <w:trHeight w:val="571"/>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b/>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33400.61901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pPr>
            <w:r>
              <w:rPr>
                <w:b/>
                <w:sz w:val="18"/>
              </w:rPr>
              <w:t xml:space="preserve">IMPERMEABILIZACIÓN Y ACONDICIONAMIENTO EXTERIOR DE LA CASA D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b/>
                <w:sz w:val="18"/>
              </w:rPr>
              <w:t xml:space="preserve">16.047,86 </w:t>
            </w:r>
          </w:p>
        </w:tc>
      </w:tr>
      <w:tr w:rsidR="00DA121A">
        <w:trPr>
          <w:trHeight w:val="553"/>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b/>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33400.61902 </w:t>
            </w:r>
          </w:p>
        </w:tc>
        <w:tc>
          <w:tcPr>
            <w:tcW w:w="5181"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ACTUACIONES DE PROTECCIÓN FRENTE A DESPRENDIMIENTOS EN EL CE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b/>
                <w:sz w:val="18"/>
              </w:rPr>
              <w:t xml:space="preserve">39.112,37 </w:t>
            </w:r>
          </w:p>
        </w:tc>
      </w:tr>
      <w:tr w:rsidR="00DA121A">
        <w:trPr>
          <w:trHeight w:val="516"/>
        </w:trPr>
        <w:tc>
          <w:tcPr>
            <w:tcW w:w="898" w:type="dxa"/>
            <w:tcBorders>
              <w:top w:val="single" w:sz="4" w:space="0" w:color="000000"/>
              <w:left w:val="single" w:sz="4" w:space="0" w:color="000000"/>
              <w:bottom w:val="single" w:sz="4" w:space="0" w:color="000000"/>
              <w:right w:val="single" w:sz="4" w:space="0" w:color="000000"/>
            </w:tcBorders>
            <w:vAlign w:val="center"/>
          </w:tcPr>
          <w:p w:rsidR="00DA121A" w:rsidRDefault="00904DD6">
            <w:pPr>
              <w:spacing w:after="0" w:line="259" w:lineRule="auto"/>
              <w:ind w:left="5" w:firstLine="0"/>
            </w:pPr>
            <w:r>
              <w:rPr>
                <w:b/>
                <w:sz w:val="18"/>
              </w:rPr>
              <w:t xml:space="preserve">P.23.2.34 </w:t>
            </w:r>
          </w:p>
        </w:tc>
        <w:tc>
          <w:tcPr>
            <w:tcW w:w="1757"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firstLine="0"/>
              <w:jc w:val="left"/>
            </w:pPr>
            <w:r>
              <w:rPr>
                <w:b/>
                <w:sz w:val="18"/>
              </w:rPr>
              <w:t xml:space="preserve">15100.60910 </w:t>
            </w:r>
          </w:p>
        </w:tc>
        <w:tc>
          <w:tcPr>
            <w:tcW w:w="5181"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0" w:firstLine="0"/>
            </w:pPr>
            <w:r>
              <w:rPr>
                <w:b/>
                <w:sz w:val="18"/>
              </w:rPr>
              <w:t xml:space="preserve">OBRA PLAZA PLAYA LA VIUDA EQUIPAMIENTO DEPORTIVO Y ASISTENCIAL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0" w:right="49" w:firstLine="0"/>
              <w:jc w:val="right"/>
            </w:pPr>
            <w:r>
              <w:rPr>
                <w:b/>
                <w:sz w:val="18"/>
              </w:rPr>
              <w:t xml:space="preserve">783.913,06 </w:t>
            </w:r>
          </w:p>
        </w:tc>
      </w:tr>
      <w:tr w:rsidR="00DA121A">
        <w:trPr>
          <w:trHeight w:val="432"/>
        </w:trPr>
        <w:tc>
          <w:tcPr>
            <w:tcW w:w="2655" w:type="dxa"/>
            <w:gridSpan w:val="2"/>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5181" w:type="dxa"/>
            <w:tcBorders>
              <w:top w:val="single" w:sz="4" w:space="0" w:color="000000"/>
              <w:left w:val="nil"/>
              <w:bottom w:val="single" w:sz="4" w:space="0" w:color="000000"/>
              <w:right w:val="single" w:sz="4" w:space="0" w:color="000000"/>
            </w:tcBorders>
            <w:vAlign w:val="center"/>
          </w:tcPr>
          <w:p w:rsidR="00DA121A" w:rsidRDefault="00904DD6">
            <w:pPr>
              <w:spacing w:after="0" w:line="259" w:lineRule="auto"/>
              <w:ind w:left="0" w:right="52" w:firstLine="0"/>
              <w:jc w:val="right"/>
            </w:pPr>
            <w:r>
              <w:rPr>
                <w:b/>
                <w:sz w:val="18"/>
              </w:rPr>
              <w:t xml:space="preserve">Total </w:t>
            </w: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2" w:firstLine="0"/>
            </w:pPr>
            <w:r>
              <w:rPr>
                <w:b/>
                <w:sz w:val="18"/>
              </w:rPr>
              <w:t xml:space="preserve">1.859.520,87 </w:t>
            </w:r>
          </w:p>
        </w:tc>
      </w:tr>
    </w:tbl>
    <w:p w:rsidR="00DA121A" w:rsidRDefault="00904DD6">
      <w:pPr>
        <w:spacing w:after="50" w:line="259" w:lineRule="auto"/>
        <w:ind w:left="3080" w:firstLine="0"/>
        <w:jc w:val="left"/>
      </w:pPr>
      <w:r>
        <w:rPr>
          <w:b/>
          <w:sz w:val="18"/>
        </w:rPr>
        <w:t xml:space="preserve"> </w:t>
      </w:r>
    </w:p>
    <w:p w:rsidR="00DA121A" w:rsidRDefault="00904DD6">
      <w:pPr>
        <w:tabs>
          <w:tab w:val="center" w:pos="1184"/>
          <w:tab w:val="center" w:pos="2132"/>
          <w:tab w:val="center" w:pos="4334"/>
        </w:tabs>
        <w:spacing w:after="0" w:line="259" w:lineRule="auto"/>
        <w:ind w:left="0" w:firstLine="0"/>
        <w:jc w:val="left"/>
      </w:pPr>
      <w:r>
        <w:rPr>
          <w:rFonts w:ascii="Calibri" w:eastAsia="Calibri" w:hAnsi="Calibri" w:cs="Calibri"/>
        </w:rPr>
        <w:tab/>
      </w:r>
      <w:r>
        <w:rPr>
          <w:rFonts w:ascii="Times New Roman" w:eastAsia="Times New Roman" w:hAnsi="Times New Roman" w:cs="Times New Roman"/>
          <w:b/>
          <w:sz w:val="28"/>
          <w:vertAlign w:val="superscript"/>
        </w:rPr>
        <w:t xml:space="preserve"> </w:t>
      </w:r>
      <w:r>
        <w:rPr>
          <w:rFonts w:ascii="Times New Roman" w:eastAsia="Times New Roman" w:hAnsi="Times New Roman" w:cs="Times New Roman"/>
          <w:b/>
          <w:sz w:val="28"/>
          <w:vertAlign w:val="superscript"/>
        </w:rPr>
        <w:tab/>
      </w: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b/>
          <w:sz w:val="18"/>
        </w:rPr>
        <w:t xml:space="preserve">                 Estado de ingresos </w:t>
      </w:r>
    </w:p>
    <w:p w:rsidR="00DA121A" w:rsidRDefault="00904DD6">
      <w:pPr>
        <w:spacing w:after="0" w:line="259" w:lineRule="auto"/>
        <w:ind w:left="1184" w:firstLine="0"/>
        <w:jc w:val="left"/>
      </w:pPr>
      <w:r>
        <w:rPr>
          <w:rFonts w:ascii="Times New Roman" w:eastAsia="Times New Roman" w:hAnsi="Times New Roman" w:cs="Times New Roman"/>
          <w:b/>
          <w:sz w:val="28"/>
          <w:vertAlign w:val="superscript"/>
        </w:rPr>
        <w:t xml:space="preserve"> </w:t>
      </w:r>
      <w:r>
        <w:rPr>
          <w:rFonts w:ascii="Times New Roman" w:eastAsia="Times New Roman" w:hAnsi="Times New Roman" w:cs="Times New Roman"/>
          <w:b/>
          <w:sz w:val="28"/>
          <w:vertAlign w:val="superscript"/>
        </w:rPr>
        <w:tab/>
      </w:r>
      <w:r>
        <w:rPr>
          <w:rFonts w:ascii="Times New Roman" w:eastAsia="Times New Roman" w:hAnsi="Times New Roman" w:cs="Times New Roman"/>
          <w:b/>
          <w:sz w:val="18"/>
        </w:rPr>
        <w:t xml:space="preserve"> </w:t>
      </w:r>
      <w:r>
        <w:rPr>
          <w:rFonts w:ascii="Times New Roman" w:eastAsia="Times New Roman" w:hAnsi="Times New Roman" w:cs="Times New Roman"/>
          <w:b/>
          <w:sz w:val="18"/>
        </w:rPr>
        <w:tab/>
      </w:r>
      <w:r>
        <w:rPr>
          <w:b/>
          <w:sz w:val="18"/>
        </w:rPr>
        <w:t xml:space="preserve"> </w:t>
      </w:r>
      <w:r>
        <w:rPr>
          <w:b/>
          <w:sz w:val="18"/>
        </w:rPr>
        <w:tab/>
        <w:t xml:space="preserve"> </w:t>
      </w:r>
    </w:p>
    <w:tbl>
      <w:tblPr>
        <w:tblStyle w:val="TableGrid"/>
        <w:tblW w:w="9028" w:type="dxa"/>
        <w:tblInd w:w="354" w:type="dxa"/>
        <w:tblCellMar>
          <w:top w:w="4" w:type="dxa"/>
          <w:left w:w="0" w:type="dxa"/>
          <w:bottom w:w="11" w:type="dxa"/>
          <w:right w:w="18" w:type="dxa"/>
        </w:tblCellMar>
        <w:tblLook w:val="04A0" w:firstRow="1" w:lastRow="0" w:firstColumn="1" w:lastColumn="0" w:noHBand="0" w:noVBand="1"/>
      </w:tblPr>
      <w:tblGrid>
        <w:gridCol w:w="2655"/>
        <w:gridCol w:w="4694"/>
        <w:gridCol w:w="487"/>
        <w:gridCol w:w="1192"/>
      </w:tblGrid>
      <w:tr w:rsidR="00DA121A">
        <w:trPr>
          <w:trHeight w:val="216"/>
        </w:trPr>
        <w:tc>
          <w:tcPr>
            <w:tcW w:w="2655"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14" w:firstLine="0"/>
              <w:jc w:val="center"/>
            </w:pPr>
            <w:r>
              <w:rPr>
                <w:b/>
                <w:sz w:val="18"/>
              </w:rPr>
              <w:t xml:space="preserve">Aplicación  </w:t>
            </w:r>
          </w:p>
        </w:tc>
        <w:tc>
          <w:tcPr>
            <w:tcW w:w="4694" w:type="dxa"/>
            <w:tcBorders>
              <w:top w:val="single" w:sz="4" w:space="0" w:color="000000"/>
              <w:left w:val="single" w:sz="4" w:space="0" w:color="000000"/>
              <w:bottom w:val="single" w:sz="4" w:space="0" w:color="000000"/>
              <w:right w:val="nil"/>
            </w:tcBorders>
            <w:shd w:val="clear" w:color="auto" w:fill="BFBFBF"/>
          </w:tcPr>
          <w:p w:rsidR="00DA121A" w:rsidRDefault="00904DD6">
            <w:pPr>
              <w:spacing w:after="0" w:line="259" w:lineRule="auto"/>
              <w:ind w:left="71" w:firstLine="0"/>
              <w:jc w:val="left"/>
            </w:pPr>
            <w:r>
              <w:rPr>
                <w:b/>
                <w:sz w:val="18"/>
              </w:rPr>
              <w:t xml:space="preserve">Denominación  </w:t>
            </w:r>
          </w:p>
        </w:tc>
        <w:tc>
          <w:tcPr>
            <w:tcW w:w="487" w:type="dxa"/>
            <w:tcBorders>
              <w:top w:val="single" w:sz="4" w:space="0" w:color="000000"/>
              <w:left w:val="nil"/>
              <w:bottom w:val="single" w:sz="4" w:space="0" w:color="000000"/>
              <w:right w:val="single" w:sz="4" w:space="0" w:color="000000"/>
            </w:tcBorders>
            <w:shd w:val="clear" w:color="auto" w:fill="BFBFBF"/>
          </w:tcPr>
          <w:p w:rsidR="00DA121A" w:rsidRDefault="00DA121A">
            <w:pPr>
              <w:spacing w:after="160" w:line="259" w:lineRule="auto"/>
              <w:ind w:left="0" w:firstLine="0"/>
              <w:jc w:val="left"/>
            </w:pPr>
          </w:p>
        </w:tc>
        <w:tc>
          <w:tcPr>
            <w:tcW w:w="1192" w:type="dxa"/>
            <w:tcBorders>
              <w:top w:val="single" w:sz="4" w:space="0" w:color="000000"/>
              <w:left w:val="single" w:sz="4" w:space="0" w:color="000000"/>
              <w:bottom w:val="single" w:sz="4" w:space="0" w:color="000000"/>
              <w:right w:val="single" w:sz="4" w:space="0" w:color="000000"/>
            </w:tcBorders>
            <w:shd w:val="clear" w:color="auto" w:fill="BFBFBF"/>
          </w:tcPr>
          <w:p w:rsidR="00DA121A" w:rsidRDefault="00904DD6">
            <w:pPr>
              <w:spacing w:after="0" w:line="259" w:lineRule="auto"/>
              <w:ind w:left="73" w:firstLine="0"/>
              <w:jc w:val="left"/>
            </w:pPr>
            <w:r>
              <w:rPr>
                <w:b/>
                <w:sz w:val="18"/>
              </w:rPr>
              <w:t xml:space="preserve">Importe </w:t>
            </w:r>
          </w:p>
        </w:tc>
      </w:tr>
      <w:tr w:rsidR="00DA121A">
        <w:trPr>
          <w:trHeight w:val="344"/>
        </w:trPr>
        <w:tc>
          <w:tcPr>
            <w:tcW w:w="2655"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19" w:firstLine="0"/>
              <w:jc w:val="center"/>
            </w:pPr>
            <w:r>
              <w:rPr>
                <w:b/>
                <w:sz w:val="18"/>
              </w:rPr>
              <w:t xml:space="preserve">87000 </w:t>
            </w:r>
          </w:p>
        </w:tc>
        <w:tc>
          <w:tcPr>
            <w:tcW w:w="4694" w:type="dxa"/>
            <w:tcBorders>
              <w:top w:val="single" w:sz="4" w:space="0" w:color="000000"/>
              <w:left w:val="single" w:sz="4" w:space="0" w:color="000000"/>
              <w:bottom w:val="single" w:sz="4" w:space="0" w:color="000000"/>
              <w:right w:val="nil"/>
            </w:tcBorders>
            <w:vAlign w:val="bottom"/>
          </w:tcPr>
          <w:p w:rsidR="00DA121A" w:rsidRDefault="00904DD6">
            <w:pPr>
              <w:spacing w:after="0" w:line="259" w:lineRule="auto"/>
              <w:ind w:left="71" w:firstLine="0"/>
              <w:jc w:val="left"/>
            </w:pPr>
            <w:r>
              <w:rPr>
                <w:b/>
                <w:sz w:val="18"/>
              </w:rPr>
              <w:t xml:space="preserve">Remanente de Tesorería para gastos generales </w:t>
            </w:r>
          </w:p>
        </w:tc>
        <w:tc>
          <w:tcPr>
            <w:tcW w:w="487" w:type="dxa"/>
            <w:tcBorders>
              <w:top w:val="single" w:sz="4" w:space="0" w:color="000000"/>
              <w:left w:val="nil"/>
              <w:bottom w:val="single" w:sz="4" w:space="0" w:color="000000"/>
              <w:right w:val="single" w:sz="4" w:space="0" w:color="000000"/>
            </w:tcBorders>
          </w:tcPr>
          <w:p w:rsidR="00DA121A" w:rsidRDefault="00DA121A">
            <w:pPr>
              <w:spacing w:after="160" w:line="259" w:lineRule="auto"/>
              <w:ind w:left="0" w:firstLine="0"/>
              <w:jc w:val="left"/>
            </w:pPr>
          </w:p>
        </w:tc>
        <w:tc>
          <w:tcPr>
            <w:tcW w:w="1192" w:type="dxa"/>
            <w:tcBorders>
              <w:top w:val="single" w:sz="4" w:space="0" w:color="000000"/>
              <w:left w:val="single" w:sz="4" w:space="0" w:color="000000"/>
              <w:bottom w:val="single" w:sz="4" w:space="0" w:color="000000"/>
              <w:right w:val="single" w:sz="4" w:space="0" w:color="000000"/>
            </w:tcBorders>
            <w:vAlign w:val="bottom"/>
          </w:tcPr>
          <w:p w:rsidR="00DA121A" w:rsidRDefault="00904DD6">
            <w:pPr>
              <w:spacing w:after="0" w:line="259" w:lineRule="auto"/>
              <w:ind w:left="73" w:firstLine="0"/>
            </w:pPr>
            <w:r>
              <w:rPr>
                <w:b/>
                <w:sz w:val="18"/>
              </w:rPr>
              <w:t xml:space="preserve">1.859.520,87 </w:t>
            </w:r>
          </w:p>
        </w:tc>
      </w:tr>
      <w:tr w:rsidR="00DA121A">
        <w:trPr>
          <w:trHeight w:val="278"/>
        </w:trPr>
        <w:tc>
          <w:tcPr>
            <w:tcW w:w="2655" w:type="dxa"/>
            <w:tcBorders>
              <w:top w:val="single" w:sz="4" w:space="0" w:color="000000"/>
              <w:left w:val="single" w:sz="4" w:space="0" w:color="000000"/>
              <w:bottom w:val="single" w:sz="4" w:space="0" w:color="000000"/>
              <w:right w:val="nil"/>
            </w:tcBorders>
          </w:tcPr>
          <w:p w:rsidR="00DA121A" w:rsidRDefault="00DA121A">
            <w:pPr>
              <w:spacing w:after="160" w:line="259" w:lineRule="auto"/>
              <w:ind w:left="0" w:firstLine="0"/>
              <w:jc w:val="left"/>
            </w:pPr>
          </w:p>
        </w:tc>
        <w:tc>
          <w:tcPr>
            <w:tcW w:w="4694" w:type="dxa"/>
            <w:tcBorders>
              <w:top w:val="single" w:sz="4" w:space="0" w:color="000000"/>
              <w:left w:val="nil"/>
              <w:bottom w:val="single" w:sz="4" w:space="0" w:color="000000"/>
              <w:right w:val="nil"/>
            </w:tcBorders>
          </w:tcPr>
          <w:p w:rsidR="00DA121A" w:rsidRDefault="00DA121A">
            <w:pPr>
              <w:spacing w:after="160" w:line="259" w:lineRule="auto"/>
              <w:ind w:left="0" w:firstLine="0"/>
              <w:jc w:val="left"/>
            </w:pPr>
          </w:p>
        </w:tc>
        <w:tc>
          <w:tcPr>
            <w:tcW w:w="487" w:type="dxa"/>
            <w:tcBorders>
              <w:top w:val="single" w:sz="4" w:space="0" w:color="000000"/>
              <w:left w:val="nil"/>
              <w:bottom w:val="single" w:sz="4" w:space="0" w:color="000000"/>
              <w:right w:val="single" w:sz="4" w:space="0" w:color="000000"/>
            </w:tcBorders>
          </w:tcPr>
          <w:p w:rsidR="00DA121A" w:rsidRDefault="00904DD6">
            <w:pPr>
              <w:spacing w:after="0" w:line="259" w:lineRule="auto"/>
              <w:ind w:left="0" w:firstLine="0"/>
            </w:pPr>
            <w:r>
              <w:rPr>
                <w:b/>
                <w:sz w:val="18"/>
              </w:rPr>
              <w:t xml:space="preserve">Total </w:t>
            </w:r>
          </w:p>
        </w:tc>
        <w:tc>
          <w:tcPr>
            <w:tcW w:w="1192" w:type="dxa"/>
            <w:tcBorders>
              <w:top w:val="single" w:sz="4" w:space="0" w:color="000000"/>
              <w:left w:val="single" w:sz="4" w:space="0" w:color="000000"/>
              <w:bottom w:val="single" w:sz="4" w:space="0" w:color="000000"/>
              <w:right w:val="single" w:sz="4" w:space="0" w:color="000000"/>
            </w:tcBorders>
          </w:tcPr>
          <w:p w:rsidR="00DA121A" w:rsidRDefault="00904DD6">
            <w:pPr>
              <w:spacing w:after="0" w:line="259" w:lineRule="auto"/>
              <w:ind w:left="73" w:firstLine="0"/>
            </w:pPr>
            <w:r>
              <w:rPr>
                <w:b/>
                <w:sz w:val="18"/>
              </w:rPr>
              <w:t xml:space="preserve">1.859.520,87 </w:t>
            </w:r>
          </w:p>
        </w:tc>
      </w:tr>
    </w:tbl>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SEGUNDO. - Exponer este expediente al público mediante anuncio publicado en el Boletín Oficial de la Provincia, por 15 días, durante los cuales los interesados podrán examinarlo y presentar reclamaciones ante el </w:t>
      </w:r>
      <w:r>
        <w:rPr>
          <w:b/>
        </w:rPr>
        <w:t>Pleno.</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r>
        <w:rPr>
          <w:b/>
        </w:rPr>
        <w:tab/>
        <w:t xml:space="preserve"> </w:t>
      </w:r>
    </w:p>
    <w:p w:rsidR="00DA121A" w:rsidRDefault="00904DD6">
      <w:pPr>
        <w:spacing w:after="227"/>
        <w:ind w:left="279" w:right="144"/>
      </w:pPr>
      <w:r>
        <w:rPr>
          <w:b/>
        </w:rPr>
        <w:t xml:space="preserve">TERCERO. - </w:t>
      </w:r>
      <w:r>
        <w:rPr>
          <w:b/>
        </w:rPr>
        <w:t xml:space="preserve">El expediente se considerará definitivamente aprobado si durante el citado plazo no se hubiesen presentado reclamaciones, en caso contrario el Pleno dispondrá de un mes para resolverlas. El expediente definitivamente aprobado, será insertado en el boletín </w:t>
      </w:r>
      <w:r>
        <w:rPr>
          <w:b/>
        </w:rPr>
        <w:t>oficial de la provincia.</w:t>
      </w:r>
      <w:r>
        <w:rPr>
          <w:rFonts w:ascii="Times New Roman" w:eastAsia="Times New Roman" w:hAnsi="Times New Roman" w:cs="Times New Roman"/>
          <w:sz w:val="24"/>
        </w:rPr>
        <w:t xml:space="preserve"> </w:t>
      </w:r>
    </w:p>
    <w:p w:rsidR="00DA121A" w:rsidRDefault="00904DD6">
      <w:pPr>
        <w:spacing w:after="99" w:line="259" w:lineRule="auto"/>
        <w:ind w:left="284" w:firstLine="0"/>
        <w:jc w:val="left"/>
      </w:pPr>
      <w:r>
        <w:rPr>
          <w:b/>
          <w:sz w:val="24"/>
        </w:rPr>
        <w:t xml:space="preserve"> </w:t>
      </w:r>
    </w:p>
    <w:p w:rsidR="00DA121A" w:rsidRDefault="00904DD6">
      <w:pPr>
        <w:spacing w:after="98" w:line="259" w:lineRule="auto"/>
        <w:ind w:left="284" w:firstLine="0"/>
        <w:jc w:val="left"/>
      </w:pPr>
      <w:r>
        <w:rPr>
          <w:b/>
          <w:sz w:val="24"/>
        </w:rPr>
        <w:t xml:space="preserve"> </w:t>
      </w:r>
    </w:p>
    <w:p w:rsidR="00DA121A" w:rsidRDefault="00904DD6">
      <w:pPr>
        <w:spacing w:after="90" w:line="250" w:lineRule="auto"/>
        <w:ind w:left="279" w:right="149"/>
      </w:pPr>
      <w:r>
        <w:rPr>
          <w:b/>
          <w:sz w:val="24"/>
        </w:rPr>
        <w:t>5.- Expediente 2582/2023. Propuesta de la Alcaldesa-Presidenta de 27 de marzo de 2023 de fiestas locales para el año 2024.</w:t>
      </w:r>
      <w:r>
        <w:t xml:space="preserve"> </w:t>
      </w:r>
    </w:p>
    <w:p w:rsidR="00DA121A" w:rsidRDefault="00904DD6">
      <w:pPr>
        <w:spacing w:after="98" w:line="259" w:lineRule="auto"/>
        <w:ind w:left="284" w:firstLine="0"/>
        <w:jc w:val="left"/>
      </w:pPr>
      <w:r>
        <w:rPr>
          <w:b/>
        </w:rPr>
        <w:t xml:space="preserve"> </w:t>
      </w:r>
    </w:p>
    <w:p w:rsidR="00DA121A" w:rsidRDefault="00904DD6">
      <w:pPr>
        <w:spacing w:after="238"/>
        <w:ind w:left="279" w:right="144"/>
      </w:pPr>
      <w:r>
        <w:rPr>
          <w:b/>
        </w:rPr>
        <w:t xml:space="preserve">  Consta en el expediente propuesta de la Alcaldesa-Presidenta, de fecha 18 de abril de 2022, cuyo t</w:t>
      </w:r>
      <w:r>
        <w:rPr>
          <w:b/>
        </w:rPr>
        <w:t xml:space="preserve">enor literal es el siguiente: </w:t>
      </w:r>
    </w:p>
    <w:p w:rsidR="00DA121A" w:rsidRDefault="00904DD6">
      <w:pPr>
        <w:spacing w:after="111"/>
        <w:ind w:left="288" w:right="146"/>
      </w:pPr>
      <w:r>
        <w:t xml:space="preserve">“La que suscribe, Alcaldesa-Presidenta del Ayuntamiento de Candelaria, tiene el honor de someter a la consideración del Ayuntamiento Pleno, la siguiente propuesta: </w:t>
      </w:r>
    </w:p>
    <w:p w:rsidR="00DA121A" w:rsidRDefault="00904DD6">
      <w:pPr>
        <w:spacing w:after="98" w:line="259" w:lineRule="auto"/>
        <w:ind w:left="284" w:firstLine="0"/>
        <w:jc w:val="left"/>
      </w:pPr>
      <w:r>
        <w:t xml:space="preserve"> </w:t>
      </w:r>
    </w:p>
    <w:p w:rsidR="00DA121A" w:rsidRDefault="00904DD6">
      <w:pPr>
        <w:ind w:left="278" w:right="146" w:firstLine="708"/>
      </w:pPr>
      <w:r>
        <w:t xml:space="preserve"> 1º.- El día 20 de febrero ha tenido entrada en este Ayunt</w:t>
      </w:r>
      <w:r>
        <w:t xml:space="preserve">amiento el escrito de la Dirección General de Trabajo del Gobierno de Canarias, por el que se solicita se fijen los dos días de Fiestas Locales para 2024. </w:t>
      </w:r>
    </w:p>
    <w:p w:rsidR="00DA121A" w:rsidRDefault="00904DD6">
      <w:pPr>
        <w:spacing w:after="0" w:line="259" w:lineRule="auto"/>
        <w:ind w:left="992" w:firstLine="0"/>
        <w:jc w:val="left"/>
      </w:pPr>
      <w:r>
        <w:t xml:space="preserve"> </w:t>
      </w:r>
    </w:p>
    <w:p w:rsidR="00DA121A" w:rsidRDefault="00904DD6">
      <w:pPr>
        <w:ind w:left="288" w:right="146"/>
      </w:pPr>
      <w:r>
        <w:t xml:space="preserve"> 2º.- El art. 37.2 del Real Decreto Legislativo 1/1995, de 24 de marzo, y el art. 46 del Real Decr</w:t>
      </w:r>
      <w:r>
        <w:t xml:space="preserve">eto 2001/1983, de 28 de julio, establecen que las fiestas de carácter local no recuperables no podrán exceder de dos al año. </w:t>
      </w:r>
    </w:p>
    <w:p w:rsidR="00DA121A" w:rsidRDefault="00904DD6">
      <w:pPr>
        <w:spacing w:after="0" w:line="259" w:lineRule="auto"/>
        <w:ind w:left="284" w:firstLine="0"/>
        <w:jc w:val="left"/>
      </w:pPr>
      <w:r>
        <w:t xml:space="preserve"> </w:t>
      </w:r>
    </w:p>
    <w:p w:rsidR="00DA121A" w:rsidRDefault="00904DD6">
      <w:pPr>
        <w:ind w:left="288" w:right="146"/>
      </w:pPr>
      <w:r>
        <w:t xml:space="preserve"> 3º.- </w:t>
      </w:r>
      <w:r>
        <w:t xml:space="preserve">Al objeto de inclusión en el Calendario de las fiestas laborables del año 2024 es necesario que la Corporación Municipal formule la correspondiente propuesta de fiestas de carácter local no recuperable. </w:t>
      </w:r>
    </w:p>
    <w:p w:rsidR="00DA121A" w:rsidRDefault="00904DD6">
      <w:pPr>
        <w:spacing w:after="0" w:line="259" w:lineRule="auto"/>
        <w:ind w:left="284" w:firstLine="0"/>
        <w:jc w:val="left"/>
      </w:pPr>
      <w:r>
        <w:t xml:space="preserve"> </w:t>
      </w:r>
    </w:p>
    <w:p w:rsidR="00DA121A" w:rsidRDefault="00904DD6">
      <w:pPr>
        <w:ind w:left="288" w:right="146"/>
      </w:pPr>
      <w:r>
        <w:t xml:space="preserve"> En base a lo expuesto, esta Alcaldía propone al A</w:t>
      </w:r>
      <w:r>
        <w:t xml:space="preserve">yuntamiento Pleno la adopción del siguiente acuerdo: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numPr>
          <w:ilvl w:val="0"/>
          <w:numId w:val="31"/>
        </w:numPr>
        <w:ind w:right="146" w:hanging="360"/>
      </w:pPr>
      <w:r>
        <w:t xml:space="preserve">Proponer como fiestas de carácter local no recuperables para el año 2024 las siguientes: </w:t>
      </w:r>
    </w:p>
    <w:p w:rsidR="00DA121A" w:rsidRDefault="00904DD6">
      <w:pPr>
        <w:spacing w:after="0" w:line="259" w:lineRule="auto"/>
        <w:ind w:left="992" w:firstLine="0"/>
        <w:jc w:val="left"/>
      </w:pPr>
      <w:r>
        <w:t xml:space="preserve"> </w:t>
      </w:r>
    </w:p>
    <w:p w:rsidR="00DA121A" w:rsidRDefault="00904DD6">
      <w:pPr>
        <w:spacing w:after="0" w:line="259" w:lineRule="auto"/>
        <w:ind w:left="992" w:firstLine="0"/>
        <w:jc w:val="left"/>
      </w:pPr>
      <w:r>
        <w:t xml:space="preserve"> </w:t>
      </w:r>
    </w:p>
    <w:p w:rsidR="00DA121A" w:rsidRDefault="00904DD6">
      <w:pPr>
        <w:numPr>
          <w:ilvl w:val="1"/>
          <w:numId w:val="31"/>
        </w:numPr>
        <w:ind w:left="1849" w:right="146" w:hanging="137"/>
      </w:pPr>
      <w:r>
        <w:t xml:space="preserve">13 de febrero (Martes de Carnaval). </w:t>
      </w:r>
    </w:p>
    <w:p w:rsidR="00DA121A" w:rsidRDefault="00904DD6">
      <w:pPr>
        <w:numPr>
          <w:ilvl w:val="1"/>
          <w:numId w:val="31"/>
        </w:numPr>
        <w:ind w:left="1849" w:right="146" w:hanging="137"/>
      </w:pPr>
      <w:r>
        <w:t xml:space="preserve">26 de julio (Festividad de Santa Ana). </w:t>
      </w:r>
    </w:p>
    <w:p w:rsidR="00DA121A" w:rsidRDefault="00904DD6">
      <w:pPr>
        <w:spacing w:after="0" w:line="259" w:lineRule="auto"/>
        <w:ind w:left="284" w:firstLine="0"/>
        <w:jc w:val="left"/>
      </w:pPr>
      <w:r>
        <w:t xml:space="preserve"> </w:t>
      </w:r>
    </w:p>
    <w:p w:rsidR="00DA121A" w:rsidRDefault="00904DD6">
      <w:pPr>
        <w:spacing w:after="0" w:line="259" w:lineRule="auto"/>
        <w:ind w:left="992" w:firstLine="0"/>
        <w:jc w:val="left"/>
      </w:pPr>
      <w:r>
        <w:t xml:space="preserve"> </w:t>
      </w:r>
    </w:p>
    <w:p w:rsidR="00DA121A" w:rsidRDefault="00904DD6">
      <w:pPr>
        <w:numPr>
          <w:ilvl w:val="0"/>
          <w:numId w:val="31"/>
        </w:numPr>
        <w:ind w:right="146" w:hanging="360"/>
      </w:pPr>
      <w:r>
        <w:t>Dar traslado de ést</w:t>
      </w:r>
      <w:r>
        <w:t xml:space="preserve">e acuerdo a: </w:t>
      </w:r>
    </w:p>
    <w:p w:rsidR="00DA121A" w:rsidRDefault="00904DD6">
      <w:pPr>
        <w:spacing w:after="0" w:line="259" w:lineRule="auto"/>
        <w:ind w:left="992" w:firstLine="0"/>
        <w:jc w:val="left"/>
      </w:pPr>
      <w:r>
        <w:t xml:space="preserve">  </w:t>
      </w:r>
    </w:p>
    <w:p w:rsidR="00DA121A" w:rsidRDefault="00904DD6">
      <w:pPr>
        <w:ind w:left="1287" w:right="146"/>
      </w:pPr>
      <w:r>
        <w:t xml:space="preserve">Dirección General de Trabajo de la Consejería de Economía, Conocimiento y Empleo del Gobierno de Canarias. </w:t>
      </w:r>
    </w:p>
    <w:p w:rsidR="00DA121A" w:rsidRDefault="00904DD6">
      <w:pPr>
        <w:spacing w:after="27"/>
        <w:ind w:left="1287" w:right="146"/>
      </w:pPr>
      <w:r>
        <w:t xml:space="preserve">Departamento de Recursos Humanos del Ayuntamiento.  </w:t>
      </w:r>
    </w:p>
    <w:p w:rsidR="00DA121A" w:rsidRDefault="00904DD6">
      <w:pPr>
        <w:ind w:left="1287" w:right="146"/>
      </w:pPr>
      <w:r>
        <w:t xml:space="preserve">Centros Escolares del Municipio.”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tabs>
          <w:tab w:val="center" w:pos="284"/>
          <w:tab w:val="center" w:pos="4170"/>
        </w:tabs>
        <w:ind w:left="0" w:firstLine="0"/>
        <w:jc w:val="left"/>
      </w:pPr>
      <w:r>
        <w:rPr>
          <w:rFonts w:ascii="Calibri" w:eastAsia="Calibri" w:hAnsi="Calibri" w:cs="Calibri"/>
        </w:rPr>
        <w:tab/>
      </w:r>
      <w:r>
        <w:t xml:space="preserve"> </w:t>
      </w:r>
      <w:r>
        <w:tab/>
      </w:r>
      <w:r>
        <w:t xml:space="preserve">No obstante, el Ayuntamiento Pleno acordará lo más procedente.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DICTAMEN FAVORABLE DE LA COMISIÓN INFORMATIVA DE HACIENDA, RECURSOS HUMANOS Y SERVICIOS GENERALES DE 27 DE MARZO DE 2023. </w:t>
      </w:r>
    </w:p>
    <w:p w:rsidR="00DA121A" w:rsidRDefault="00904DD6">
      <w:pPr>
        <w:spacing w:after="0" w:line="259" w:lineRule="auto"/>
        <w:ind w:left="284" w:firstLine="0"/>
        <w:jc w:val="left"/>
      </w:pPr>
      <w:r>
        <w:rPr>
          <w:b/>
        </w:rPr>
        <w:t xml:space="preserve"> </w:t>
      </w:r>
    </w:p>
    <w:p w:rsidR="00DA121A" w:rsidRDefault="00904DD6">
      <w:pPr>
        <w:ind w:left="288" w:right="146"/>
      </w:pPr>
      <w:r>
        <w:t>Los 7 integrantes de la Comisión Informativa votaron favorablem</w:t>
      </w:r>
      <w:r>
        <w:t xml:space="preserve">ente. </w:t>
      </w:r>
    </w:p>
    <w:p w:rsidR="00DA121A" w:rsidRDefault="00904DD6">
      <w:pPr>
        <w:spacing w:after="0" w:line="259" w:lineRule="auto"/>
        <w:ind w:left="284" w:firstLine="0"/>
        <w:jc w:val="left"/>
      </w:pPr>
      <w:r>
        <w:t xml:space="preserve"> </w:t>
      </w:r>
    </w:p>
    <w:p w:rsidR="00DA121A" w:rsidRDefault="00904DD6">
      <w:pPr>
        <w:ind w:left="288" w:right="146"/>
      </w:pPr>
      <w:r>
        <w:t xml:space="preserve">Los 4 concejales del Grupo Socialista:  Don José Francisco Pinto Ramos, Don Airam Pérez Chinea, Don Olegario Francisco Alonso Bello, Doña Hilaria Cecilia Otazo González. </w:t>
      </w:r>
    </w:p>
    <w:p w:rsidR="00DA121A" w:rsidRDefault="00904DD6">
      <w:pPr>
        <w:spacing w:after="0" w:line="259" w:lineRule="auto"/>
        <w:ind w:left="284" w:firstLine="0"/>
        <w:jc w:val="left"/>
      </w:pPr>
      <w:r>
        <w:t xml:space="preserve"> </w:t>
      </w:r>
    </w:p>
    <w:p w:rsidR="00DA121A" w:rsidRDefault="00904DD6">
      <w:pPr>
        <w:ind w:left="288" w:right="146"/>
      </w:pPr>
      <w:r>
        <w:t xml:space="preserve">El concejal del Grupo Popular, Don Jacobo López Fariña. </w:t>
      </w:r>
    </w:p>
    <w:p w:rsidR="00DA121A" w:rsidRDefault="00904DD6">
      <w:pPr>
        <w:spacing w:after="0" w:line="259" w:lineRule="auto"/>
        <w:ind w:left="284" w:firstLine="0"/>
        <w:jc w:val="left"/>
      </w:pPr>
      <w:r>
        <w:t xml:space="preserve"> </w:t>
      </w:r>
    </w:p>
    <w:p w:rsidR="00DA121A" w:rsidRDefault="00904DD6">
      <w:pPr>
        <w:ind w:left="288" w:right="146"/>
      </w:pPr>
      <w:r>
        <w:t>La concejal del Grupo Mixto (SSP), Doña Lourdes del Carmen Mondejar Rondón.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La concejal del Grupo Mixto (CC-PNC): Doña Ángela Cruz Perera.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JUNTA DE PORTAVOCES DE 27 DE MARZO DE 2023.  </w:t>
      </w:r>
    </w:p>
    <w:p w:rsidR="00DA121A" w:rsidRDefault="00904DD6">
      <w:pPr>
        <w:ind w:left="288" w:right="146"/>
      </w:pPr>
      <w:r>
        <w:t xml:space="preserve">Quedó oída.  </w:t>
      </w:r>
    </w:p>
    <w:p w:rsidR="00DA121A" w:rsidRDefault="00904DD6">
      <w:pPr>
        <w:spacing w:after="0" w:line="259" w:lineRule="auto"/>
        <w:ind w:left="284" w:firstLine="0"/>
        <w:jc w:val="left"/>
      </w:pPr>
      <w:r>
        <w:rPr>
          <w:b/>
        </w:rPr>
        <w:t xml:space="preserve"> </w:t>
      </w:r>
    </w:p>
    <w:p w:rsidR="00DA121A" w:rsidRDefault="00904DD6">
      <w:pPr>
        <w:spacing w:after="4"/>
        <w:ind w:left="1712" w:right="144"/>
      </w:pPr>
      <w:r>
        <w:rPr>
          <w:b/>
        </w:rPr>
        <w:t xml:space="preserve">VOTACIÓN EN EL PLENO DE 30 DE MARZO DE 2023. </w:t>
      </w:r>
    </w:p>
    <w:p w:rsidR="00DA121A" w:rsidRDefault="00904DD6">
      <w:pPr>
        <w:spacing w:after="0" w:line="259" w:lineRule="auto"/>
        <w:ind w:left="284" w:firstLine="0"/>
        <w:jc w:val="left"/>
      </w:pPr>
      <w:r>
        <w:rPr>
          <w:b/>
        </w:rPr>
        <w:t xml:space="preserve"> </w:t>
      </w:r>
    </w:p>
    <w:p w:rsidR="00DA121A" w:rsidRDefault="00904DD6">
      <w:pPr>
        <w:tabs>
          <w:tab w:val="center" w:pos="284"/>
          <w:tab w:val="center" w:pos="4471"/>
        </w:tabs>
        <w:ind w:left="0" w:firstLine="0"/>
        <w:jc w:val="left"/>
      </w:pPr>
      <w:r>
        <w:rPr>
          <w:rFonts w:ascii="Calibri" w:eastAsia="Calibri" w:hAnsi="Calibri" w:cs="Calibri"/>
        </w:rPr>
        <w:tab/>
      </w:r>
      <w:r>
        <w:t xml:space="preserve"> </w:t>
      </w:r>
      <w:r>
        <w:tab/>
        <w:t xml:space="preserve">La unanimidad de los 19 concejales presentes votaron favorablemente. </w:t>
      </w:r>
    </w:p>
    <w:p w:rsidR="00DA121A" w:rsidRDefault="00904DD6">
      <w:pPr>
        <w:spacing w:after="0" w:line="259" w:lineRule="auto"/>
        <w:ind w:left="284" w:firstLine="0"/>
        <w:jc w:val="left"/>
      </w:pPr>
      <w:r>
        <w:t xml:space="preserve"> </w:t>
      </w:r>
    </w:p>
    <w:p w:rsidR="00DA121A" w:rsidRDefault="00904DD6">
      <w:pPr>
        <w:ind w:left="288" w:right="146"/>
      </w:pPr>
      <w:r>
        <w:t xml:space="preserve">Votos a favor: 19. </w:t>
      </w:r>
    </w:p>
    <w:p w:rsidR="00DA121A" w:rsidRDefault="00904DD6">
      <w:pPr>
        <w:ind w:left="288" w:right="146"/>
      </w:pPr>
      <w:r>
        <w:t>11 concejales del Grupo Socialista: Doña María Concepción Brito Núñez, Doña Don Jorge Baute Delgado, Doña Olivia Concepción Pérez Díaz, Don José Francisco Pin</w:t>
      </w:r>
      <w:r>
        <w:t xml:space="preserve">to Ramos, Doña Hilaria Cecilia Otazo González, Don Airam Pérez Chinea, Doña Margarita Eva Tendero Barroso, Don Manuel Alberto González Pestano, Doña María del Carmen Clemente Díaz, Don Olegario Francisco Alonso Bello y Don Reinaldo José Triviño Blanco.  </w:t>
      </w:r>
    </w:p>
    <w:p w:rsidR="00DA121A" w:rsidRDefault="00904DD6">
      <w:pPr>
        <w:spacing w:after="0" w:line="259" w:lineRule="auto"/>
        <w:ind w:left="284" w:firstLine="0"/>
        <w:jc w:val="left"/>
      </w:pPr>
      <w:r>
        <w:t xml:space="preserve"> </w:t>
      </w:r>
    </w:p>
    <w:p w:rsidR="00DA121A" w:rsidRDefault="00904DD6">
      <w:pPr>
        <w:ind w:left="288" w:right="146"/>
      </w:pPr>
      <w:r>
        <w:t xml:space="preserve">4 concejales del Grupo Popular: Don Andrés Rodríguez Delgado, Don Jacobo López Fariña, Doña Raquel Martín Castro y Don David Crego Cháves. </w:t>
      </w:r>
      <w:r>
        <w:rPr>
          <w:rFonts w:ascii="Times New Roman" w:eastAsia="Times New Roman" w:hAnsi="Times New Roman" w:cs="Times New Roman"/>
          <w:sz w:val="24"/>
        </w:rPr>
        <w:t xml:space="preserve"> </w:t>
      </w:r>
    </w:p>
    <w:p w:rsidR="00DA121A" w:rsidRDefault="00904DD6">
      <w:pPr>
        <w:spacing w:after="98" w:line="259" w:lineRule="auto"/>
        <w:ind w:left="284" w:firstLine="0"/>
        <w:jc w:val="left"/>
      </w:pPr>
      <w:r>
        <w:t xml:space="preserve"> </w:t>
      </w:r>
    </w:p>
    <w:p w:rsidR="00DA121A" w:rsidRDefault="00904DD6">
      <w:pPr>
        <w:spacing w:after="114"/>
        <w:ind w:left="288" w:right="146"/>
      </w:pPr>
      <w:r>
        <w:t xml:space="preserve">2 de los concejales del Grupo Mixto (CC-PNC): Doña Ángela Cruz Perera y Don Emilio Jesús Atienzar Armas. </w:t>
      </w:r>
    </w:p>
    <w:p w:rsidR="00DA121A" w:rsidRDefault="00904DD6">
      <w:pPr>
        <w:spacing w:after="0" w:line="259" w:lineRule="auto"/>
        <w:ind w:left="284" w:firstLine="0"/>
        <w:jc w:val="left"/>
      </w:pPr>
      <w:r>
        <w:t xml:space="preserve"> </w:t>
      </w:r>
    </w:p>
    <w:p w:rsidR="00DA121A" w:rsidRDefault="00904DD6">
      <w:pPr>
        <w:ind w:left="288" w:right="146"/>
      </w:pPr>
      <w:r>
        <w:t>1 de</w:t>
      </w:r>
      <w:r>
        <w:t xml:space="preserve"> la concejal del Grupo Mixto (Cs), Doña Marta Plasencia Gutiérrez.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(VxC): Doña Alicia Mercedes Marrero Meneses.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1712" w:right="144"/>
      </w:pPr>
      <w:r>
        <w:rPr>
          <w:b/>
        </w:rPr>
        <w:t xml:space="preserve">      ACUERDO DEL PLENO DE 30 DE MARZO DE 2023. </w:t>
      </w:r>
    </w:p>
    <w:p w:rsidR="00DA121A" w:rsidRDefault="00904DD6">
      <w:pPr>
        <w:spacing w:after="0" w:line="259" w:lineRule="auto"/>
        <w:ind w:left="284" w:firstLine="0"/>
        <w:jc w:val="left"/>
      </w:pPr>
      <w:r>
        <w:rPr>
          <w:b/>
        </w:rPr>
        <w:t xml:space="preserve"> </w:t>
      </w:r>
    </w:p>
    <w:p w:rsidR="00DA121A" w:rsidRDefault="00904DD6">
      <w:pPr>
        <w:spacing w:after="231"/>
        <w:ind w:left="279" w:right="144"/>
      </w:pPr>
      <w:r>
        <w:rPr>
          <w:b/>
        </w:rPr>
        <w:t xml:space="preserve">      Primero. - </w:t>
      </w:r>
      <w:r>
        <w:rPr>
          <w:b/>
        </w:rPr>
        <w:t xml:space="preserve">Aprobar como fiestas de carácter local no recuperables para el año 2024 las siguientes:  </w:t>
      </w:r>
    </w:p>
    <w:p w:rsidR="00DA121A" w:rsidRDefault="00904DD6">
      <w:pPr>
        <w:numPr>
          <w:ilvl w:val="0"/>
          <w:numId w:val="32"/>
        </w:numPr>
        <w:spacing w:after="229"/>
        <w:ind w:left="406" w:right="144" w:hanging="137"/>
      </w:pPr>
      <w:r>
        <w:rPr>
          <w:b/>
        </w:rPr>
        <w:t xml:space="preserve">13 de febrero (Martes de Carnaval).  </w:t>
      </w:r>
    </w:p>
    <w:p w:rsidR="00DA121A" w:rsidRDefault="00904DD6">
      <w:pPr>
        <w:numPr>
          <w:ilvl w:val="0"/>
          <w:numId w:val="32"/>
        </w:numPr>
        <w:spacing w:after="229"/>
        <w:ind w:left="406" w:right="144" w:hanging="137"/>
      </w:pPr>
      <w:r>
        <w:rPr>
          <w:b/>
        </w:rPr>
        <w:t xml:space="preserve">26 de julio (Festividad de Santa Ana).  </w:t>
      </w:r>
    </w:p>
    <w:p w:rsidR="00DA121A" w:rsidRDefault="00904DD6">
      <w:pPr>
        <w:spacing w:after="226"/>
        <w:ind w:left="279" w:right="144"/>
      </w:pPr>
      <w:r>
        <w:rPr>
          <w:b/>
        </w:rPr>
        <w:t xml:space="preserve">     Segundo. - Dar traslado de este acuerdo a:  </w:t>
      </w:r>
    </w:p>
    <w:p w:rsidR="00DA121A" w:rsidRDefault="00904DD6">
      <w:pPr>
        <w:numPr>
          <w:ilvl w:val="0"/>
          <w:numId w:val="32"/>
        </w:numPr>
        <w:spacing w:after="228"/>
        <w:ind w:left="406" w:right="144" w:hanging="137"/>
      </w:pPr>
      <w:r>
        <w:rPr>
          <w:b/>
        </w:rPr>
        <w:t xml:space="preserve">Dirección General de Trabajo de la Consejería de Economía, Conocimiento y Empleo del Gobierno de Canarias.  </w:t>
      </w:r>
    </w:p>
    <w:p w:rsidR="00DA121A" w:rsidRDefault="00904DD6">
      <w:pPr>
        <w:numPr>
          <w:ilvl w:val="0"/>
          <w:numId w:val="32"/>
        </w:numPr>
        <w:spacing w:after="229"/>
        <w:ind w:left="406" w:right="144" w:hanging="137"/>
      </w:pPr>
      <w:r>
        <w:rPr>
          <w:b/>
        </w:rPr>
        <w:t xml:space="preserve">Departamento de Recursos Humanos del Ayuntamiento.  </w:t>
      </w:r>
    </w:p>
    <w:p w:rsidR="00DA121A" w:rsidRDefault="00904DD6">
      <w:pPr>
        <w:numPr>
          <w:ilvl w:val="0"/>
          <w:numId w:val="32"/>
        </w:numPr>
        <w:spacing w:after="229"/>
        <w:ind w:left="406" w:right="144" w:hanging="137"/>
      </w:pPr>
      <w:r>
        <w:rPr>
          <w:b/>
        </w:rPr>
        <w:t xml:space="preserve">Centros Escolares del Municipio.  </w:t>
      </w:r>
    </w:p>
    <w:p w:rsidR="00DA121A" w:rsidRDefault="00904DD6">
      <w:pPr>
        <w:spacing w:after="220" w:line="259" w:lineRule="auto"/>
        <w:ind w:left="284" w:firstLine="0"/>
        <w:jc w:val="left"/>
      </w:pPr>
      <w:r>
        <w:rPr>
          <w:b/>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15" w:line="250" w:lineRule="auto"/>
        <w:ind w:left="279" w:right="149"/>
      </w:pPr>
      <w:r>
        <w:rPr>
          <w:b/>
          <w:sz w:val="24"/>
        </w:rPr>
        <w:t xml:space="preserve">6-. </w:t>
      </w:r>
      <w:r>
        <w:rPr>
          <w:b/>
          <w:sz w:val="24"/>
        </w:rPr>
        <w:t xml:space="preserve">Expediente 3237/2023. Propuesta del Concejal delegado de Relaciones Institucionales de fecha 21 de marzo de 2023 por la que se eleva al Pleno la Concesión de Distinción Honorífica de Hija Adoptiva de la Villa de Candelaria a Dª. </w:t>
      </w:r>
    </w:p>
    <w:p w:rsidR="00DA121A" w:rsidRDefault="00904DD6">
      <w:pPr>
        <w:spacing w:after="90" w:line="250" w:lineRule="auto"/>
        <w:ind w:left="279" w:right="149"/>
      </w:pPr>
      <w:r>
        <w:rPr>
          <w:b/>
          <w:sz w:val="24"/>
        </w:rPr>
        <w:t>María Dolores Arias Rodríg</w:t>
      </w:r>
      <w:r>
        <w:rPr>
          <w:b/>
          <w:sz w:val="24"/>
        </w:rPr>
        <w:t>uez, “Lolina”.</w:t>
      </w:r>
      <w:r>
        <w:t xml:space="preserve"> </w:t>
      </w:r>
    </w:p>
    <w:p w:rsidR="00DA121A" w:rsidRDefault="00904DD6">
      <w:pPr>
        <w:spacing w:after="98" w:line="259" w:lineRule="auto"/>
        <w:ind w:left="284" w:firstLine="0"/>
        <w:jc w:val="left"/>
      </w:pPr>
      <w:r>
        <w:rPr>
          <w:b/>
        </w:rPr>
        <w:t xml:space="preserve"> </w:t>
      </w:r>
    </w:p>
    <w:p w:rsidR="00DA121A" w:rsidRDefault="00904DD6">
      <w:pPr>
        <w:spacing w:after="4"/>
        <w:ind w:left="279" w:right="144"/>
      </w:pPr>
      <w:r>
        <w:rPr>
          <w:b/>
        </w:rPr>
        <w:t>Consta en el expediente propuesta del Concejal Delegado de Atención y Participación Ciudadana, Consumo, Relaciones Institucionales, Protocolo y Régimen Interior, Don José Francisco Pinto Ramos, de 21 de marzo de 2023</w:t>
      </w:r>
      <w:r>
        <w:rPr>
          <w:b/>
          <w:color w:val="2F3E4D"/>
        </w:rPr>
        <w:t>,</w:t>
      </w:r>
      <w:r>
        <w:rPr>
          <w:b/>
        </w:rPr>
        <w:t xml:space="preserve"> que transcrito liter</w:t>
      </w:r>
      <w:r>
        <w:rPr>
          <w:b/>
        </w:rPr>
        <w:t>almente dice:</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114" w:line="259" w:lineRule="auto"/>
        <w:ind w:left="284" w:firstLine="0"/>
        <w:jc w:val="left"/>
      </w:pPr>
      <w:r>
        <w:t xml:space="preserve"> </w:t>
      </w:r>
    </w:p>
    <w:p w:rsidR="00DA121A" w:rsidRDefault="00904DD6">
      <w:pPr>
        <w:pStyle w:val="Ttulo2"/>
        <w:spacing w:after="681"/>
        <w:ind w:right="1092"/>
      </w:pPr>
      <w:r>
        <w:t xml:space="preserve">“PROPUESTA </w:t>
      </w:r>
    </w:p>
    <w:p w:rsidR="00DA121A" w:rsidRDefault="00904DD6">
      <w:pPr>
        <w:spacing w:after="56"/>
        <w:ind w:left="288" w:right="146"/>
      </w:pPr>
      <w:r>
        <w:t xml:space="preserve">ASUNTO: Concesión de Distinción Honorífica de Hija Adoptiva de la Villa de Candelaria a Dª. María </w:t>
      </w:r>
    </w:p>
    <w:p w:rsidR="00DA121A" w:rsidRDefault="00904DD6">
      <w:pPr>
        <w:spacing w:after="706"/>
        <w:ind w:left="288" w:right="146"/>
      </w:pPr>
      <w:r>
        <w:t xml:space="preserve">Dolores Arias Rodríguez, “Lolina” </w:t>
      </w:r>
    </w:p>
    <w:p w:rsidR="00DA121A" w:rsidRDefault="00904DD6">
      <w:pPr>
        <w:spacing w:after="204" w:line="259" w:lineRule="auto"/>
        <w:ind w:left="119" w:firstLine="0"/>
        <w:jc w:val="center"/>
      </w:pPr>
      <w:r>
        <w:rPr>
          <w:b/>
          <w:u w:val="single" w:color="000000"/>
        </w:rPr>
        <w:t>PROPUESTA RAZONADA DEL INSTRUCTOR DEL EXPEDIENTE:</w:t>
      </w:r>
      <w:r>
        <w:rPr>
          <w:rFonts w:ascii="Times New Roman" w:eastAsia="Times New Roman" w:hAnsi="Times New Roman" w:cs="Times New Roman"/>
          <w:sz w:val="24"/>
        </w:rPr>
        <w:t xml:space="preserve"> </w:t>
      </w:r>
    </w:p>
    <w:p w:rsidR="00DA121A" w:rsidRDefault="00904DD6">
      <w:pPr>
        <w:spacing w:after="201"/>
        <w:ind w:left="279" w:right="144"/>
      </w:pPr>
      <w:r>
        <w:rPr>
          <w:b/>
        </w:rPr>
        <w:t>1.- ANTECEDENTES:</w:t>
      </w:r>
      <w:r>
        <w:rPr>
          <w:rFonts w:ascii="Times New Roman" w:eastAsia="Times New Roman" w:hAnsi="Times New Roman" w:cs="Times New Roman"/>
          <w:sz w:val="24"/>
        </w:rPr>
        <w:t xml:space="preserve"> </w:t>
      </w:r>
    </w:p>
    <w:p w:rsidR="00DA121A" w:rsidRDefault="00904DD6">
      <w:pPr>
        <w:spacing w:after="111"/>
        <w:ind w:left="288" w:right="146"/>
      </w:pPr>
      <w:r>
        <w:t xml:space="preserve">     </w:t>
      </w:r>
      <w:r>
        <w:t xml:space="preserve">Diecisiete miembros corporativos de los grupos Socialista, Popular y Mixto (representantes de Ciudadanos y Vecinos Por Candelaria) han suscrito una propuesta que se transcribe a continuación: </w:t>
      </w:r>
    </w:p>
    <w:p w:rsidR="00DA121A" w:rsidRDefault="00904DD6">
      <w:pPr>
        <w:spacing w:after="111"/>
        <w:ind w:left="278" w:right="366" w:firstLine="566"/>
      </w:pPr>
      <w:r>
        <w:t xml:space="preserve">En la jornada de ayer, que se conmemoraba el Día Internacional </w:t>
      </w:r>
      <w:r>
        <w:t xml:space="preserve">de la Mujer, por parte de la Concejala de Servicios Sociales, Igualdad y Sanidad, se comunicó a los presentes que era intención de la Alcaldesa de la Villa y del Grupo de Gobierno Municipal, la incoación del expediente oportuno para el reconocimiento a la </w:t>
      </w:r>
      <w:r>
        <w:t xml:space="preserve">Doctora María Dolores Arias Rodríguez con el Título de Hija Adoptiva de la Villa de Candelaria, que fue refrendado por una sonora salva de aplausos de todas las personas presentes.  </w:t>
      </w:r>
    </w:p>
    <w:p w:rsidR="00DA121A" w:rsidRDefault="00904DD6">
      <w:pPr>
        <w:spacing w:after="111"/>
        <w:ind w:left="278" w:right="372" w:firstLine="566"/>
      </w:pPr>
      <w:r>
        <w:t>La Doctora Arias, Lolina para sus innumerables pacientes y amigos, se jub</w:t>
      </w:r>
      <w:r>
        <w:t xml:space="preserve">iló en el mes de marzo de 2021, después de prestar sus servicios, como médica de atención primaria, en Candelaria durante treinta y cinco años, ganándose el cariño y el reconocimiento de los miles de pacientes que atendió. </w:t>
      </w:r>
    </w:p>
    <w:p w:rsidR="00DA121A" w:rsidRDefault="00904DD6">
      <w:pPr>
        <w:spacing w:after="97" w:line="248" w:lineRule="auto"/>
        <w:ind w:left="288" w:right="145"/>
      </w:pPr>
      <w:r>
        <w:rPr>
          <w:i/>
        </w:rPr>
        <w:t>(Se adjunta copia de un primer i</w:t>
      </w:r>
      <w:r>
        <w:rPr>
          <w:i/>
        </w:rPr>
        <w:t>nforme elaborado por el Cronista Oficial para su incorporación al expediente)</w:t>
      </w:r>
      <w:r>
        <w:rPr>
          <w:rFonts w:ascii="Times New Roman" w:eastAsia="Times New Roman" w:hAnsi="Times New Roman" w:cs="Times New Roman"/>
          <w:sz w:val="24"/>
        </w:rPr>
        <w:t xml:space="preserve"> </w:t>
      </w:r>
    </w:p>
    <w:p w:rsidR="00DA121A" w:rsidRDefault="00904DD6">
      <w:pPr>
        <w:spacing w:after="214"/>
        <w:ind w:left="288" w:right="146"/>
      </w:pPr>
      <w:r>
        <w:t xml:space="preserve">     Por todo lo expuesto, se propone al Ayuntamiento Pleno la adopción del siguiente  </w:t>
      </w:r>
    </w:p>
    <w:p w:rsidR="00DA121A" w:rsidRDefault="00904DD6">
      <w:pPr>
        <w:spacing w:after="212"/>
        <w:ind w:left="288" w:right="146"/>
      </w:pPr>
      <w:r>
        <w:t xml:space="preserve">ACUERDO: </w:t>
      </w:r>
    </w:p>
    <w:p w:rsidR="00DA121A" w:rsidRDefault="00904DD6">
      <w:pPr>
        <w:ind w:left="278" w:right="146" w:firstLine="991"/>
      </w:pPr>
      <w:r>
        <w:t>1.- Incoar expediente de nombramiento de HIJA ADOPTIVA del Municipio de la Vill</w:t>
      </w:r>
      <w:r>
        <w:t xml:space="preserve">a de Candelaria a Dª. María Dolores Arias Rodríguez. </w:t>
      </w:r>
    </w:p>
    <w:p w:rsidR="00DA121A" w:rsidRDefault="00904DD6">
      <w:pPr>
        <w:spacing w:after="3" w:line="259" w:lineRule="auto"/>
        <w:ind w:left="568" w:right="421"/>
        <w:jc w:val="center"/>
      </w:pPr>
      <w:r>
        <w:t xml:space="preserve">2.- Facultar ampliamente a la Alcaldía para la ejecución del presente acuerdo. </w:t>
      </w:r>
    </w:p>
    <w:p w:rsidR="00DA121A" w:rsidRDefault="00904DD6">
      <w:pPr>
        <w:spacing w:after="244"/>
        <w:ind w:left="1004" w:right="1559" w:hanging="154"/>
      </w:pPr>
      <w:r>
        <w:t xml:space="preserve">No obstante, el Ayuntamiento Pleno acordará lo más procedente. En la Villa de Candelaria a 9 de marzo de 2023. </w:t>
      </w:r>
    </w:p>
    <w:p w:rsidR="00DA121A" w:rsidRDefault="00904DD6">
      <w:pPr>
        <w:ind w:left="288" w:right="146"/>
      </w:pPr>
      <w:r>
        <w:t xml:space="preserve">     - Por</w:t>
      </w:r>
      <w:r>
        <w:t xml:space="preserve"> decreto de la alcaldía nº 790/2023, de 20 de marzo, la Alcaldesa – Presidenta me designa instructor del preceptivo expediente, nombramiento que acepto con sumo gusto pues, para todo candelariero, es un honor resaltar la figura de una de las personas que m</w:t>
      </w:r>
      <w:r>
        <w:t>erecen el mayor reconocimiento de esta villa, como es la Doctora Arias. En el mismo decreto se nombra como secretaria del presente expediente a la Técnico de Administración General de este Ayuntamiento Dª María del Pilar Chico Delgado a quien expreso mi pr</w:t>
      </w:r>
      <w:r>
        <w:t xml:space="preserve">ofundo agradecimiento por su valiosa colaboración en la instrucción de este expediente. </w:t>
      </w:r>
    </w:p>
    <w:p w:rsidR="00DA121A" w:rsidRDefault="00904DD6">
      <w:pPr>
        <w:spacing w:after="0" w:line="259" w:lineRule="auto"/>
        <w:ind w:left="269" w:firstLine="0"/>
        <w:jc w:val="left"/>
      </w:pPr>
      <w:r>
        <w:t xml:space="preserve"> </w:t>
      </w:r>
    </w:p>
    <w:p w:rsidR="00DA121A" w:rsidRDefault="00904DD6">
      <w:pPr>
        <w:spacing w:after="201"/>
        <w:ind w:left="279" w:right="144"/>
      </w:pPr>
      <w:r>
        <w:rPr>
          <w:b/>
        </w:rPr>
        <w:t>2.- NORMATIVA APLICABLE:</w:t>
      </w:r>
      <w:r>
        <w:rPr>
          <w:rFonts w:ascii="Times New Roman" w:eastAsia="Times New Roman" w:hAnsi="Times New Roman" w:cs="Times New Roman"/>
          <w:sz w:val="24"/>
        </w:rPr>
        <w:t xml:space="preserve"> </w:t>
      </w:r>
    </w:p>
    <w:p w:rsidR="00DA121A" w:rsidRDefault="00904DD6">
      <w:pPr>
        <w:spacing w:after="39"/>
        <w:ind w:left="288" w:right="146"/>
      </w:pPr>
      <w:r>
        <w:t xml:space="preserve">     </w:t>
      </w:r>
      <w:r>
        <w:t xml:space="preserve">La distinción honorífica de Hija Adoptiva de la Villa de Candelaria está regulada en el Reglamento de Honores, Distinciones y Ceremonial del Ilustre Ayuntamiento de la Siempre </w:t>
      </w:r>
    </w:p>
    <w:p w:rsidR="00DA121A" w:rsidRDefault="00904DD6">
      <w:pPr>
        <w:spacing w:after="11" w:line="248" w:lineRule="auto"/>
        <w:ind w:left="288" w:right="145"/>
      </w:pPr>
      <w:r>
        <w:t>Abnegada y Piadosa Villa de Candelaria, en cuyo artículo 21 se hace constar lit</w:t>
      </w:r>
      <w:r>
        <w:t>eralmente que “</w:t>
      </w:r>
      <w:r>
        <w:rPr>
          <w:i/>
        </w:rPr>
        <w:t>La concesión del Título de Hijo Predilecto o Hija Predilecta sólo podrá recaer en quienes, habiendo nacido en este municipio, hayan destacado de forma extraordinaria por sus cualidades o méritos personales, o por servicios prestados en benef</w:t>
      </w:r>
      <w:r>
        <w:rPr>
          <w:i/>
        </w:rPr>
        <w:t>icio u honor del municipio, y que hayan alcanzado consideración indiscutible en el concepto público. ”</w:t>
      </w:r>
      <w:r>
        <w:t xml:space="preserve">. Mientras que en el artículo 22 se indica: </w:t>
      </w:r>
      <w:r>
        <w:rPr>
          <w:i/>
        </w:rPr>
        <w:t>“La concesión del Título de Hijo Adoptivo o Hija Adoptiva de la Villa de Candelaria, podrá otorgarse a las per</w:t>
      </w:r>
      <w:r>
        <w:rPr>
          <w:i/>
        </w:rPr>
        <w:t>sonas que, sin haber nacido en el lugar, reúnan las circunstancias señaladas en el artículo anterior”.</w:t>
      </w:r>
      <w:r>
        <w:rPr>
          <w:rFonts w:ascii="Times New Roman" w:eastAsia="Times New Roman" w:hAnsi="Times New Roman" w:cs="Times New Roman"/>
          <w:sz w:val="24"/>
        </w:rPr>
        <w:t xml:space="preserve"> </w:t>
      </w:r>
    </w:p>
    <w:p w:rsidR="00DA121A" w:rsidRDefault="00904DD6">
      <w:pPr>
        <w:spacing w:after="258"/>
        <w:ind w:left="288" w:right="146"/>
      </w:pPr>
      <w:r>
        <w:t xml:space="preserve">     A juicio de éste instructor se dan en la homenajeada todos los méritos requeridos en el citado reglamento, ya que durante su largo periodo en el Ce</w:t>
      </w:r>
      <w:r>
        <w:t xml:space="preserve">ntro de Salud de Candelaria es la mejor valorada de cuantos formaban el equipo del Servicio Canario de Salud en dicho centro, llegando a tener hasta dos mil quinientos pacientes asignados. </w:t>
      </w:r>
    </w:p>
    <w:p w:rsidR="00DA121A" w:rsidRDefault="00904DD6">
      <w:pPr>
        <w:spacing w:after="201"/>
        <w:ind w:left="279" w:right="144"/>
      </w:pPr>
      <w:r>
        <w:rPr>
          <w:b/>
        </w:rPr>
        <w:t xml:space="preserve">3.- ACTUACIONES LLEVADAS A CABO EN LA INSTRUCCIÓN DEL EXPEDIENTE: </w:t>
      </w:r>
      <w:r>
        <w:rPr>
          <w:rFonts w:ascii="Times New Roman" w:eastAsia="Times New Roman" w:hAnsi="Times New Roman" w:cs="Times New Roman"/>
          <w:sz w:val="24"/>
        </w:rPr>
        <w:t xml:space="preserve"> </w:t>
      </w:r>
    </w:p>
    <w:p w:rsidR="00DA121A" w:rsidRDefault="00904DD6">
      <w:pPr>
        <w:spacing w:after="33"/>
        <w:ind w:left="288" w:right="146"/>
      </w:pPr>
      <w:r>
        <w:t xml:space="preserve">     EL Artículo 25 del Reglamento de Honores, Distinciones y Ceremonial de la Villa de  </w:t>
      </w:r>
    </w:p>
    <w:p w:rsidR="00DA121A" w:rsidRDefault="00904DD6">
      <w:pPr>
        <w:spacing w:after="0" w:line="248" w:lineRule="auto"/>
        <w:ind w:left="288" w:right="145"/>
      </w:pPr>
      <w:r>
        <w:t xml:space="preserve">Candelaria preceptúa que </w:t>
      </w:r>
      <w:r>
        <w:rPr>
          <w:i/>
        </w:rPr>
        <w:t>“La concesión de los títulos de Hijo Predilecto o Hija Predilecta e Hijo Adoptivo o Hija Adoptiva se iniciará con una propuesta, firmada po</w:t>
      </w:r>
      <w:r>
        <w:rPr>
          <w:i/>
        </w:rPr>
        <w:t>r la mayoría absoluta de los miembros de la Corporación Municipal y la designación por parte del Alcalde Presidente o Alcaldesa Presidenta, entre los miembros de la Corporación, de un instructor o una instructora del expediente que, una vez concluido este,</w:t>
      </w:r>
      <w:r>
        <w:rPr>
          <w:i/>
        </w:rPr>
        <w:t xml:space="preserve"> pasará a dictaminarse por la Comisión Informativa correspondiente, en el que deberán quedar debidamente acreditados los merecimientos que justifiquen estos honores. Una vez dictaminados por la Comisión Informativa, pasará al Pleno de la Corporación Munici</w:t>
      </w:r>
      <w:r>
        <w:rPr>
          <w:i/>
        </w:rPr>
        <w:t>pal, que deberá aprobarlo con el voto favorable de la mayoría absoluta del número legal de miembros de la Corporación.”</w:t>
      </w:r>
      <w:r>
        <w:t xml:space="preserve"> </w:t>
      </w:r>
      <w:r>
        <w:rPr>
          <w:rFonts w:ascii="Times New Roman" w:eastAsia="Times New Roman" w:hAnsi="Times New Roman" w:cs="Times New Roman"/>
          <w:sz w:val="24"/>
        </w:rPr>
        <w:t xml:space="preserve"> </w:t>
      </w:r>
    </w:p>
    <w:p w:rsidR="00DA121A" w:rsidRDefault="00904DD6">
      <w:pPr>
        <w:ind w:left="288" w:right="146"/>
      </w:pPr>
      <w:r>
        <w:t xml:space="preserve">     Esta tarea ha resultado fácil para este instructor y para la secretaria del mismo ya que para ambos nos son sumamente conocidos l</w:t>
      </w:r>
      <w:r>
        <w:t xml:space="preserve">os méritos que en ella concurren, como persona comprometida con su profesión y sus pacientes. </w:t>
      </w:r>
    </w:p>
    <w:p w:rsidR="00DA121A" w:rsidRDefault="00904DD6">
      <w:pPr>
        <w:ind w:left="288" w:right="146"/>
      </w:pPr>
      <w:r>
        <w:t xml:space="preserve">     Por parte de este instructor se han realizado contactos con sus compañeros y compañeras, así como con muchos de sus pacientes con el fin de dar conocimiento</w:t>
      </w:r>
      <w:r>
        <w:t xml:space="preserve"> del homenaje que se pretende conceder a esta persona, habiéndose recibido la adhesión del Doctor D. Octavio Rodríguez </w:t>
      </w:r>
    </w:p>
    <w:p w:rsidR="00DA121A" w:rsidRDefault="00904DD6">
      <w:pPr>
        <w:ind w:left="288" w:right="146"/>
      </w:pPr>
      <w:r>
        <w:t>Delgado, Cronista Oficial de esta Villa, que nos ha facilitado la completa biografía de nuestra homenajeada, al que quiero mostrarle, co</w:t>
      </w:r>
      <w:r>
        <w:t>mo siempre, público agradecimiento en nombre de la corporación municipal. Concluye su informe D. Octavio diciendo “</w:t>
      </w:r>
      <w:r>
        <w:rPr>
          <w:i/>
        </w:rPr>
        <w:t>que tengo el honor de informar favorablemente, pues con ello se reconocería</w:t>
      </w:r>
      <w:r>
        <w:rPr>
          <w:i/>
          <w:color w:val="050505"/>
        </w:rPr>
        <w:t xml:space="preserve"> su ética y su eficacia profesional, así como su entrega, sus desv</w:t>
      </w:r>
      <w:r>
        <w:rPr>
          <w:i/>
          <w:color w:val="050505"/>
        </w:rPr>
        <w:t>elos, su amabilidad, su humanidad y la empatía que siempre mantuvo con sus pacientes</w:t>
      </w:r>
      <w:r>
        <w:rPr>
          <w:i/>
        </w:rPr>
        <w:t>”.</w:t>
      </w:r>
      <w:r>
        <w:t xml:space="preserve"> </w:t>
      </w:r>
      <w:r>
        <w:rPr>
          <w:rFonts w:ascii="Times New Roman" w:eastAsia="Times New Roman" w:hAnsi="Times New Roman" w:cs="Times New Roman"/>
          <w:sz w:val="24"/>
        </w:rPr>
        <w:t xml:space="preserve"> </w:t>
      </w:r>
      <w:r>
        <w:t xml:space="preserve">     Recordar que la Doctora Arias ha sido homenajeada en este Ayuntamiento, con motivo del Día de la Mujer en el año 2004, organizado por la Concejalía de Igualdad que</w:t>
      </w:r>
      <w:r>
        <w:t xml:space="preserve"> dirige la Compañera Olivia Concepción Pérez Díaz que la conoce muy bien al haber sido compañera suya durante muchos de esos treinta y cinco años que ha estado en el Centro de Salud de Candelaria. Además, el Centro de Iniciativas Turísticas Candelaria – Ca</w:t>
      </w:r>
      <w:r>
        <w:t xml:space="preserve">letillas en ese mismo año 2004 le entregó uno de sus premios Afables del Turismo correspondientes al año 2003.   </w:t>
      </w:r>
    </w:p>
    <w:p w:rsidR="00DA121A" w:rsidRDefault="00904DD6">
      <w:pPr>
        <w:ind w:left="288" w:right="146"/>
      </w:pPr>
      <w:r>
        <w:t xml:space="preserve">     Concluyo esta propuesta como lo hace en su minucioso informe, que le invito a leer la totalidad de sus páginas, el Cronista Oficial de Ca</w:t>
      </w:r>
      <w:r>
        <w:t>ndelaria, Dr. D. Octavio Rodríguez Delgado: “Por dicho motivo, la mayoría de los grupos políticos municipales han suscrito una propuesta en dicho sentido, con el fin de que se incoe dicho expediente, la que tengo el honor de informar favorablemente, pues c</w:t>
      </w:r>
      <w:r>
        <w:t>on ello se reconocería</w:t>
      </w:r>
      <w:r>
        <w:rPr>
          <w:color w:val="050505"/>
        </w:rPr>
        <w:t xml:space="preserve"> su ética y su eficacia profesional, así como su entrega, sus desvelos, su amabilidad, su humanidad y la empatía que siempre mantuvo con sus pacientes</w:t>
      </w:r>
      <w:r>
        <w:t>”.</w:t>
      </w:r>
      <w:r>
        <w:rPr>
          <w:rFonts w:ascii="Times New Roman" w:eastAsia="Times New Roman" w:hAnsi="Times New Roman" w:cs="Times New Roman"/>
          <w:sz w:val="24"/>
        </w:rPr>
        <w:t xml:space="preserve"> </w:t>
      </w:r>
    </w:p>
    <w:p w:rsidR="00DA121A" w:rsidRDefault="00904DD6">
      <w:pPr>
        <w:spacing w:after="446" w:line="259" w:lineRule="auto"/>
        <w:ind w:left="284" w:firstLine="0"/>
        <w:jc w:val="left"/>
      </w:pPr>
      <w:r>
        <w:t xml:space="preserve">  </w:t>
      </w:r>
    </w:p>
    <w:p w:rsidR="00DA121A" w:rsidRDefault="00904DD6">
      <w:pPr>
        <w:spacing w:after="0" w:line="259" w:lineRule="auto"/>
        <w:ind w:left="284" w:firstLine="0"/>
        <w:jc w:val="left"/>
      </w:pPr>
      <w:r>
        <w:rPr>
          <w:b/>
          <w:color w:val="2F3E4D"/>
        </w:rPr>
        <w:t xml:space="preserve"> </w:t>
      </w:r>
    </w:p>
    <w:p w:rsidR="00DA121A" w:rsidRDefault="00904DD6">
      <w:pPr>
        <w:spacing w:after="4"/>
        <w:ind w:left="279" w:right="144"/>
      </w:pPr>
      <w:r>
        <w:rPr>
          <w:b/>
        </w:rPr>
        <w:t>Consta en el expediente propuesta de la Alcaldesa-</w:t>
      </w:r>
      <w:r>
        <w:rPr>
          <w:b/>
        </w:rPr>
        <w:t xml:space="preserve">Presidenta, de fecha 21 de marzo de 2023, cuyo tenor literal es el siguiente: </w:t>
      </w:r>
    </w:p>
    <w:p w:rsidR="00DA121A" w:rsidRDefault="00904DD6">
      <w:pPr>
        <w:spacing w:after="0" w:line="259" w:lineRule="auto"/>
        <w:ind w:left="284" w:firstLine="0"/>
        <w:jc w:val="left"/>
      </w:pPr>
      <w:r>
        <w:rPr>
          <w:b/>
        </w:rPr>
        <w:t xml:space="preserve"> </w:t>
      </w:r>
    </w:p>
    <w:p w:rsidR="00DA121A" w:rsidRDefault="00904DD6">
      <w:pPr>
        <w:spacing w:after="28" w:line="259" w:lineRule="auto"/>
        <w:ind w:left="284" w:firstLine="0"/>
        <w:jc w:val="left"/>
      </w:pPr>
      <w:r>
        <w:rPr>
          <w:b/>
        </w:rPr>
        <w:t xml:space="preserve"> </w:t>
      </w:r>
    </w:p>
    <w:p w:rsidR="00DA121A" w:rsidRDefault="00904DD6">
      <w:pPr>
        <w:pStyle w:val="Ttulo2"/>
        <w:spacing w:after="449"/>
        <w:ind w:right="1091"/>
      </w:pPr>
      <w:r>
        <w:t>“PROPUESTA AL PLENO DE LA ALCALDESA PRESIDENTA</w:t>
      </w:r>
      <w:r>
        <w:rPr>
          <w:rFonts w:ascii="Times New Roman" w:eastAsia="Times New Roman" w:hAnsi="Times New Roman" w:cs="Times New Roman"/>
          <w:b w:val="0"/>
          <w:sz w:val="24"/>
        </w:rPr>
        <w:t xml:space="preserve"> </w:t>
      </w:r>
    </w:p>
    <w:p w:rsidR="00DA121A" w:rsidRDefault="00904DD6">
      <w:pPr>
        <w:spacing w:after="228"/>
        <w:ind w:left="385" w:right="146"/>
      </w:pPr>
      <w:r>
        <w:t xml:space="preserve">Vista Propuesta Razonada del Instructor del Expediente, del siguiente tenor literal. </w:t>
      </w:r>
    </w:p>
    <w:p w:rsidR="00DA121A" w:rsidRDefault="00904DD6">
      <w:pPr>
        <w:spacing w:after="201"/>
        <w:ind w:left="279" w:right="144"/>
      </w:pPr>
      <w:r>
        <w:rPr>
          <w:b/>
        </w:rPr>
        <w:t>1.- ANTECEDENTES:</w:t>
      </w:r>
      <w:r>
        <w:rPr>
          <w:rFonts w:ascii="Times New Roman" w:eastAsia="Times New Roman" w:hAnsi="Times New Roman" w:cs="Times New Roman"/>
          <w:sz w:val="24"/>
        </w:rPr>
        <w:t xml:space="preserve"> </w:t>
      </w:r>
    </w:p>
    <w:p w:rsidR="00DA121A" w:rsidRDefault="00904DD6">
      <w:pPr>
        <w:spacing w:after="112"/>
        <w:ind w:left="288" w:right="146"/>
      </w:pPr>
      <w:r>
        <w:t xml:space="preserve">Diecisiete miembros </w:t>
      </w:r>
      <w:r>
        <w:t xml:space="preserve">corporativos de los grupos Socialista, Popular y Mixto (representantes de Ciudadanos y Vecinos Por Candelaria) han suscrito una propuesta que se transcribe a continuación: </w:t>
      </w:r>
    </w:p>
    <w:p w:rsidR="00DA121A" w:rsidRDefault="00904DD6">
      <w:pPr>
        <w:spacing w:after="112"/>
        <w:ind w:left="278" w:right="368" w:firstLine="566"/>
      </w:pPr>
      <w:r>
        <w:t>En la jornada de ayer, que se conmemoraba el Día Internacional de la Mujer, por par</w:t>
      </w:r>
      <w:r>
        <w:t>te de la Concejala de Servicios Sociales, Igualdad y Sanidad, se comunicó a los presentes que era intención de la Alcaldesa de la Villa y del Grupo de Gobierno Municipal, la incoación del expediente oportuno para el reconocimiento a la Doctora María Dolore</w:t>
      </w:r>
      <w:r>
        <w:t xml:space="preserve">s Arias Rodríguez con el Título de Hija Adoptiva de la Villa de Candelaria, que fue refrendado por una sonora salva de aplausos de todas las personas presentes.  </w:t>
      </w:r>
    </w:p>
    <w:p w:rsidR="00DA121A" w:rsidRDefault="00904DD6">
      <w:pPr>
        <w:spacing w:after="111"/>
        <w:ind w:left="278" w:right="371" w:firstLine="566"/>
      </w:pPr>
      <w:r>
        <w:t>La Doctora Arias, Lolina para sus innumerables pacientes y amigos, se jubiló en el mes de mar</w:t>
      </w:r>
      <w:r>
        <w:t xml:space="preserve">zo de 2021, después de prestar sus servicios, como médica de atención primaria, en Candelaria durante treinta y cinco años, ganándose el cariño y el reconocimiento de los miles de pacientes que atendió. </w:t>
      </w:r>
    </w:p>
    <w:p w:rsidR="00DA121A" w:rsidRDefault="00904DD6">
      <w:pPr>
        <w:spacing w:after="98" w:line="248" w:lineRule="auto"/>
        <w:ind w:left="288" w:right="145"/>
      </w:pPr>
      <w:r>
        <w:rPr>
          <w:i/>
        </w:rPr>
        <w:t>(Se adjunta copia de un primer informe elaborado por</w:t>
      </w:r>
      <w:r>
        <w:rPr>
          <w:i/>
        </w:rPr>
        <w:t xml:space="preserve"> el Cronista Oficial para su incorporación al expediente)</w:t>
      </w:r>
      <w:r>
        <w:rPr>
          <w:rFonts w:ascii="Times New Roman" w:eastAsia="Times New Roman" w:hAnsi="Times New Roman" w:cs="Times New Roman"/>
          <w:sz w:val="24"/>
        </w:rPr>
        <w:t xml:space="preserve"> </w:t>
      </w:r>
    </w:p>
    <w:p w:rsidR="00DA121A" w:rsidRDefault="00904DD6">
      <w:pPr>
        <w:ind w:left="385" w:right="146"/>
      </w:pPr>
      <w:r>
        <w:t xml:space="preserve">Por todo lo expuesto, se propone al Ayuntamiento Pleno la adopción del siguiente  </w:t>
      </w:r>
    </w:p>
    <w:p w:rsidR="00DA121A" w:rsidRDefault="00904DD6">
      <w:pPr>
        <w:spacing w:after="214" w:line="259" w:lineRule="auto"/>
        <w:ind w:left="375" w:firstLine="0"/>
        <w:jc w:val="left"/>
      </w:pPr>
      <w:r>
        <w:t xml:space="preserve"> </w:t>
      </w:r>
    </w:p>
    <w:p w:rsidR="00DA121A" w:rsidRDefault="00904DD6">
      <w:pPr>
        <w:spacing w:after="188" w:line="262" w:lineRule="auto"/>
        <w:ind w:left="1228" w:right="1301"/>
        <w:jc w:val="center"/>
      </w:pPr>
      <w:r>
        <w:rPr>
          <w:b/>
        </w:rPr>
        <w:t>ACUERDO:</w:t>
      </w:r>
      <w:r>
        <w:rPr>
          <w:rFonts w:ascii="Times New Roman" w:eastAsia="Times New Roman" w:hAnsi="Times New Roman" w:cs="Times New Roman"/>
          <w:sz w:val="24"/>
        </w:rPr>
        <w:t xml:space="preserve"> </w:t>
      </w:r>
    </w:p>
    <w:p w:rsidR="00DA121A" w:rsidRDefault="00904DD6">
      <w:pPr>
        <w:ind w:left="278" w:right="146" w:firstLine="991"/>
      </w:pPr>
      <w:r>
        <w:rPr>
          <w:b/>
        </w:rPr>
        <w:t>1.-</w:t>
      </w:r>
      <w:r>
        <w:t xml:space="preserve"> Incoar expediente de nombramiento de HIJA ADOPTIVA del Municipio de la </w:t>
      </w:r>
      <w:r>
        <w:t>Villa de Candelaria a Dª. María Dolores Arias Rodríguez.</w:t>
      </w:r>
      <w:r>
        <w:rPr>
          <w:rFonts w:ascii="Times New Roman" w:eastAsia="Times New Roman" w:hAnsi="Times New Roman" w:cs="Times New Roman"/>
          <w:sz w:val="24"/>
        </w:rPr>
        <w:t xml:space="preserve"> </w:t>
      </w:r>
    </w:p>
    <w:p w:rsidR="00DA121A" w:rsidRDefault="00904DD6">
      <w:pPr>
        <w:spacing w:after="3" w:line="259" w:lineRule="auto"/>
        <w:ind w:left="568" w:right="421"/>
        <w:jc w:val="center"/>
      </w:pPr>
      <w:r>
        <w:rPr>
          <w:b/>
        </w:rPr>
        <w:t>2.-</w:t>
      </w:r>
      <w:r>
        <w:t xml:space="preserve"> Facultar ampliamente a la Alcaldía para la ejecución del presente acuerdo.</w:t>
      </w:r>
      <w:r>
        <w:rPr>
          <w:rFonts w:ascii="Times New Roman" w:eastAsia="Times New Roman" w:hAnsi="Times New Roman" w:cs="Times New Roman"/>
          <w:sz w:val="24"/>
        </w:rPr>
        <w:t xml:space="preserve"> </w:t>
      </w:r>
    </w:p>
    <w:p w:rsidR="00DA121A" w:rsidRDefault="00904DD6">
      <w:pPr>
        <w:spacing w:after="0" w:line="259" w:lineRule="auto"/>
        <w:ind w:left="1275" w:firstLine="0"/>
        <w:jc w:val="left"/>
      </w:pPr>
      <w:r>
        <w:t xml:space="preserve"> </w:t>
      </w:r>
    </w:p>
    <w:p w:rsidR="00DA121A" w:rsidRDefault="00904DD6">
      <w:pPr>
        <w:ind w:left="860" w:right="146"/>
      </w:pPr>
      <w:r>
        <w:t xml:space="preserve">No obstante, el Ayuntamiento Pleno acordará lo más procedente. </w:t>
      </w:r>
    </w:p>
    <w:p w:rsidR="00DA121A" w:rsidRDefault="00904DD6">
      <w:pPr>
        <w:spacing w:after="0" w:line="259" w:lineRule="auto"/>
        <w:ind w:left="850" w:firstLine="0"/>
        <w:jc w:val="left"/>
      </w:pPr>
      <w:r>
        <w:t xml:space="preserve"> </w:t>
      </w:r>
    </w:p>
    <w:p w:rsidR="00DA121A" w:rsidRDefault="00904DD6">
      <w:pPr>
        <w:ind w:left="1014" w:right="146"/>
      </w:pPr>
      <w:r>
        <w:t xml:space="preserve">En la Villa de Candelaria a 9 de marzo de 2023. </w:t>
      </w:r>
    </w:p>
    <w:p w:rsidR="00DA121A" w:rsidRDefault="00904DD6">
      <w:pPr>
        <w:spacing w:after="0" w:line="259" w:lineRule="auto"/>
        <w:ind w:left="1004" w:firstLine="0"/>
        <w:jc w:val="left"/>
      </w:pPr>
      <w:r>
        <w:t xml:space="preserve"> </w:t>
      </w:r>
    </w:p>
    <w:p w:rsidR="00DA121A" w:rsidRDefault="00904DD6">
      <w:pPr>
        <w:ind w:left="288" w:right="146"/>
      </w:pPr>
      <w:r>
        <w:t xml:space="preserve">     - Por decreto de la alcaldía nº 790/2023, de 20 de marzo, la Alcaldesa – Presidenta me designa instructor del preceptivo expediente, nombramiento que acepto con sumo gusto pues, para todo candelariero, es un honor resaltar la figura de una de las per</w:t>
      </w:r>
      <w:r>
        <w:t>sonas que merecen el mayor reconocimiento de esta villa, como es la Doctora Arias. En el mismo decreto se nombra como secretaria del presente expediente a la Técnico de Administración General de este Ayuntamiento Dª María del Pilar Chico Delgado a quien ex</w:t>
      </w:r>
      <w:r>
        <w:t xml:space="preserve">preso mi profundo agradecimiento por su valiosa colaboración en la instrucción de este expediente. </w:t>
      </w:r>
    </w:p>
    <w:p w:rsidR="00DA121A" w:rsidRDefault="00904DD6">
      <w:pPr>
        <w:spacing w:after="0" w:line="259" w:lineRule="auto"/>
        <w:ind w:left="269" w:firstLine="0"/>
        <w:jc w:val="left"/>
      </w:pPr>
      <w:r>
        <w:t xml:space="preserve"> </w:t>
      </w:r>
    </w:p>
    <w:p w:rsidR="00DA121A" w:rsidRDefault="00904DD6">
      <w:pPr>
        <w:spacing w:after="0" w:line="259" w:lineRule="auto"/>
        <w:ind w:left="269" w:firstLine="0"/>
        <w:jc w:val="left"/>
      </w:pPr>
      <w:r>
        <w:t xml:space="preserve"> </w:t>
      </w:r>
    </w:p>
    <w:p w:rsidR="00DA121A" w:rsidRDefault="00904DD6">
      <w:pPr>
        <w:spacing w:after="0" w:line="259" w:lineRule="auto"/>
        <w:ind w:left="269" w:firstLine="0"/>
        <w:jc w:val="left"/>
      </w:pPr>
      <w:r>
        <w:t xml:space="preserve"> </w:t>
      </w:r>
    </w:p>
    <w:p w:rsidR="00DA121A" w:rsidRDefault="00904DD6">
      <w:pPr>
        <w:spacing w:after="4"/>
        <w:ind w:left="279" w:right="144"/>
      </w:pPr>
      <w:r>
        <w:rPr>
          <w:b/>
        </w:rPr>
        <w:t xml:space="preserve">2.- NORMATIVA APLICABLE: </w:t>
      </w:r>
    </w:p>
    <w:p w:rsidR="00DA121A" w:rsidRDefault="00904DD6">
      <w:pPr>
        <w:spacing w:after="0" w:line="259" w:lineRule="auto"/>
        <w:ind w:left="269" w:firstLine="0"/>
        <w:jc w:val="left"/>
      </w:pPr>
      <w:r>
        <w:t xml:space="preserve"> </w:t>
      </w:r>
    </w:p>
    <w:p w:rsidR="00DA121A" w:rsidRDefault="00904DD6">
      <w:pPr>
        <w:spacing w:after="42"/>
        <w:ind w:left="288" w:right="146"/>
      </w:pPr>
      <w:r>
        <w:t xml:space="preserve">     </w:t>
      </w:r>
      <w:r>
        <w:t xml:space="preserve">La distinción honorífica de Hija Adoptiva de la Villa de Candelaria está regulada en el Reglamento de Honores, Distinciones y Ceremonial del Ilustre Ayuntamiento de la Siempre </w:t>
      </w:r>
    </w:p>
    <w:p w:rsidR="00DA121A" w:rsidRDefault="00904DD6">
      <w:pPr>
        <w:spacing w:after="11" w:line="248" w:lineRule="auto"/>
        <w:ind w:left="288" w:right="145"/>
      </w:pPr>
      <w:r>
        <w:t>Abnegada y Piadosa Villa de Candelaria, en cuyo artículo 21 se hace constar lit</w:t>
      </w:r>
      <w:r>
        <w:t>eralmente que “</w:t>
      </w:r>
      <w:r>
        <w:rPr>
          <w:i/>
        </w:rPr>
        <w:t>La concesión del Título de Hijo Predilecto o Hija Predilecta sólo podrá recaer en quienes, habiendo nacido en este municipio, hayan destacado de forma extraordinaria por sus cualidades o méritos personales, o por servicios prestados en benef</w:t>
      </w:r>
      <w:r>
        <w:rPr>
          <w:i/>
        </w:rPr>
        <w:t>icio u honor del municipio, y que hayan alcanzado consideración indiscutible en el concepto público. ”</w:t>
      </w:r>
      <w:r>
        <w:t xml:space="preserve">. Mientras que en el artículo 22 se indica: </w:t>
      </w:r>
      <w:r>
        <w:rPr>
          <w:i/>
        </w:rPr>
        <w:t>“La concesión del Título de Hijo Adoptivo</w:t>
      </w:r>
      <w:r>
        <w:rPr>
          <w:b/>
          <w:i/>
        </w:rPr>
        <w:t xml:space="preserve"> </w:t>
      </w:r>
      <w:r>
        <w:rPr>
          <w:i/>
        </w:rPr>
        <w:t>o Hija Adoptiva de la Villa de Candelaria, podrá otorgarse a las per</w:t>
      </w:r>
      <w:r>
        <w:rPr>
          <w:i/>
        </w:rPr>
        <w:t>sonas que, sin haber nacido en el lugar, reúnan las circunstancias señaladas en el artículo anterior”.</w:t>
      </w:r>
      <w:r>
        <w:rPr>
          <w:rFonts w:ascii="Times New Roman" w:eastAsia="Times New Roman" w:hAnsi="Times New Roman" w:cs="Times New Roman"/>
          <w:sz w:val="24"/>
        </w:rPr>
        <w:t xml:space="preserve"> </w:t>
      </w:r>
    </w:p>
    <w:p w:rsidR="00DA121A" w:rsidRDefault="00904DD6">
      <w:pPr>
        <w:ind w:left="288" w:right="146"/>
      </w:pPr>
      <w:r>
        <w:t xml:space="preserve">     A juicio de éste instructor se dan en la homenajeada todos los méritos requeridos en el citado reglamento, ya que durante su largo periodo en el Ce</w:t>
      </w:r>
      <w:r>
        <w:t xml:space="preserve">ntro de Salud de Candelaria es la mejor valorada de cuantos formaban el equipo del Servicio Canario de Salud en dicho centro, llegando a tener hasta dos mil quinientos pacientes asignados. </w:t>
      </w:r>
    </w:p>
    <w:p w:rsidR="00DA121A" w:rsidRDefault="00904DD6">
      <w:pPr>
        <w:spacing w:after="0" w:line="259" w:lineRule="auto"/>
        <w:ind w:left="269" w:firstLine="0"/>
        <w:jc w:val="left"/>
      </w:pPr>
      <w:r>
        <w:t xml:space="preserve"> </w:t>
      </w:r>
    </w:p>
    <w:p w:rsidR="00DA121A" w:rsidRDefault="00904DD6">
      <w:pPr>
        <w:spacing w:after="4"/>
        <w:ind w:left="279" w:right="144"/>
      </w:pPr>
      <w:r>
        <w:rPr>
          <w:b/>
        </w:rPr>
        <w:t>3.-</w:t>
      </w:r>
      <w:r>
        <w:t xml:space="preserve"> </w:t>
      </w:r>
      <w:r>
        <w:rPr>
          <w:b/>
        </w:rPr>
        <w:t>ACTUACIONES LLEVADAS A CABO EN LA INSTRUCCIÓN DEL EXPEDIENTE:</w:t>
      </w:r>
      <w:r>
        <w:t xml:space="preserve"> </w:t>
      </w:r>
      <w:r>
        <w:rPr>
          <w:rFonts w:ascii="Times New Roman" w:eastAsia="Times New Roman" w:hAnsi="Times New Roman" w:cs="Times New Roman"/>
          <w:sz w:val="24"/>
        </w:rPr>
        <w:t xml:space="preserve"> </w:t>
      </w:r>
    </w:p>
    <w:p w:rsidR="00DA121A" w:rsidRDefault="00904DD6">
      <w:pPr>
        <w:ind w:left="288" w:right="146"/>
      </w:pPr>
      <w:r>
        <w:t xml:space="preserve">     EL Artículo 25 del Reglamento de Honores, Distinciones y Ceremonial de la Villa de  </w:t>
      </w:r>
    </w:p>
    <w:p w:rsidR="00DA121A" w:rsidRDefault="00904DD6">
      <w:pPr>
        <w:spacing w:after="0" w:line="248" w:lineRule="auto"/>
        <w:ind w:left="288" w:right="145"/>
      </w:pPr>
      <w:r>
        <w:t xml:space="preserve">Candelaria preceptúa que </w:t>
      </w:r>
      <w:r>
        <w:rPr>
          <w:i/>
        </w:rPr>
        <w:t>“La concesión de los títulos de Hijo Predilecto o Hija Predilecta e Hijo Adop</w:t>
      </w:r>
      <w:r>
        <w:rPr>
          <w:i/>
        </w:rPr>
        <w:t>tivo o Hija Adoptiva se iniciará con una propuesta, firmada por la mayoría absoluta de los miembros de la Corporación Municipal y la designación por parte del Alcalde Presidente o Alcaldesa Presidenta, entre los miembros de la Corporación, de un instructor</w:t>
      </w:r>
      <w:r>
        <w:rPr>
          <w:i/>
        </w:rPr>
        <w:t xml:space="preserve"> o una instructora del expediente que, una vez concluido este, pasará a dictaminarse por la Comisión Informativa correspondiente, en el que deberán quedar debidamente acreditados los merecimientos que justifiquen estos honores. Una vez dictaminados por la </w:t>
      </w:r>
      <w:r>
        <w:rPr>
          <w:i/>
        </w:rPr>
        <w:t>Comisión Informativa, pasará al Pleno de la Corporación Municipal, que deberá aprobarlo con el voto favorable de la mayoría absoluta del número legal de miembros de la Corporación.”</w:t>
      </w:r>
      <w:r>
        <w:t xml:space="preserve"> </w:t>
      </w:r>
      <w:r>
        <w:rPr>
          <w:rFonts w:ascii="Times New Roman" w:eastAsia="Times New Roman" w:hAnsi="Times New Roman" w:cs="Times New Roman"/>
          <w:sz w:val="24"/>
        </w:rPr>
        <w:t xml:space="preserve"> </w:t>
      </w:r>
    </w:p>
    <w:p w:rsidR="00DA121A" w:rsidRDefault="00904DD6">
      <w:pPr>
        <w:ind w:left="288" w:right="146"/>
      </w:pPr>
      <w:r>
        <w:t xml:space="preserve">      Esta tarea ha resultado fácil para este instructor y para la secre</w:t>
      </w:r>
      <w:r>
        <w:t xml:space="preserve">taria del mismo ya que para ambos nos son sumamente conocidos los méritos que en ella concurren, como persona comprometida con su profesión y sus pacientes. </w:t>
      </w:r>
    </w:p>
    <w:p w:rsidR="00DA121A" w:rsidRDefault="00904DD6">
      <w:pPr>
        <w:ind w:left="288" w:right="146"/>
      </w:pPr>
      <w:r>
        <w:t xml:space="preserve">     Por parte de este instructor se han realizado contactos con sus compañeros y compañeras, así </w:t>
      </w:r>
      <w:r>
        <w:t>como con muchos de sus pacientes con el fin de dar conocimiento del homenaje que se pretende conceder a esta persona, habiéndose recibido la adhesión del Doctor D. Octavio Rodríguez Delgado, Cronista Oficial de esta Villa, que nos ha facilitado la completa</w:t>
      </w:r>
      <w:r>
        <w:t xml:space="preserve"> biografía de nuestra homenajeada, al que quiero mostrarle, como siempre, público agradecimiento en nombre de la corporación municipal. Concluye su informe D. Octavio diciendo “</w:t>
      </w:r>
      <w:r>
        <w:rPr>
          <w:i/>
        </w:rPr>
        <w:t>que tengo el honor de informar favorablemente, pues con ello se reconocería</w:t>
      </w:r>
      <w:r>
        <w:rPr>
          <w:i/>
          <w:color w:val="050505"/>
        </w:rPr>
        <w:t xml:space="preserve"> su </w:t>
      </w:r>
      <w:r>
        <w:rPr>
          <w:i/>
          <w:color w:val="050505"/>
        </w:rPr>
        <w:t>ética y su eficacia profesional, así como su entrega, sus desvelos, su amabilidad, su humanidad y la empatía que siempre mantuvo con sus pacientes</w:t>
      </w:r>
      <w:r>
        <w:rPr>
          <w:i/>
        </w:rPr>
        <w:t>”.</w:t>
      </w:r>
      <w:r>
        <w:t xml:space="preserve"> </w:t>
      </w:r>
      <w:r>
        <w:rPr>
          <w:rFonts w:ascii="Times New Roman" w:eastAsia="Times New Roman" w:hAnsi="Times New Roman" w:cs="Times New Roman"/>
          <w:sz w:val="24"/>
        </w:rPr>
        <w:t xml:space="preserve"> </w:t>
      </w:r>
      <w:r>
        <w:t xml:space="preserve">     Recordar que la Doctora Arias ha sido homenajeada en este Ayuntamiento, con motivo del Día de la Muje</w:t>
      </w:r>
      <w:r>
        <w:t>r en el año 2004, organizado por la Concejalía de Igualdad que dirige la Compañera Olivia Concepción Pérez Díaz que la conoce muy bien al haber sido compañera suya durante muchos de esos treinta y cinco años que ha estado en el Centro de Salud de Candelari</w:t>
      </w:r>
      <w:r>
        <w:t xml:space="preserve">a. Además, el Centro de Iniciativas Turísticas Candelaria – Caletillas en ese mismo año 2004 le entregó uno de sus premios Afables del Turismo correspondientes al año 2003.   </w:t>
      </w:r>
    </w:p>
    <w:p w:rsidR="00DA121A" w:rsidRDefault="00904DD6">
      <w:pPr>
        <w:spacing w:after="4"/>
        <w:ind w:left="269" w:right="144" w:firstLine="708"/>
      </w:pPr>
      <w:r>
        <w:t>Concluyo esta propuesta como lo hace en su minucioso informe, que le invito a le</w:t>
      </w:r>
      <w:r>
        <w:t>er la totalidad de sus páginas, el Cronista Oficial de Candelaria, Dr. D. Octavio Rodríguez Delgado:</w:t>
      </w:r>
      <w:r>
        <w:rPr>
          <w:b/>
        </w:rPr>
        <w:t xml:space="preserve"> “Por dicho motivo, la mayoría de los grupos políticos municipales han suscrito una propuesta en dicho sentido, con el fin de que se incoe dicho expediente,</w:t>
      </w:r>
      <w:r>
        <w:rPr>
          <w:b/>
        </w:rPr>
        <w:t xml:space="preserve"> la que tengo el honor de informar favorablemente, pues con ello se reconocería</w:t>
      </w:r>
      <w:r>
        <w:rPr>
          <w:b/>
          <w:color w:val="050505"/>
        </w:rPr>
        <w:t xml:space="preserve"> su ética y su eficacia profesional, así como su entrega, sus desvelos, su amabilidad, su humanidad y la empatía que siempre mantuvo con sus pacientes</w:t>
      </w:r>
      <w:r>
        <w:rPr>
          <w:b/>
        </w:rPr>
        <w:t>”.</w:t>
      </w:r>
      <w:r>
        <w:rPr>
          <w:rFonts w:ascii="Times New Roman" w:eastAsia="Times New Roman" w:hAnsi="Times New Roman" w:cs="Times New Roman"/>
          <w:sz w:val="24"/>
        </w:rPr>
        <w:t xml:space="preserve"> </w:t>
      </w:r>
    </w:p>
    <w:p w:rsidR="00DA121A" w:rsidRDefault="00904DD6">
      <w:pPr>
        <w:spacing w:after="0" w:line="259" w:lineRule="auto"/>
        <w:ind w:left="977" w:firstLine="0"/>
        <w:jc w:val="left"/>
      </w:pPr>
      <w:r>
        <w:t xml:space="preserve"> </w:t>
      </w:r>
    </w:p>
    <w:p w:rsidR="00DA121A" w:rsidRDefault="00904DD6">
      <w:pPr>
        <w:ind w:left="278" w:right="146" w:firstLine="566"/>
      </w:pPr>
      <w:r>
        <w:t xml:space="preserve">Por todo lo expuesto desde esta alcaldía, se propone al Ayuntamiento Pleno la adopción del siguiente acuerdo: </w:t>
      </w:r>
    </w:p>
    <w:p w:rsidR="00DA121A" w:rsidRDefault="00904DD6">
      <w:pPr>
        <w:spacing w:after="0" w:line="259" w:lineRule="auto"/>
        <w:ind w:left="836" w:firstLine="0"/>
        <w:jc w:val="left"/>
      </w:pPr>
      <w:r>
        <w:t xml:space="preserve"> </w:t>
      </w:r>
    </w:p>
    <w:p w:rsidR="00DA121A" w:rsidRDefault="00904DD6">
      <w:pPr>
        <w:ind w:left="278" w:right="146" w:firstLine="991"/>
      </w:pPr>
      <w:r>
        <w:rPr>
          <w:b/>
        </w:rPr>
        <w:t>1.-</w:t>
      </w:r>
      <w:r>
        <w:t xml:space="preserve"> Nombrar HIJA ADOPTIVA del Municipio de la Villa de Candelaria a Dª. María Dolores Arias Rodríguez, “Lolina”.</w:t>
      </w:r>
      <w:r>
        <w:rPr>
          <w:rFonts w:ascii="Times New Roman" w:eastAsia="Times New Roman" w:hAnsi="Times New Roman" w:cs="Times New Roman"/>
          <w:sz w:val="24"/>
        </w:rPr>
        <w:t xml:space="preserve"> </w:t>
      </w:r>
    </w:p>
    <w:p w:rsidR="00DA121A" w:rsidRDefault="00904DD6">
      <w:pPr>
        <w:spacing w:after="3" w:line="259" w:lineRule="auto"/>
        <w:ind w:left="568" w:right="346"/>
        <w:jc w:val="center"/>
      </w:pPr>
      <w:r>
        <w:rPr>
          <w:b/>
        </w:rPr>
        <w:t>2.-</w:t>
      </w:r>
      <w:r>
        <w:t xml:space="preserve"> Facultar ampliamente a la</w:t>
      </w:r>
      <w:r>
        <w:t xml:space="preserve"> Alcaldía para la ejecución del presente acuerdo.”</w:t>
      </w:r>
      <w:r>
        <w:rPr>
          <w:rFonts w:ascii="Times New Roman" w:eastAsia="Times New Roman" w:hAnsi="Times New Roman" w:cs="Times New Roman"/>
          <w:sz w:val="24"/>
        </w:rPr>
        <w:t xml:space="preserve"> </w:t>
      </w:r>
    </w:p>
    <w:p w:rsidR="00DA121A" w:rsidRDefault="00904DD6">
      <w:pPr>
        <w:spacing w:after="0" w:line="259" w:lineRule="auto"/>
        <w:ind w:left="1275" w:firstLine="0"/>
        <w:jc w:val="left"/>
      </w:pPr>
      <w:r>
        <w:t xml:space="preserve"> </w:t>
      </w:r>
    </w:p>
    <w:p w:rsidR="00DA121A" w:rsidRDefault="00904DD6">
      <w:pPr>
        <w:spacing w:after="0" w:line="259" w:lineRule="auto"/>
        <w:ind w:left="1275" w:firstLine="0"/>
        <w:jc w:val="left"/>
      </w:pPr>
      <w:r>
        <w:t xml:space="preserve"> </w:t>
      </w:r>
    </w:p>
    <w:p w:rsidR="00DA121A" w:rsidRDefault="00904DD6">
      <w:pPr>
        <w:spacing w:after="631"/>
        <w:ind w:left="860" w:right="146"/>
      </w:pPr>
      <w:r>
        <w:t>No obstante, el Ayuntamiento Pleno acordará lo más procedente.</w:t>
      </w:r>
      <w:r>
        <w:rPr>
          <w:rFonts w:ascii="Times New Roman" w:eastAsia="Times New Roman" w:hAnsi="Times New Roman" w:cs="Times New Roman"/>
          <w:sz w:val="24"/>
        </w:rPr>
        <w:t xml:space="preserve"> </w:t>
      </w:r>
    </w:p>
    <w:p w:rsidR="00DA121A" w:rsidRDefault="00904DD6">
      <w:pPr>
        <w:spacing w:after="4"/>
        <w:ind w:left="279" w:right="144"/>
      </w:pPr>
      <w:r>
        <w:rPr>
          <w:b/>
        </w:rPr>
        <w:t xml:space="preserve">DICTAMEN FAVORABLE DE LA COMISIÓN INFORMATIVA DE HACIENDA, RECURSOS HUMANOS Y SERVICIOS GENERALES DE 27 DE MARZO DE 2023. </w:t>
      </w:r>
    </w:p>
    <w:p w:rsidR="00DA121A" w:rsidRDefault="00904DD6">
      <w:pPr>
        <w:spacing w:after="0" w:line="259" w:lineRule="auto"/>
        <w:ind w:left="284" w:firstLine="0"/>
        <w:jc w:val="left"/>
      </w:pPr>
      <w:r>
        <w:rPr>
          <w:b/>
        </w:rPr>
        <w:t xml:space="preserve"> </w:t>
      </w:r>
    </w:p>
    <w:p w:rsidR="00DA121A" w:rsidRDefault="00904DD6">
      <w:pPr>
        <w:ind w:left="288" w:right="146"/>
      </w:pPr>
      <w:r>
        <w:t>Los 7 integ</w:t>
      </w:r>
      <w:r>
        <w:t xml:space="preserve">rantes de la Comisión Informativa votaron favorablemente. </w:t>
      </w:r>
    </w:p>
    <w:p w:rsidR="00DA121A" w:rsidRDefault="00904DD6">
      <w:pPr>
        <w:spacing w:after="0" w:line="259" w:lineRule="auto"/>
        <w:ind w:left="284" w:firstLine="0"/>
        <w:jc w:val="left"/>
      </w:pPr>
      <w:r>
        <w:t xml:space="preserve"> </w:t>
      </w:r>
    </w:p>
    <w:p w:rsidR="00DA121A" w:rsidRDefault="00904DD6">
      <w:pPr>
        <w:ind w:left="288" w:right="146"/>
      </w:pPr>
      <w:r>
        <w:t xml:space="preserve">Los 4 concejales del Grupo Socialista:  Don José Francisco Pinto Ramos, Don Airam Pérez Chinea, Don Olegario Francisco Alonso Bello, Doña Hilaria Cecilia Otazo González. </w:t>
      </w:r>
    </w:p>
    <w:p w:rsidR="00DA121A" w:rsidRDefault="00904DD6">
      <w:pPr>
        <w:spacing w:after="0" w:line="259" w:lineRule="auto"/>
        <w:ind w:left="284" w:firstLine="0"/>
        <w:jc w:val="left"/>
      </w:pPr>
      <w:r>
        <w:t xml:space="preserve"> </w:t>
      </w:r>
    </w:p>
    <w:p w:rsidR="00DA121A" w:rsidRDefault="00904DD6">
      <w:pPr>
        <w:ind w:left="288" w:right="146"/>
      </w:pPr>
      <w:r>
        <w:t xml:space="preserve">El concejal del Grupo </w:t>
      </w:r>
      <w:r>
        <w:t xml:space="preserve">Popular, Don Jacobo López Fariña. </w:t>
      </w:r>
    </w:p>
    <w:p w:rsidR="00DA121A" w:rsidRDefault="00904DD6">
      <w:pPr>
        <w:spacing w:after="0" w:line="259" w:lineRule="auto"/>
        <w:ind w:left="284" w:firstLine="0"/>
        <w:jc w:val="left"/>
      </w:pPr>
      <w:r>
        <w:t xml:space="preserve"> </w:t>
      </w:r>
    </w:p>
    <w:p w:rsidR="00DA121A" w:rsidRDefault="00904DD6">
      <w:pPr>
        <w:ind w:left="288" w:right="146"/>
      </w:pPr>
      <w:r>
        <w:t>La concejal del Grupo Mixto (SSP), Doña Lourdes del Carmen Mondejar Rondón.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La concejal del Grupo Mixto (CC-PNC): Doña Ángela Cruz Perera.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JUNTA DE PORTAVOCES DE 27 DE MARZO DE 2023.  </w:t>
      </w:r>
    </w:p>
    <w:p w:rsidR="00DA121A" w:rsidRDefault="00904DD6">
      <w:pPr>
        <w:ind w:left="288" w:right="146"/>
      </w:pPr>
      <w:r>
        <w:t xml:space="preserve">Quedó oída.  </w:t>
      </w:r>
    </w:p>
    <w:p w:rsidR="00DA121A" w:rsidRDefault="00904DD6">
      <w:pPr>
        <w:spacing w:after="0" w:line="259" w:lineRule="auto"/>
        <w:ind w:left="284" w:firstLine="0"/>
        <w:jc w:val="left"/>
      </w:pPr>
      <w:r>
        <w:rPr>
          <w:b/>
        </w:rPr>
        <w:t xml:space="preserve"> </w:t>
      </w:r>
    </w:p>
    <w:p w:rsidR="00DA121A" w:rsidRDefault="00904DD6">
      <w:pPr>
        <w:spacing w:after="4"/>
        <w:ind w:left="1712" w:right="144"/>
      </w:pPr>
      <w:r>
        <w:rPr>
          <w:b/>
        </w:rPr>
        <w:t xml:space="preserve">VOTACIÓN EN EL PLENO DE 30 DE MARZO DE 2023. </w:t>
      </w:r>
    </w:p>
    <w:p w:rsidR="00DA121A" w:rsidRDefault="00904DD6">
      <w:pPr>
        <w:spacing w:after="0" w:line="259" w:lineRule="auto"/>
        <w:ind w:left="284" w:firstLine="0"/>
        <w:jc w:val="left"/>
      </w:pPr>
      <w:r>
        <w:rPr>
          <w:b/>
        </w:rPr>
        <w:t xml:space="preserve"> </w:t>
      </w:r>
    </w:p>
    <w:p w:rsidR="00DA121A" w:rsidRDefault="00904DD6">
      <w:pPr>
        <w:tabs>
          <w:tab w:val="center" w:pos="284"/>
          <w:tab w:val="center" w:pos="4471"/>
        </w:tabs>
        <w:ind w:left="0" w:firstLine="0"/>
        <w:jc w:val="left"/>
      </w:pPr>
      <w:r>
        <w:rPr>
          <w:rFonts w:ascii="Calibri" w:eastAsia="Calibri" w:hAnsi="Calibri" w:cs="Calibri"/>
        </w:rPr>
        <w:tab/>
      </w:r>
      <w:r>
        <w:t xml:space="preserve"> </w:t>
      </w:r>
      <w:r>
        <w:tab/>
        <w:t xml:space="preserve">La unanimidad de los 18 concejales presentes votaron favorablemente. </w:t>
      </w:r>
    </w:p>
    <w:p w:rsidR="00DA121A" w:rsidRDefault="00904DD6">
      <w:pPr>
        <w:spacing w:after="0" w:line="259" w:lineRule="auto"/>
        <w:ind w:left="284" w:firstLine="0"/>
        <w:jc w:val="left"/>
      </w:pPr>
      <w:r>
        <w:t xml:space="preserve"> </w:t>
      </w:r>
    </w:p>
    <w:p w:rsidR="00DA121A" w:rsidRDefault="00904DD6">
      <w:pPr>
        <w:ind w:left="288" w:right="146"/>
      </w:pPr>
      <w:r>
        <w:t xml:space="preserve">Votos a favor: 18. </w:t>
      </w:r>
    </w:p>
    <w:p w:rsidR="00DA121A" w:rsidRDefault="00904DD6">
      <w:pPr>
        <w:ind w:left="288" w:right="146"/>
      </w:pPr>
      <w:r>
        <w:t xml:space="preserve">11 concejales del Grupo Socialista: Doña María Concepción Brito Núñez, Doña Don Jorge Baute Delgado, Doña Olivia </w:t>
      </w:r>
      <w:r>
        <w:t xml:space="preserve">Concepción Pérez Díaz, Don José Francisco Pinto Ramos, Doña Hilaria Cecilia Otazo González, Don Airam Pérez Chinea, Doña Margarita Eva Tendero Barroso, Don Manuel Alberto González Pestano, Doña María del Carmen Clemente Díaz, Don Olegario Francisco Alonso </w:t>
      </w:r>
      <w:r>
        <w:t xml:space="preserve">Bello y Don Reinaldo José Triviño Blanco.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3 concejales del Grupo Popular: Don Jacobo López Fariña, Doña Raquel Martín Castro y Don David Crego Cháves. </w:t>
      </w:r>
      <w:r>
        <w:rPr>
          <w:rFonts w:ascii="Times New Roman" w:eastAsia="Times New Roman" w:hAnsi="Times New Roman" w:cs="Times New Roman"/>
          <w:sz w:val="24"/>
        </w:rPr>
        <w:t xml:space="preserve"> </w:t>
      </w:r>
    </w:p>
    <w:p w:rsidR="00DA121A" w:rsidRDefault="00904DD6">
      <w:pPr>
        <w:spacing w:after="98" w:line="259" w:lineRule="auto"/>
        <w:ind w:left="284" w:firstLine="0"/>
        <w:jc w:val="left"/>
      </w:pPr>
      <w:r>
        <w:t xml:space="preserve"> </w:t>
      </w:r>
    </w:p>
    <w:p w:rsidR="00DA121A" w:rsidRDefault="00904DD6">
      <w:pPr>
        <w:spacing w:after="114"/>
        <w:ind w:left="288" w:right="146"/>
      </w:pPr>
      <w:r>
        <w:t>2 de los concejales del Grupo Mixto (CC-</w:t>
      </w:r>
      <w:r>
        <w:t xml:space="preserve">PNC): Doña Ángela Cruz Perera y Don Emilio Jesús Atienzar Armas.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(Cs), Doña Marta Plasencia Gutiérrez.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(VxC): Doña Alicia Mercedes Marrero Meneses.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w:t>
      </w:r>
      <w:r>
        <w:rPr>
          <w:b/>
        </w:rPr>
        <w:t xml:space="preserve">      ACUERDO DEL PLENO DE 30 DE MARZO DE 2023. </w:t>
      </w:r>
    </w:p>
    <w:p w:rsidR="00DA121A" w:rsidRDefault="00904DD6">
      <w:pPr>
        <w:spacing w:after="0" w:line="259" w:lineRule="auto"/>
        <w:ind w:left="284" w:firstLine="0"/>
        <w:jc w:val="left"/>
      </w:pPr>
      <w:r>
        <w:rPr>
          <w:b/>
        </w:rPr>
        <w:t xml:space="preserve"> </w:t>
      </w:r>
    </w:p>
    <w:p w:rsidR="00DA121A" w:rsidRDefault="00904DD6">
      <w:pPr>
        <w:spacing w:after="4"/>
        <w:ind w:left="269" w:right="144" w:firstLine="991"/>
      </w:pPr>
      <w:r>
        <w:rPr>
          <w:b/>
        </w:rPr>
        <w:t>1.- Nombrar HIJA ADOPTIVA del Municipio de la Villa de Candelaria a Dª. María Dolores Arias Rodríguez, “Lolina”.</w:t>
      </w:r>
      <w:r>
        <w:rPr>
          <w:rFonts w:ascii="Times New Roman" w:eastAsia="Times New Roman" w:hAnsi="Times New Roman" w:cs="Times New Roman"/>
          <w:sz w:val="24"/>
        </w:rPr>
        <w:t xml:space="preserve"> </w:t>
      </w:r>
    </w:p>
    <w:p w:rsidR="00DA121A" w:rsidRDefault="00904DD6">
      <w:pPr>
        <w:spacing w:after="0" w:line="259" w:lineRule="auto"/>
        <w:ind w:left="1260" w:firstLine="0"/>
        <w:jc w:val="left"/>
      </w:pPr>
      <w:r>
        <w:rPr>
          <w:b/>
        </w:rPr>
        <w:t xml:space="preserve"> </w:t>
      </w:r>
    </w:p>
    <w:p w:rsidR="00DA121A" w:rsidRDefault="00904DD6">
      <w:pPr>
        <w:spacing w:after="4"/>
        <w:ind w:left="1270" w:right="144"/>
      </w:pPr>
      <w:r>
        <w:rPr>
          <w:b/>
        </w:rPr>
        <w:t>2.- Facultar ampliamente a la Alcaldía para la ejecución del presente acuerdo.</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90" w:line="250" w:lineRule="auto"/>
        <w:ind w:left="279" w:right="149"/>
      </w:pPr>
      <w:r>
        <w:rPr>
          <w:b/>
          <w:sz w:val="24"/>
        </w:rPr>
        <w:t>7.- Expediente 4304/2022. Propuesta de la Alcaldesa-</w:t>
      </w:r>
      <w:r>
        <w:rPr>
          <w:b/>
          <w:sz w:val="24"/>
        </w:rPr>
        <w:t xml:space="preserve">Presidenta de 22 de marzo de 2023 al Pleno de solicitud al Gobierno de Canarias del procedimiento de evaluación ambiental estratégica de modificaciones menores al Plan General de Ordenación de Candelaria. </w:t>
      </w:r>
      <w:r>
        <w:t xml:space="preserve"> </w:t>
      </w:r>
    </w:p>
    <w:p w:rsidR="00DA121A" w:rsidRDefault="00904DD6">
      <w:pPr>
        <w:spacing w:after="98" w:line="259" w:lineRule="auto"/>
        <w:ind w:left="284" w:firstLine="0"/>
        <w:jc w:val="left"/>
      </w:pPr>
      <w:r>
        <w:rPr>
          <w:b/>
        </w:rPr>
        <w:t xml:space="preserve"> </w:t>
      </w:r>
    </w:p>
    <w:p w:rsidR="00DA121A" w:rsidRDefault="00904DD6">
      <w:pPr>
        <w:spacing w:after="114"/>
        <w:ind w:left="279" w:right="144"/>
      </w:pPr>
      <w:r>
        <w:rPr>
          <w:b/>
        </w:rPr>
        <w:t>Consta en el expediente Informe Técnico emitido por Doña Nayra Guzmán Hernández, Arquitecta Municipal, de 22 de marzo de 2023, del siguiente tenor literal:</w:t>
      </w:r>
      <w:r>
        <w:t xml:space="preserve"> </w:t>
      </w:r>
    </w:p>
    <w:p w:rsidR="00DA121A" w:rsidRDefault="00904DD6">
      <w:pPr>
        <w:spacing w:after="138" w:line="259" w:lineRule="auto"/>
        <w:ind w:left="284" w:firstLine="0"/>
        <w:jc w:val="left"/>
      </w:pPr>
      <w:r>
        <w:rPr>
          <w:b/>
        </w:rPr>
        <w:t xml:space="preserve"> </w:t>
      </w:r>
    </w:p>
    <w:p w:rsidR="00DA121A" w:rsidRDefault="00904DD6">
      <w:pPr>
        <w:spacing w:after="109"/>
        <w:ind w:left="288" w:right="146"/>
      </w:pPr>
      <w:r>
        <w:t xml:space="preserve">     “Visto el expediente antedicho, Nayra Guzmán Hernández, arquitecta municipal, emite el sigui</w:t>
      </w:r>
      <w:r>
        <w:t xml:space="preserve">ente informe: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ANTECEDENTES </w:t>
      </w:r>
    </w:p>
    <w:p w:rsidR="00DA121A" w:rsidRDefault="00904DD6">
      <w:pPr>
        <w:spacing w:after="0" w:line="259" w:lineRule="auto"/>
        <w:ind w:left="284" w:firstLine="0"/>
        <w:jc w:val="left"/>
      </w:pPr>
      <w:r>
        <w:t xml:space="preserve"> </w:t>
      </w:r>
    </w:p>
    <w:p w:rsidR="00DA121A" w:rsidRDefault="00904DD6">
      <w:pPr>
        <w:ind w:left="288" w:right="146"/>
      </w:pPr>
      <w:r>
        <w:t>La presente Modificación Menor tiene por objeto plantear el análisis, valoración y propuesta de ordenación de diez ámbitos discontinuos localizados en el término municipal de Candelaria, provenientes, tanto de errores mater</w:t>
      </w:r>
      <w:r>
        <w:t xml:space="preserve">iales gráficos y de texto que contiene el Plan General Vigente, como de alteraciones, cuya modificación suponen mejora de dotaciones y estructura, como beneficio del interés general del municipio.  </w:t>
      </w:r>
    </w:p>
    <w:p w:rsidR="00DA121A" w:rsidRDefault="00904DD6">
      <w:pPr>
        <w:spacing w:after="0" w:line="259" w:lineRule="auto"/>
        <w:ind w:left="284" w:firstLine="0"/>
        <w:jc w:val="left"/>
      </w:pPr>
      <w:r>
        <w:t xml:space="preserve"> </w:t>
      </w:r>
    </w:p>
    <w:p w:rsidR="00DA121A" w:rsidRDefault="00904DD6">
      <w:pPr>
        <w:ind w:left="288" w:right="146"/>
      </w:pPr>
      <w:r>
        <w:t xml:space="preserve">Los ámbitos de modificación se localizan en diferentes </w:t>
      </w:r>
      <w:r>
        <w:t xml:space="preserve">áreas urbanas del término municipal, los cuales se detallan a continuación: </w:t>
      </w:r>
    </w:p>
    <w:p w:rsidR="00DA121A" w:rsidRDefault="00904DD6">
      <w:pPr>
        <w:spacing w:after="0" w:line="259" w:lineRule="auto"/>
        <w:ind w:left="344" w:firstLine="0"/>
        <w:jc w:val="left"/>
      </w:pPr>
      <w:r>
        <w:rPr>
          <w:rFonts w:ascii="Times New Roman" w:eastAsia="Times New Roman" w:hAnsi="Times New Roman" w:cs="Times New Roman"/>
          <w:sz w:val="24"/>
        </w:rPr>
        <w:t xml:space="preserve"> </w:t>
      </w:r>
    </w:p>
    <w:p w:rsidR="00DA121A" w:rsidRDefault="00904DD6">
      <w:pPr>
        <w:spacing w:after="0" w:line="259" w:lineRule="auto"/>
        <w:ind w:left="0" w:right="1231" w:firstLine="0"/>
        <w:jc w:val="right"/>
      </w:pPr>
      <w:r>
        <w:rPr>
          <w:noProof/>
        </w:rPr>
        <w:drawing>
          <wp:inline distT="0" distB="0" distL="0" distR="0">
            <wp:extent cx="5309565" cy="2924667"/>
            <wp:effectExtent l="0" t="0" r="0" b="0"/>
            <wp:docPr id="28462" name="Picture 28462"/>
            <wp:cNvGraphicFramePr/>
            <a:graphic xmlns:a="http://schemas.openxmlformats.org/drawingml/2006/main">
              <a:graphicData uri="http://schemas.openxmlformats.org/drawingml/2006/picture">
                <pic:pic xmlns:pic="http://schemas.openxmlformats.org/drawingml/2006/picture">
                  <pic:nvPicPr>
                    <pic:cNvPr id="28462" name="Picture 28462"/>
                    <pic:cNvPicPr/>
                  </pic:nvPicPr>
                  <pic:blipFill>
                    <a:blip r:embed="rId41"/>
                    <a:stretch>
                      <a:fillRect/>
                    </a:stretch>
                  </pic:blipFill>
                  <pic:spPr>
                    <a:xfrm>
                      <a:off x="0" y="0"/>
                      <a:ext cx="5309565" cy="2924667"/>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0" w:line="259" w:lineRule="auto"/>
        <w:ind w:left="344" w:firstLine="0"/>
        <w:jc w:val="left"/>
      </w:pPr>
      <w:r>
        <w:rPr>
          <w:rFonts w:ascii="Times New Roman" w:eastAsia="Times New Roman" w:hAnsi="Times New Roman" w:cs="Times New Roman"/>
          <w:sz w:val="24"/>
        </w:rPr>
        <w:t xml:space="preserve"> </w:t>
      </w:r>
    </w:p>
    <w:p w:rsidR="00DA121A" w:rsidRDefault="00904DD6">
      <w:pPr>
        <w:spacing w:after="0" w:line="259" w:lineRule="auto"/>
        <w:ind w:left="394" w:firstLine="0"/>
        <w:jc w:val="left"/>
      </w:pPr>
      <w:r>
        <w:rPr>
          <w:rFonts w:ascii="Times New Roman" w:eastAsia="Times New Roman" w:hAnsi="Times New Roman" w:cs="Times New Roman"/>
          <w:sz w:val="24"/>
        </w:rPr>
        <w:t xml:space="preserve"> </w:t>
      </w:r>
    </w:p>
    <w:p w:rsidR="00DA121A" w:rsidRDefault="00904DD6">
      <w:pPr>
        <w:spacing w:after="0" w:line="259" w:lineRule="auto"/>
        <w:ind w:left="394" w:firstLine="0"/>
        <w:jc w:val="left"/>
      </w:pPr>
      <w:r>
        <w:rPr>
          <w:rFonts w:ascii="Times New Roman" w:eastAsia="Times New Roman" w:hAnsi="Times New Roman" w:cs="Times New Roman"/>
          <w:sz w:val="24"/>
        </w:rPr>
        <w:t xml:space="preserve"> </w:t>
      </w:r>
    </w:p>
    <w:p w:rsidR="00DA121A" w:rsidRDefault="00904DD6">
      <w:pPr>
        <w:spacing w:after="0" w:line="259" w:lineRule="auto"/>
        <w:ind w:left="394" w:firstLine="0"/>
        <w:jc w:val="left"/>
      </w:pPr>
      <w:r>
        <w:rPr>
          <w:rFonts w:ascii="Times New Roman" w:eastAsia="Times New Roman" w:hAnsi="Times New Roman" w:cs="Times New Roman"/>
          <w:sz w:val="24"/>
        </w:rPr>
        <w:t xml:space="preserve"> </w:t>
      </w:r>
    </w:p>
    <w:p w:rsidR="00DA121A" w:rsidRDefault="00904DD6">
      <w:pPr>
        <w:spacing w:after="0" w:line="259" w:lineRule="auto"/>
        <w:ind w:left="394" w:firstLine="0"/>
        <w:jc w:val="left"/>
      </w:pPr>
      <w:r>
        <w:rPr>
          <w:rFonts w:ascii="Times New Roman" w:eastAsia="Times New Roman" w:hAnsi="Times New Roman" w:cs="Times New Roman"/>
          <w:sz w:val="24"/>
        </w:rPr>
        <w:t xml:space="preserve"> </w:t>
      </w:r>
    </w:p>
    <w:p w:rsidR="00DA121A" w:rsidRDefault="00904DD6">
      <w:pPr>
        <w:spacing w:after="4"/>
        <w:ind w:left="279" w:right="144"/>
      </w:pPr>
      <w:r>
        <w:rPr>
          <w:b/>
        </w:rPr>
        <w:t xml:space="preserve">INFORME  </w:t>
      </w:r>
    </w:p>
    <w:p w:rsidR="00DA121A" w:rsidRDefault="00904DD6">
      <w:pPr>
        <w:spacing w:after="16" w:line="259" w:lineRule="auto"/>
        <w:ind w:left="284" w:firstLine="0"/>
        <w:jc w:val="left"/>
      </w:pPr>
      <w:r>
        <w:t xml:space="preserve"> </w:t>
      </w:r>
    </w:p>
    <w:p w:rsidR="00DA121A" w:rsidRDefault="00904DD6">
      <w:pPr>
        <w:ind w:left="288" w:right="146"/>
      </w:pPr>
      <w:r>
        <w:t>Se toma conocimiento de la documentación presentada con fecha 20 de marzo de 2023 y registro de entrada 2023-E-RE-</w:t>
      </w:r>
      <w:r>
        <w:t xml:space="preserve">1970, relativa al Borrador del Plan para la </w:t>
      </w:r>
      <w:r>
        <w:rPr>
          <w:b/>
        </w:rPr>
        <w:t>Modificación Menor de iniciativa pública del Plan General de Ordenación de Candelaria en distintos Ámbitos del Municipio,</w:t>
      </w:r>
      <w:r>
        <w:t xml:space="preserve"> redactada por el equipo JRC Arquitectos SLP, Don Jorge Rodríguez Cruz, arquitecto y la doc</w:t>
      </w:r>
      <w:r>
        <w:t>umentación presentada con fecha 22 de marzo de 2023 y registro de entrada 2023-E-RE-2109, relativa a la documentación ambiental</w:t>
      </w:r>
      <w:r>
        <w:rPr>
          <w:color w:val="FF0000"/>
        </w:rPr>
        <w:t xml:space="preserve"> </w:t>
      </w:r>
      <w:r>
        <w:t>para el inicio del Procedimiento de Evaluación Ambiental Estratégica Simplificada.</w:t>
      </w:r>
      <w:r>
        <w:rPr>
          <w:rFonts w:ascii="Times New Roman" w:eastAsia="Times New Roman" w:hAnsi="Times New Roman" w:cs="Times New Roman"/>
          <w:sz w:val="24"/>
        </w:rPr>
        <w:t xml:space="preserve"> </w:t>
      </w:r>
    </w:p>
    <w:p w:rsidR="00DA121A" w:rsidRDefault="00904DD6">
      <w:pPr>
        <w:spacing w:after="16" w:line="259" w:lineRule="auto"/>
        <w:ind w:left="284" w:firstLine="0"/>
        <w:jc w:val="left"/>
      </w:pPr>
      <w:r>
        <w:t xml:space="preserve"> </w:t>
      </w:r>
    </w:p>
    <w:p w:rsidR="00DA121A" w:rsidRDefault="00904DD6">
      <w:pPr>
        <w:ind w:left="288" w:right="146"/>
      </w:pPr>
      <w:r>
        <w:t>La documentación relativa a la Modificació</w:t>
      </w:r>
      <w:r>
        <w:t>n Menor de Planeamiento, consta de los siguientes documentos:</w:t>
      </w:r>
      <w:r>
        <w:rPr>
          <w:rFonts w:ascii="Times New Roman" w:eastAsia="Times New Roman" w:hAnsi="Times New Roman" w:cs="Times New Roman"/>
          <w:sz w:val="24"/>
        </w:rPr>
        <w:t xml:space="preserve"> </w:t>
      </w:r>
    </w:p>
    <w:p w:rsidR="00DA121A" w:rsidRDefault="00904DD6">
      <w:pPr>
        <w:spacing w:after="17" w:line="259" w:lineRule="auto"/>
        <w:ind w:left="284" w:firstLine="0"/>
        <w:jc w:val="left"/>
      </w:pPr>
      <w:r>
        <w:t xml:space="preserve"> </w:t>
      </w:r>
    </w:p>
    <w:p w:rsidR="00DA121A" w:rsidRDefault="00904DD6">
      <w:pPr>
        <w:numPr>
          <w:ilvl w:val="0"/>
          <w:numId w:val="33"/>
        </w:numPr>
        <w:spacing w:line="295" w:lineRule="auto"/>
        <w:ind w:right="146" w:hanging="360"/>
      </w:pPr>
      <w:r>
        <w:t xml:space="preserve">Borrador del Plan para la Modificación Menor del Plan General de Ordenación de Candelaria en distintos ámbitos del municipio </w:t>
      </w:r>
    </w:p>
    <w:p w:rsidR="00DA121A" w:rsidRDefault="00904DD6">
      <w:pPr>
        <w:numPr>
          <w:ilvl w:val="0"/>
          <w:numId w:val="33"/>
        </w:numPr>
        <w:spacing w:after="60"/>
        <w:ind w:right="146" w:hanging="360"/>
      </w:pPr>
      <w:r>
        <w:t xml:space="preserve">Estudio Ambiental Estratégico” </w:t>
      </w:r>
    </w:p>
    <w:p w:rsidR="00DA121A" w:rsidRDefault="00904DD6">
      <w:pPr>
        <w:spacing w:after="19" w:line="259" w:lineRule="auto"/>
        <w:ind w:left="1004" w:firstLine="0"/>
        <w:jc w:val="left"/>
      </w:pPr>
      <w:r>
        <w:rPr>
          <w:rFonts w:ascii="Times New Roman" w:eastAsia="Times New Roman" w:hAnsi="Times New Roman" w:cs="Times New Roman"/>
          <w:sz w:val="24"/>
        </w:rPr>
        <w:t xml:space="preserve"> </w:t>
      </w:r>
    </w:p>
    <w:p w:rsidR="00DA121A" w:rsidRDefault="00904DD6">
      <w:pPr>
        <w:spacing w:after="194"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114"/>
        <w:ind w:left="279" w:right="144"/>
      </w:pPr>
      <w:r>
        <w:rPr>
          <w:b/>
        </w:rPr>
        <w:t xml:space="preserve">Consta en el expediente informe jurídico emitido por Doña Olga Fernández MéndezBencomo, que desempeña el puesto de trabajo de Técnica Jurista, de 22 de marzo de 2023, debidamente conformado por D. Octavio Manuel Fernández Hernández, Secretario General, de </w:t>
      </w:r>
      <w:r>
        <w:rPr>
          <w:b/>
        </w:rPr>
        <w:t>fecha 22 de marzo de 2023, del siguiente tenor literal:</w:t>
      </w:r>
      <w:r>
        <w:t xml:space="preserve"> </w:t>
      </w:r>
    </w:p>
    <w:p w:rsidR="00DA121A" w:rsidRDefault="00904DD6">
      <w:pPr>
        <w:spacing w:after="135" w:line="259" w:lineRule="auto"/>
        <w:ind w:left="284" w:firstLine="0"/>
        <w:jc w:val="left"/>
      </w:pPr>
      <w:r>
        <w:rPr>
          <w:b/>
        </w:rPr>
        <w:t xml:space="preserve"> </w:t>
      </w:r>
    </w:p>
    <w:p w:rsidR="00DA121A" w:rsidRDefault="00904DD6">
      <w:pPr>
        <w:spacing w:after="213" w:line="262" w:lineRule="auto"/>
        <w:ind w:left="1228" w:right="1266"/>
        <w:jc w:val="center"/>
      </w:pPr>
      <w:r>
        <w:rPr>
          <w:b/>
        </w:rPr>
        <w:t xml:space="preserve"> “INFORME JURÍDICO </w:t>
      </w:r>
    </w:p>
    <w:p w:rsidR="00DA121A" w:rsidRDefault="00904DD6">
      <w:pPr>
        <w:spacing w:after="224"/>
        <w:ind w:left="279" w:right="144"/>
      </w:pPr>
      <w:r>
        <w:rPr>
          <w:b/>
        </w:rPr>
        <w:t xml:space="preserve">Visto el expediente antedicho, se emite el siguiente informe: </w:t>
      </w:r>
    </w:p>
    <w:p w:rsidR="00DA121A" w:rsidRDefault="00904DD6">
      <w:pPr>
        <w:spacing w:after="0" w:line="259" w:lineRule="auto"/>
        <w:ind w:left="284" w:firstLine="0"/>
        <w:jc w:val="left"/>
      </w:pPr>
      <w:r>
        <w:rPr>
          <w:b/>
        </w:rPr>
        <w:t xml:space="preserve"> </w:t>
      </w:r>
    </w:p>
    <w:p w:rsidR="00DA121A" w:rsidRDefault="00904DD6">
      <w:pPr>
        <w:pStyle w:val="Ttulo2"/>
        <w:ind w:right="1090"/>
      </w:pPr>
      <w:r>
        <w:t xml:space="preserve">Antecedentes de hecho </w:t>
      </w:r>
    </w:p>
    <w:p w:rsidR="00DA121A" w:rsidRDefault="00904DD6">
      <w:pPr>
        <w:spacing w:after="0" w:line="259" w:lineRule="auto"/>
        <w:ind w:left="284" w:firstLine="0"/>
        <w:jc w:val="left"/>
      </w:pPr>
      <w:r>
        <w:t xml:space="preserve"> </w:t>
      </w:r>
    </w:p>
    <w:p w:rsidR="00DA121A" w:rsidRDefault="00904DD6">
      <w:pPr>
        <w:ind w:left="288" w:right="146"/>
      </w:pPr>
      <w:r>
        <w:t xml:space="preserve">Primero. - Consta en el expediente informe técnico emitido por la Arquitecta Municipal </w:t>
      </w:r>
      <w:r>
        <w:t xml:space="preserve">de fecha 22/03/2023 que transcrito literalmente dice: “Visto el expediente antedicho, Nayra Guzmán Hernández, arquitecta municipal, emite el siguiente informe: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ANTECEDENTES </w:t>
      </w:r>
    </w:p>
    <w:p w:rsidR="00DA121A" w:rsidRDefault="00904DD6">
      <w:pPr>
        <w:spacing w:after="0" w:line="259" w:lineRule="auto"/>
        <w:ind w:left="284" w:firstLine="0"/>
        <w:jc w:val="left"/>
      </w:pPr>
      <w:r>
        <w:t xml:space="preserve"> </w:t>
      </w:r>
    </w:p>
    <w:p w:rsidR="00DA121A" w:rsidRDefault="00904DD6">
      <w:pPr>
        <w:ind w:left="288" w:right="146"/>
      </w:pPr>
      <w:r>
        <w:t>La presente Modificación Menor tiene por objeto plantear el análisis, valoración y propuesta de ordenación de diez ámbitos discontinuos localizados en el término municipal de Candelaria, provenientes, tanto de errores materiales gráficos y de texto que con</w:t>
      </w:r>
      <w:r>
        <w:t xml:space="preserve">tiene el Plan General Vigente, como de alteraciones, cuya modificación suponen mejora de dotaciones y estructura, como beneficio del interés general del municipio.  </w:t>
      </w:r>
    </w:p>
    <w:p w:rsidR="00DA121A" w:rsidRDefault="00904DD6">
      <w:pPr>
        <w:spacing w:after="0" w:line="259" w:lineRule="auto"/>
        <w:ind w:left="284" w:firstLine="0"/>
        <w:jc w:val="left"/>
      </w:pPr>
      <w:r>
        <w:t xml:space="preserve"> </w:t>
      </w:r>
    </w:p>
    <w:p w:rsidR="00DA121A" w:rsidRDefault="00904DD6">
      <w:pPr>
        <w:ind w:left="288" w:right="146"/>
      </w:pPr>
      <w:r>
        <w:t>Los ámbitos de modificación se localizan en diferentes áreas urbanas del término municip</w:t>
      </w:r>
      <w:r>
        <w:t xml:space="preserve">al, los cuales se detallan a continuación: </w:t>
      </w:r>
    </w:p>
    <w:p w:rsidR="00DA121A" w:rsidRDefault="00904DD6">
      <w:pPr>
        <w:spacing w:after="0" w:line="259" w:lineRule="auto"/>
        <w:ind w:left="344" w:firstLine="0"/>
        <w:jc w:val="left"/>
      </w:pPr>
      <w:r>
        <w:t xml:space="preserve"> </w:t>
      </w:r>
    </w:p>
    <w:p w:rsidR="00DA121A" w:rsidRDefault="00904DD6">
      <w:pPr>
        <w:spacing w:after="0" w:line="259" w:lineRule="auto"/>
        <w:ind w:left="0" w:right="1231" w:firstLine="0"/>
        <w:jc w:val="right"/>
      </w:pPr>
      <w:r>
        <w:rPr>
          <w:noProof/>
        </w:rPr>
        <w:drawing>
          <wp:inline distT="0" distB="0" distL="0" distR="0">
            <wp:extent cx="5309565" cy="2926222"/>
            <wp:effectExtent l="0" t="0" r="0" b="0"/>
            <wp:docPr id="28697" name="Picture 28697"/>
            <wp:cNvGraphicFramePr/>
            <a:graphic xmlns:a="http://schemas.openxmlformats.org/drawingml/2006/main">
              <a:graphicData uri="http://schemas.openxmlformats.org/drawingml/2006/picture">
                <pic:pic xmlns:pic="http://schemas.openxmlformats.org/drawingml/2006/picture">
                  <pic:nvPicPr>
                    <pic:cNvPr id="28697" name="Picture 28697"/>
                    <pic:cNvPicPr/>
                  </pic:nvPicPr>
                  <pic:blipFill>
                    <a:blip r:embed="rId41"/>
                    <a:stretch>
                      <a:fillRect/>
                    </a:stretch>
                  </pic:blipFill>
                  <pic:spPr>
                    <a:xfrm>
                      <a:off x="0" y="0"/>
                      <a:ext cx="5309565" cy="2926222"/>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0" w:line="244" w:lineRule="auto"/>
        <w:ind w:left="344" w:right="7403"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DA121A" w:rsidRDefault="00904DD6">
      <w:pPr>
        <w:spacing w:after="0" w:line="259" w:lineRule="auto"/>
        <w:ind w:left="394" w:firstLine="0"/>
        <w:jc w:val="left"/>
      </w:pPr>
      <w:r>
        <w:rPr>
          <w:rFonts w:ascii="Times New Roman" w:eastAsia="Times New Roman" w:hAnsi="Times New Roman" w:cs="Times New Roman"/>
          <w:sz w:val="24"/>
        </w:rPr>
        <w:t xml:space="preserve"> </w:t>
      </w:r>
    </w:p>
    <w:p w:rsidR="00DA121A" w:rsidRDefault="00904DD6">
      <w:pPr>
        <w:spacing w:after="0" w:line="259" w:lineRule="auto"/>
        <w:ind w:left="394" w:firstLine="0"/>
        <w:jc w:val="left"/>
      </w:pPr>
      <w:r>
        <w:rPr>
          <w:rFonts w:ascii="Times New Roman" w:eastAsia="Times New Roman" w:hAnsi="Times New Roman" w:cs="Times New Roman"/>
          <w:sz w:val="24"/>
        </w:rPr>
        <w:t xml:space="preserve"> </w:t>
      </w:r>
    </w:p>
    <w:p w:rsidR="00DA121A" w:rsidRDefault="00904DD6">
      <w:pPr>
        <w:spacing w:after="0" w:line="249" w:lineRule="auto"/>
        <w:ind w:left="279"/>
        <w:jc w:val="left"/>
      </w:pPr>
      <w:r>
        <w:rPr>
          <w:rFonts w:ascii="Times New Roman" w:eastAsia="Times New Roman" w:hAnsi="Times New Roman" w:cs="Times New Roman"/>
          <w:b/>
          <w:sz w:val="24"/>
        </w:rPr>
        <w:t xml:space="preserve">INFORME  </w:t>
      </w:r>
    </w:p>
    <w:p w:rsidR="00DA121A" w:rsidRDefault="00904DD6">
      <w:pPr>
        <w:spacing w:after="2" w:line="259" w:lineRule="auto"/>
        <w:ind w:left="284" w:firstLine="0"/>
        <w:jc w:val="left"/>
      </w:pPr>
      <w:r>
        <w:rPr>
          <w:rFonts w:ascii="Times New Roman" w:eastAsia="Times New Roman" w:hAnsi="Times New Roman" w:cs="Times New Roman"/>
          <w:sz w:val="24"/>
        </w:rPr>
        <w:t xml:space="preserve"> </w:t>
      </w:r>
    </w:p>
    <w:p w:rsidR="00DA121A" w:rsidRDefault="00904DD6">
      <w:pPr>
        <w:ind w:left="288" w:right="146"/>
      </w:pPr>
      <w:r>
        <w:t xml:space="preserve">Se toma conocimiento de la documentación presentada con fecha 20 de marzo de 2023 y registro de entrada 2023-E-RE-1970, relativa al Borrador del Plan para la </w:t>
      </w:r>
      <w:r>
        <w:rPr>
          <w:b/>
        </w:rPr>
        <w:t>Modificación Menor de iniciativa pública del Plan General de Ordenación de Candelaria en distintos Ámbitos del Municipio,</w:t>
      </w:r>
      <w:r>
        <w:t xml:space="preserve"> redactada por el equipo JRC Arquitectos SLP, Don Jorge Rodríguez Cruz, arquitecto y la documentación presentada con fecha 22 de marzo </w:t>
      </w:r>
      <w:r>
        <w:t>de 2023 y registro de entrada 2023-E-RE-2109, relativa a la documentación ambiental</w:t>
      </w:r>
      <w:r>
        <w:rPr>
          <w:color w:val="FF0000"/>
        </w:rPr>
        <w:t xml:space="preserve"> </w:t>
      </w:r>
      <w:r>
        <w:t>para el inicio del Procedimiento de Evaluación Ambiental Estratégica Simplificada.</w:t>
      </w:r>
      <w:r>
        <w:rPr>
          <w:rFonts w:ascii="Times New Roman" w:eastAsia="Times New Roman" w:hAnsi="Times New Roman" w:cs="Times New Roman"/>
          <w:sz w:val="24"/>
        </w:rPr>
        <w:t xml:space="preserve"> </w:t>
      </w:r>
    </w:p>
    <w:p w:rsidR="00DA121A" w:rsidRDefault="00904DD6">
      <w:pPr>
        <w:spacing w:after="19" w:line="259" w:lineRule="auto"/>
        <w:ind w:left="284" w:firstLine="0"/>
        <w:jc w:val="left"/>
      </w:pPr>
      <w:r>
        <w:t xml:space="preserve"> </w:t>
      </w:r>
    </w:p>
    <w:p w:rsidR="00DA121A" w:rsidRDefault="00904DD6">
      <w:pPr>
        <w:ind w:left="288" w:right="146"/>
      </w:pPr>
      <w:r>
        <w:t>La documentación relativa a la Modificación Menor de Planeamiento, consta de los sigui</w:t>
      </w:r>
      <w:r>
        <w:t>entes documentos:</w:t>
      </w:r>
      <w:r>
        <w:rPr>
          <w:rFonts w:ascii="Times New Roman" w:eastAsia="Times New Roman" w:hAnsi="Times New Roman" w:cs="Times New Roman"/>
          <w:sz w:val="24"/>
        </w:rPr>
        <w:t xml:space="preserve"> </w:t>
      </w:r>
    </w:p>
    <w:p w:rsidR="00DA121A" w:rsidRDefault="00904DD6">
      <w:pPr>
        <w:spacing w:after="17" w:line="259" w:lineRule="auto"/>
        <w:ind w:left="284" w:firstLine="0"/>
        <w:jc w:val="left"/>
      </w:pPr>
      <w:r>
        <w:t xml:space="preserve"> </w:t>
      </w:r>
    </w:p>
    <w:p w:rsidR="00DA121A" w:rsidRDefault="00904DD6">
      <w:pPr>
        <w:numPr>
          <w:ilvl w:val="0"/>
          <w:numId w:val="34"/>
        </w:numPr>
        <w:spacing w:after="42"/>
        <w:ind w:right="146" w:hanging="360"/>
      </w:pPr>
      <w:r>
        <w:t xml:space="preserve">Borrador del Plan para la Modificación Menor del Plan General de Ordenación de Candelaria en distintos ámbitos del municipio </w:t>
      </w:r>
    </w:p>
    <w:p w:rsidR="00DA121A" w:rsidRDefault="00904DD6">
      <w:pPr>
        <w:numPr>
          <w:ilvl w:val="0"/>
          <w:numId w:val="34"/>
        </w:numPr>
        <w:spacing w:after="46"/>
        <w:ind w:right="146" w:hanging="360"/>
      </w:pPr>
      <w:r>
        <w:t xml:space="preserve">Estudio Ambiental Estratégico </w:t>
      </w:r>
    </w:p>
    <w:p w:rsidR="00DA121A" w:rsidRDefault="00904DD6">
      <w:pPr>
        <w:spacing w:after="17" w:line="259" w:lineRule="auto"/>
        <w:ind w:left="284" w:firstLine="0"/>
        <w:jc w:val="left"/>
      </w:pPr>
      <w:r>
        <w:t xml:space="preserve"> </w:t>
      </w:r>
    </w:p>
    <w:p w:rsidR="00DA121A" w:rsidRDefault="00904DD6">
      <w:pPr>
        <w:spacing w:after="16" w:line="259" w:lineRule="auto"/>
        <w:ind w:left="284" w:firstLine="0"/>
        <w:jc w:val="left"/>
      </w:pPr>
      <w:r>
        <w:t xml:space="preserve"> </w:t>
      </w:r>
    </w:p>
    <w:p w:rsidR="00DA121A" w:rsidRDefault="00904DD6">
      <w:pPr>
        <w:spacing w:after="33" w:line="259" w:lineRule="auto"/>
        <w:ind w:left="284" w:firstLine="0"/>
        <w:jc w:val="left"/>
      </w:pPr>
      <w: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pStyle w:val="Ttulo2"/>
        <w:spacing w:after="98"/>
        <w:ind w:right="1174"/>
      </w:pPr>
      <w:r>
        <w:t xml:space="preserve">Fundamentos de derecho </w:t>
      </w:r>
      <w:r>
        <w:rPr>
          <w:b w:val="0"/>
        </w:rPr>
        <w:t xml:space="preserve"> </w:t>
      </w:r>
    </w:p>
    <w:p w:rsidR="00DA121A" w:rsidRDefault="00904DD6">
      <w:pPr>
        <w:spacing w:after="4"/>
        <w:ind w:left="1426" w:right="144"/>
      </w:pPr>
      <w:r>
        <w:rPr>
          <w:b/>
        </w:rPr>
        <w:t xml:space="preserve">Primero. - </w:t>
      </w:r>
      <w:r>
        <w:rPr>
          <w:b/>
        </w:rPr>
        <w:t xml:space="preserve">El procedimiento de evaluación ambiental estratégica de las </w:t>
      </w:r>
    </w:p>
    <w:p w:rsidR="00DA121A" w:rsidRDefault="00904DD6">
      <w:pPr>
        <w:spacing w:after="116"/>
        <w:ind w:left="279" w:right="144"/>
      </w:pPr>
      <w:r>
        <w:rPr>
          <w:b/>
        </w:rPr>
        <w:t xml:space="preserve">modificaciones del plan general se regula en el artículo 86 de la Ley del Suelo y de los Espacios Naturales Protegidos de Canarias (LSENPC): </w:t>
      </w:r>
    </w:p>
    <w:p w:rsidR="00DA121A" w:rsidRDefault="00904DD6">
      <w:pPr>
        <w:tabs>
          <w:tab w:val="center" w:pos="284"/>
          <w:tab w:val="center" w:pos="3224"/>
        </w:tabs>
        <w:spacing w:after="116" w:line="248" w:lineRule="auto"/>
        <w:ind w:left="0" w:firstLine="0"/>
        <w:jc w:val="left"/>
      </w:pPr>
      <w:r>
        <w:rPr>
          <w:rFonts w:ascii="Calibri" w:eastAsia="Calibri" w:hAnsi="Calibri" w:cs="Calibri"/>
        </w:rPr>
        <w:tab/>
      </w:r>
      <w:r>
        <w:rPr>
          <w:i/>
        </w:rPr>
        <w:t xml:space="preserve">  </w:t>
      </w:r>
      <w:r>
        <w:rPr>
          <w:i/>
        </w:rPr>
        <w:tab/>
        <w:t xml:space="preserve">Artículo 86. Evaluación ambiental estratégica.  </w:t>
      </w:r>
    </w:p>
    <w:p w:rsidR="00DA121A" w:rsidRDefault="00904DD6">
      <w:pPr>
        <w:numPr>
          <w:ilvl w:val="0"/>
          <w:numId w:val="35"/>
        </w:numPr>
        <w:spacing w:after="11" w:line="248" w:lineRule="auto"/>
        <w:ind w:left="1744" w:right="145" w:hanging="328"/>
      </w:pPr>
      <w:r>
        <w:rPr>
          <w:i/>
        </w:rPr>
        <w:t xml:space="preserve">La aprobación, modificación sustancial y adaptación de los instrumentos de </w:t>
      </w:r>
    </w:p>
    <w:p w:rsidR="00DA121A" w:rsidRDefault="00904DD6">
      <w:pPr>
        <w:spacing w:after="111" w:line="248" w:lineRule="auto"/>
        <w:ind w:left="288" w:right="145"/>
      </w:pPr>
      <w:r>
        <w:rPr>
          <w:i/>
        </w:rPr>
        <w:t>ordenación territorial, ambiental y urbanística se someterán al procedimiento de evaluación ambiental de planes y programas, en los términos contemplados en la legislación básica e</w:t>
      </w:r>
      <w:r>
        <w:rPr>
          <w:i/>
        </w:rPr>
        <w:t xml:space="preserve">statal y en la presente ley.  </w:t>
      </w:r>
    </w:p>
    <w:p w:rsidR="00DA121A" w:rsidRDefault="00904DD6">
      <w:pPr>
        <w:numPr>
          <w:ilvl w:val="0"/>
          <w:numId w:val="35"/>
        </w:numPr>
        <w:spacing w:after="11" w:line="248" w:lineRule="auto"/>
        <w:ind w:left="1744" w:right="145" w:hanging="328"/>
      </w:pPr>
      <w:r>
        <w:rPr>
          <w:i/>
        </w:rPr>
        <w:t xml:space="preserve">En el marco de la legislación básica del Estado, serán objeto de evaluación ambiental </w:t>
      </w:r>
    </w:p>
    <w:p w:rsidR="00DA121A" w:rsidRDefault="00904DD6">
      <w:pPr>
        <w:spacing w:after="111" w:line="248" w:lineRule="auto"/>
        <w:ind w:left="288" w:right="145"/>
      </w:pPr>
      <w:r>
        <w:rPr>
          <w:i/>
        </w:rPr>
        <w:t xml:space="preserve">estratégica simplificada:  </w:t>
      </w:r>
    </w:p>
    <w:p w:rsidR="00DA121A" w:rsidRDefault="00904DD6">
      <w:pPr>
        <w:numPr>
          <w:ilvl w:val="0"/>
          <w:numId w:val="36"/>
        </w:numPr>
        <w:spacing w:after="114" w:line="248" w:lineRule="auto"/>
        <w:ind w:right="145" w:hanging="259"/>
      </w:pPr>
      <w:r>
        <w:rPr>
          <w:i/>
        </w:rPr>
        <w:t xml:space="preserve">Los instrumentos de ordenación que establezcan el uso, a nivel municipal, de zonas de reducida extensión.  </w:t>
      </w:r>
    </w:p>
    <w:p w:rsidR="00DA121A" w:rsidRDefault="00904DD6">
      <w:pPr>
        <w:numPr>
          <w:ilvl w:val="0"/>
          <w:numId w:val="36"/>
        </w:numPr>
        <w:spacing w:after="108" w:line="248" w:lineRule="auto"/>
        <w:ind w:right="145" w:hanging="259"/>
      </w:pPr>
      <w:r>
        <w:rPr>
          <w:i/>
        </w:rPr>
        <w:t xml:space="preserve">Las modificaciones menores de los instrumentos de ordenación. </w:t>
      </w:r>
    </w:p>
    <w:p w:rsidR="00DA121A" w:rsidRDefault="00904DD6">
      <w:pPr>
        <w:numPr>
          <w:ilvl w:val="0"/>
          <w:numId w:val="36"/>
        </w:numPr>
        <w:spacing w:after="108" w:line="248" w:lineRule="auto"/>
        <w:ind w:right="145" w:hanging="259"/>
      </w:pPr>
      <w:r>
        <w:rPr>
          <w:i/>
        </w:rPr>
        <w:t xml:space="preserve">Los proyectos de interés insular o autonómico que contengan ordenación.  </w:t>
      </w:r>
    </w:p>
    <w:p w:rsidR="00DA121A" w:rsidRDefault="00904DD6">
      <w:pPr>
        <w:numPr>
          <w:ilvl w:val="0"/>
          <w:numId w:val="36"/>
        </w:numPr>
        <w:spacing w:after="111" w:line="248" w:lineRule="auto"/>
        <w:ind w:right="145" w:hanging="259"/>
      </w:pPr>
      <w:r>
        <w:rPr>
          <w:i/>
        </w:rPr>
        <w:t xml:space="preserve">La ordenación pormenorizada de un plan general.  </w:t>
      </w:r>
    </w:p>
    <w:p w:rsidR="00DA121A" w:rsidRDefault="00904DD6">
      <w:pPr>
        <w:numPr>
          <w:ilvl w:val="0"/>
          <w:numId w:val="36"/>
        </w:numPr>
        <w:spacing w:after="114" w:line="248" w:lineRule="auto"/>
        <w:ind w:right="145" w:hanging="259"/>
      </w:pPr>
      <w:r>
        <w:rPr>
          <w:i/>
        </w:rPr>
        <w:t xml:space="preserve">Los planes parciales y especiales que desarrollen planes generales que hayan sido sometidos a evaluación ambiental estratégica.  </w:t>
      </w:r>
    </w:p>
    <w:p w:rsidR="00DA121A" w:rsidRDefault="00904DD6">
      <w:pPr>
        <w:spacing w:after="114" w:line="248" w:lineRule="auto"/>
        <w:ind w:left="288" w:right="145"/>
      </w:pPr>
      <w:r>
        <w:rPr>
          <w:i/>
        </w:rPr>
        <w:t>No obstante, cuando el plan parcial o el plan especial no se ajusten, en todo o en parte, a las determinaciones ambientales de</w:t>
      </w:r>
      <w:r>
        <w:rPr>
          <w:i/>
        </w:rPr>
        <w:t xml:space="preserve">l plan general deberán someterse a evaluación ambiental estratégica ordinaria en la parte que no cumplan con las mismas.  </w:t>
      </w:r>
    </w:p>
    <w:p w:rsidR="00DA121A" w:rsidRDefault="00904DD6">
      <w:pPr>
        <w:numPr>
          <w:ilvl w:val="1"/>
          <w:numId w:val="36"/>
        </w:numPr>
        <w:spacing w:after="11" w:line="248" w:lineRule="auto"/>
        <w:ind w:left="1095" w:right="145" w:hanging="257"/>
      </w:pPr>
      <w:r>
        <w:rPr>
          <w:i/>
        </w:rPr>
        <w:t xml:space="preserve">En los casos en que los planes se estructurasen en distintos ámbitos jerárquicos de </w:t>
      </w:r>
    </w:p>
    <w:p w:rsidR="00DA121A" w:rsidRDefault="00904DD6">
      <w:pPr>
        <w:spacing w:after="111" w:line="248" w:lineRule="auto"/>
        <w:ind w:left="288" w:right="145"/>
      </w:pPr>
      <w:r>
        <w:rPr>
          <w:i/>
        </w:rPr>
        <w:t>decisión de una misma administración pública can</w:t>
      </w:r>
      <w:r>
        <w:rPr>
          <w:i/>
        </w:rPr>
        <w:t>aria, cuando sea preciso llevar a cabo la evaluación ambiental de cada uno de ellos, esta deberá realizarse teniendo en cuenta el contenido y el grado de especificación del plan, la fase del proceso de decisión en que se encuentre y la medida en que la eva</w:t>
      </w:r>
      <w:r>
        <w:rPr>
          <w:i/>
        </w:rPr>
        <w:t>luación de determinados aspectos pueda ser más adecuada en fases distintas de dicho proceso, con objeto de evitar la duplicidad de evaluaciones. A estos efectos, el correspondiente estudio ambiental estratégico del plan deberá elaborarse a partir de la eva</w:t>
      </w:r>
      <w:r>
        <w:rPr>
          <w:i/>
        </w:rPr>
        <w:t>luación ya realizada y de las decisiones tomadas en la evaluación del instrumento superior, sin perjuicio además de la utilización de la información pertinente disponible, que, estando actualizada y siendo completa en lo relativo a los efectos medioambient</w:t>
      </w:r>
      <w:r>
        <w:rPr>
          <w:i/>
        </w:rPr>
        <w:t xml:space="preserve">ales del nuevo plan o programa, se hubiera aprobado en otras fases del proceso de decisión.  </w:t>
      </w:r>
    </w:p>
    <w:p w:rsidR="00DA121A" w:rsidRDefault="00904DD6">
      <w:pPr>
        <w:numPr>
          <w:ilvl w:val="1"/>
          <w:numId w:val="36"/>
        </w:numPr>
        <w:spacing w:after="11" w:line="248" w:lineRule="auto"/>
        <w:ind w:left="1095" w:right="145" w:hanging="257"/>
      </w:pPr>
      <w:r>
        <w:rPr>
          <w:i/>
        </w:rPr>
        <w:t xml:space="preserve">Cuando exista una concurrencia de planes o programas promovidos por diferentes </w:t>
      </w:r>
    </w:p>
    <w:p w:rsidR="00DA121A" w:rsidRDefault="00904DD6">
      <w:pPr>
        <w:spacing w:after="0" w:line="248" w:lineRule="auto"/>
        <w:ind w:left="288" w:right="145"/>
      </w:pPr>
      <w:r>
        <w:rPr>
          <w:i/>
        </w:rPr>
        <w:t>administraciones públicas canarias, estas deberán adoptar las medidas necesarias p</w:t>
      </w:r>
      <w:r>
        <w:rPr>
          <w:i/>
        </w:rPr>
        <w:t>ara evitar que se produzca una duplicidad de evaluaciones. A estos efectos, no deberán someterse a un nuevo proceso de evaluación, como consecuencia de la elaboración y aprobación de un plan de ordenación urbanística o territorial, los aspectos relativos a</w:t>
      </w:r>
      <w:r>
        <w:rPr>
          <w:i/>
        </w:rPr>
        <w:t xml:space="preserve"> infraestructuras de titularidad autonómica cuya planificación sectorial haya sido sometida previamente a la correspondiente evaluación ambiental conforme a lo dispuesto en esta ley. En tales casos, la administración pública competente para la aprobación d</w:t>
      </w:r>
      <w:r>
        <w:rPr>
          <w:i/>
        </w:rPr>
        <w:t xml:space="preserve">el plan de ordenación urbanística o territorial podrá exigir que se tengan en cuenta los aspectos no específicamente considerados en la primera evaluación ambiental. </w:t>
      </w:r>
    </w:p>
    <w:p w:rsidR="00DA121A" w:rsidRDefault="00904DD6">
      <w:pPr>
        <w:numPr>
          <w:ilvl w:val="1"/>
          <w:numId w:val="36"/>
        </w:numPr>
        <w:spacing w:after="9" w:line="249" w:lineRule="auto"/>
        <w:ind w:left="1095" w:right="145" w:hanging="257"/>
      </w:pPr>
      <w:r>
        <w:rPr>
          <w:i/>
        </w:rPr>
        <w:t xml:space="preserve">La evaluación ambiental estratégica posterior de cualquier plan o programa, aunque </w:t>
      </w:r>
    </w:p>
    <w:p w:rsidR="00DA121A" w:rsidRDefault="00904DD6">
      <w:pPr>
        <w:spacing w:after="111" w:line="248" w:lineRule="auto"/>
        <w:ind w:left="288" w:right="145"/>
      </w:pPr>
      <w:r>
        <w:rPr>
          <w:i/>
        </w:rPr>
        <w:t>sea d</w:t>
      </w:r>
      <w:r>
        <w:rPr>
          <w:i/>
        </w:rPr>
        <w:t>e rango superior, deberá acomodarse a la declaración ambiental estratégica o, en su caso, al informe ambiental estratégico recaído con anterioridad. En el supuesto de que el resultado de las evaluaciones fuera contradictorio, deberán justificarse las razon</w:t>
      </w:r>
      <w:r>
        <w:rPr>
          <w:i/>
        </w:rPr>
        <w:t xml:space="preserve">es y motivaciones de la nueva evaluación así como la corrección de la anterior. </w:t>
      </w:r>
    </w:p>
    <w:p w:rsidR="00DA121A" w:rsidRDefault="00904DD6">
      <w:pPr>
        <w:numPr>
          <w:ilvl w:val="1"/>
          <w:numId w:val="36"/>
        </w:numPr>
        <w:spacing w:after="99" w:line="259" w:lineRule="auto"/>
        <w:ind w:left="1095" w:right="145" w:hanging="257"/>
      </w:pPr>
      <w:r>
        <w:rPr>
          <w:i/>
        </w:rPr>
        <w:t xml:space="preserve">A los efectos previstos en el presente artículo, tendrá la consideración de:  </w:t>
      </w:r>
    </w:p>
    <w:p w:rsidR="00DA121A" w:rsidRDefault="00904DD6">
      <w:pPr>
        <w:numPr>
          <w:ilvl w:val="0"/>
          <w:numId w:val="37"/>
        </w:numPr>
        <w:spacing w:after="114" w:line="248" w:lineRule="auto"/>
        <w:ind w:right="145"/>
      </w:pPr>
      <w:r>
        <w:rPr>
          <w:i/>
        </w:rPr>
        <w:t>Promotor: La persona física o jurídica, pública o privada, que tenga atribuida la iniciativa par</w:t>
      </w:r>
      <w:r>
        <w:rPr>
          <w:i/>
        </w:rPr>
        <w:t xml:space="preserve">a la elaboración del correspondiente instrumento de ordenación.  </w:t>
      </w:r>
    </w:p>
    <w:p w:rsidR="00DA121A" w:rsidRDefault="00904DD6">
      <w:pPr>
        <w:numPr>
          <w:ilvl w:val="0"/>
          <w:numId w:val="37"/>
        </w:numPr>
        <w:spacing w:after="111" w:line="248" w:lineRule="auto"/>
        <w:ind w:right="145"/>
      </w:pPr>
      <w:r>
        <w:rPr>
          <w:i/>
        </w:rPr>
        <w:t xml:space="preserve">Órgano sustantivo: El órgano competente para su aprobación. Cuando el órgano sustantivo promueva el instrumento de ordenación, realizará las actuaciones atribuidas al promotor.  </w:t>
      </w:r>
    </w:p>
    <w:p w:rsidR="00DA121A" w:rsidRDefault="00904DD6">
      <w:pPr>
        <w:numPr>
          <w:ilvl w:val="0"/>
          <w:numId w:val="37"/>
        </w:numPr>
        <w:spacing w:after="111" w:line="248" w:lineRule="auto"/>
        <w:ind w:right="145"/>
      </w:pPr>
      <w:r>
        <w:rPr>
          <w:i/>
        </w:rPr>
        <w:t>Órgano ambiental: en el caso de los instrumentos autonómicos, lo será el órgano que designe el Gobierno de Canarias; en cuanto a los instrumentos insulares, lo será el órgano que designe el cabildo o, previa delegación, el órgano ambiental autonómico; y en</w:t>
      </w:r>
      <w:r>
        <w:rPr>
          <w:i/>
        </w:rPr>
        <w:t xml:space="preserve"> el caso de los instrumentos municipales, lo será el que pueda designar el ayuntamiento, si cuenta con los recursos suficientes, pudiendo delegar esta competencia en el órgano ambiental autonómico o el órgano ambiental insular de la isla a la que pertenezc</w:t>
      </w:r>
      <w:r>
        <w:rPr>
          <w:i/>
        </w:rPr>
        <w:t xml:space="preserve">a, o bien constituir un órgano ambiental en mancomunidad con otros municipios.  </w:t>
      </w:r>
    </w:p>
    <w:p w:rsidR="00DA121A" w:rsidRDefault="00904DD6">
      <w:pPr>
        <w:spacing w:after="114" w:line="248" w:lineRule="auto"/>
        <w:ind w:left="288" w:right="145"/>
      </w:pPr>
      <w:r>
        <w:rPr>
          <w:i/>
        </w:rPr>
        <w:t xml:space="preserve">Asimismo, podrá encomendarse el ejercicio de los aspectos materiales o técnicos de la competencia de los órganos ambientales, en caso de estar constituidos, mediante convenio </w:t>
      </w:r>
      <w:r>
        <w:rPr>
          <w:i/>
        </w:rPr>
        <w:t xml:space="preserve">de encomienda de gestión en los términos de la legislación básica sobre régimen jurídico del sector público.  </w:t>
      </w:r>
    </w:p>
    <w:p w:rsidR="00DA121A" w:rsidRDefault="00904DD6">
      <w:pPr>
        <w:spacing w:after="111" w:line="248" w:lineRule="auto"/>
        <w:ind w:left="288" w:right="145"/>
      </w:pPr>
      <w:r>
        <w:rPr>
          <w:i/>
        </w:rPr>
        <w:t>El acuerdo de delegación o encomienda o de aceptación de las mismas o de aprobación del convenio de encomienda deberá adoptarse por el pleno de l</w:t>
      </w:r>
      <w:r>
        <w:rPr>
          <w:i/>
        </w:rPr>
        <w:t xml:space="preserve">a entidad o por el Gobierno de Canarias, según proceda.  </w:t>
      </w:r>
    </w:p>
    <w:p w:rsidR="00DA121A" w:rsidRDefault="00904DD6">
      <w:pPr>
        <w:spacing w:after="114" w:line="248" w:lineRule="auto"/>
        <w:ind w:left="288" w:right="145"/>
      </w:pPr>
      <w:r>
        <w:rPr>
          <w:i/>
        </w:rPr>
        <w:t>No obstante, en los municipios de menos de 100.000 habitantes de derecho, la evaluación ambiental de la ordenación urbanística estructural de los planes generales de ordenación, así como en los caso</w:t>
      </w:r>
      <w:r>
        <w:rPr>
          <w:i/>
        </w:rPr>
        <w:t xml:space="preserve">s de modificación sustancial de los mismos, corresponderá al órgano ambiental autonómico.  </w:t>
      </w:r>
    </w:p>
    <w:p w:rsidR="00DA121A" w:rsidRDefault="00904DD6">
      <w:pPr>
        <w:spacing w:after="111" w:line="248" w:lineRule="auto"/>
        <w:ind w:left="288" w:right="145"/>
      </w:pPr>
      <w:r>
        <w:rPr>
          <w:i/>
        </w:rPr>
        <w:t>A estos efectos, se entiende por ordenación urbanística estructural la delimitada por el artículo 136 de esta ley, y por modificación sustancial los supuestos previ</w:t>
      </w:r>
      <w:r>
        <w:rPr>
          <w:i/>
        </w:rPr>
        <w:t xml:space="preserve">stos en el artículo 163 de esta ley. Asimismo, podrá encomendarse el ejercicio de los aspectos materiales o técnicos de la competencia de los órganos ambientales, en caso de estar constituidos, mediante convenio.  </w:t>
      </w:r>
    </w:p>
    <w:p w:rsidR="00DA121A" w:rsidRDefault="00904DD6">
      <w:pPr>
        <w:spacing w:after="114" w:line="248" w:lineRule="auto"/>
        <w:ind w:left="288" w:right="145"/>
      </w:pPr>
      <w:r>
        <w:rPr>
          <w:i/>
        </w:rPr>
        <w:t>El acuerdo de delegación deberá adoptarse</w:t>
      </w:r>
      <w:r>
        <w:rPr>
          <w:i/>
        </w:rPr>
        <w:t xml:space="preserve"> por el Pleno de la entidad local, y el acuerdo de aceptación de la delegación o de aprobación del convenio de encomienda, por el Pleno del respectivo cabildo insular o por el Gobierno de Canarias, según proceda. No obstante, en los municipios de menos de </w:t>
      </w:r>
      <w:r>
        <w:rPr>
          <w:i/>
        </w:rPr>
        <w:t xml:space="preserve">100.000 habitantes de derecho, la evaluación ambiental de la ordenación urbanística estructural de los planes generales de ordenación, así como en los casos de modificación sustancial de los mismos, corresponderá al órgano ambiental autonómico.  </w:t>
      </w:r>
    </w:p>
    <w:p w:rsidR="00DA121A" w:rsidRDefault="00904DD6">
      <w:pPr>
        <w:spacing w:after="114" w:line="248" w:lineRule="auto"/>
        <w:ind w:left="288" w:right="145"/>
      </w:pPr>
      <w:r>
        <w:rPr>
          <w:i/>
        </w:rPr>
        <w:t>A estos e</w:t>
      </w:r>
      <w:r>
        <w:rPr>
          <w:i/>
        </w:rPr>
        <w:t xml:space="preserve">fectos, se entiende por ordenación urbanística estructural la delimitada por el artículo 136 de esta ley, y por modificación sustancial los supuestos previstos en el artículo 163 de esta ley.  </w:t>
      </w:r>
    </w:p>
    <w:p w:rsidR="00DA121A" w:rsidRDefault="00904DD6">
      <w:pPr>
        <w:numPr>
          <w:ilvl w:val="0"/>
          <w:numId w:val="38"/>
        </w:numPr>
        <w:spacing w:after="9" w:line="249" w:lineRule="auto"/>
        <w:ind w:right="146" w:hanging="350"/>
        <w:jc w:val="right"/>
      </w:pPr>
      <w:r>
        <w:rPr>
          <w:i/>
        </w:rPr>
        <w:t>De acuerdo con la normativa europea y estatal, el órgano ambie</w:t>
      </w:r>
      <w:r>
        <w:rPr>
          <w:i/>
        </w:rPr>
        <w:t xml:space="preserve">ntal debe contar con </w:t>
      </w:r>
    </w:p>
    <w:p w:rsidR="00DA121A" w:rsidRDefault="00904DD6">
      <w:pPr>
        <w:spacing w:after="108" w:line="248" w:lineRule="auto"/>
        <w:ind w:left="288" w:right="145"/>
      </w:pPr>
      <w:r>
        <w:rPr>
          <w:i/>
        </w:rPr>
        <w:t xml:space="preserve">separación funcional y orgánica respecto del órgano sustantivo. </w:t>
      </w:r>
    </w:p>
    <w:p w:rsidR="00DA121A" w:rsidRDefault="00904DD6">
      <w:pPr>
        <w:numPr>
          <w:ilvl w:val="0"/>
          <w:numId w:val="38"/>
        </w:numPr>
        <w:spacing w:after="112" w:line="249" w:lineRule="auto"/>
        <w:ind w:right="146" w:hanging="350"/>
        <w:jc w:val="right"/>
      </w:pPr>
      <w:r>
        <w:rPr>
          <w:i/>
        </w:rPr>
        <w:t>La declaración ambiental estratégica tiene carácter de informe preceptivo y determinante, por lo que su no emisión en plazo podrá interrumpir el plazo de los trámites su</w:t>
      </w:r>
      <w:r>
        <w:rPr>
          <w:i/>
        </w:rPr>
        <w:t xml:space="preserve">cesivos, de conformidad con lo previsto en la legislación de procedimiento administrativo común. La falta de emisión de la declaración ambiental estratégica en ningún caso podrá entenderse que equivale a una evaluación ambiental favorable.  </w:t>
      </w:r>
    </w:p>
    <w:p w:rsidR="00DA121A" w:rsidRDefault="00904DD6">
      <w:pPr>
        <w:numPr>
          <w:ilvl w:val="0"/>
          <w:numId w:val="38"/>
        </w:numPr>
        <w:spacing w:after="11" w:line="248" w:lineRule="auto"/>
        <w:ind w:right="146" w:hanging="350"/>
        <w:jc w:val="right"/>
      </w:pPr>
      <w:r>
        <w:rPr>
          <w:i/>
        </w:rPr>
        <w:t>El Gobierno es</w:t>
      </w:r>
      <w:r>
        <w:rPr>
          <w:i/>
        </w:rPr>
        <w:t xml:space="preserve">tablecerá reglamentariamente las normas, los criterios y la </w:t>
      </w:r>
    </w:p>
    <w:p w:rsidR="00DA121A" w:rsidRDefault="00904DD6">
      <w:pPr>
        <w:spacing w:after="111" w:line="248" w:lineRule="auto"/>
        <w:ind w:left="288" w:right="145"/>
      </w:pPr>
      <w:r>
        <w:rPr>
          <w:i/>
        </w:rPr>
        <w:t>metodología a utilizar por el órgano ambiental en el ejercicio de su función, asegurando la unidad y coherencia de la evaluación ambiental, de acuerdo con criterios públicos y conocidos de antema</w:t>
      </w:r>
      <w:r>
        <w:rPr>
          <w:i/>
        </w:rPr>
        <w:t>no, lo más objetivos y reglados que permita el estado del conocimiento científico y técnico y de los métodos de evaluación existentes. 10. En lo no previsto en la presente ley se estará a lo dispuesto en la legislación estatal básica en materia de evaluaci</w:t>
      </w:r>
      <w:r>
        <w:rPr>
          <w:i/>
        </w:rPr>
        <w:t xml:space="preserve">ón ambiental. </w:t>
      </w:r>
    </w:p>
    <w:p w:rsidR="00DA121A" w:rsidRDefault="00904DD6">
      <w:pPr>
        <w:ind w:left="1426" w:right="146"/>
      </w:pPr>
      <w:r>
        <w:t xml:space="preserve">Es de aplicación el artículo Artículo 114  del DECRETO 181/2018, de 26 de diciembre, </w:t>
      </w:r>
    </w:p>
    <w:p w:rsidR="00DA121A" w:rsidRDefault="00904DD6">
      <w:pPr>
        <w:spacing w:after="109"/>
        <w:ind w:left="288" w:right="146"/>
      </w:pPr>
      <w:r>
        <w:t xml:space="preserve">por el que se aprueba el Reglamento de Planeamiento de Canarias en cuanto a l Solicitud de inicio: </w:t>
      </w:r>
    </w:p>
    <w:p w:rsidR="00DA121A" w:rsidRDefault="00904DD6">
      <w:pPr>
        <w:ind w:left="1426" w:right="146"/>
      </w:pPr>
      <w:r>
        <w:t xml:space="preserve">1. </w:t>
      </w:r>
      <w:r>
        <w:t xml:space="preserve">El procedimiento de evaluación ambiental simplificada comienza con la solicitud de </w:t>
      </w:r>
    </w:p>
    <w:p w:rsidR="00DA121A" w:rsidRDefault="00904DD6">
      <w:pPr>
        <w:spacing w:after="112"/>
        <w:ind w:left="288" w:right="146"/>
      </w:pPr>
      <w:r>
        <w:t>inicio de la evaluación. El promotor presentará ante el órgano sustantivo, junto a la documentación exigida por la normativa sectorial, una solicitud de inicio de la Evalua</w:t>
      </w:r>
      <w:r>
        <w:t xml:space="preserve">ción Ambiental Simplificada, el Documento Ambiental Estratégico, con el contenido exigido por la legislación básica, y el Borrador del Plan. </w:t>
      </w:r>
    </w:p>
    <w:p w:rsidR="00DA121A" w:rsidRDefault="00904DD6">
      <w:pPr>
        <w:spacing w:after="109"/>
        <w:ind w:left="1426" w:right="146"/>
      </w:pPr>
      <w:r>
        <w:t xml:space="preserve">Ley 21/2013, de 9 de diciembre, de evaluación ambiental. </w:t>
      </w:r>
    </w:p>
    <w:p w:rsidR="00DA121A" w:rsidRDefault="00904DD6">
      <w:pPr>
        <w:spacing w:after="98" w:line="259" w:lineRule="auto"/>
        <w:ind w:left="1416" w:firstLine="0"/>
        <w:jc w:val="left"/>
      </w:pPr>
      <w:r>
        <w:rPr>
          <w:b/>
        </w:rPr>
        <w:t xml:space="preserve"> </w:t>
      </w:r>
    </w:p>
    <w:p w:rsidR="00DA121A" w:rsidRDefault="00904DD6">
      <w:pPr>
        <w:spacing w:after="4"/>
        <w:ind w:left="1426" w:right="144"/>
      </w:pPr>
      <w:r>
        <w:rPr>
          <w:b/>
        </w:rPr>
        <w:t>Segundo. - Es de aplicación el acuerdo del Pleno de 24</w:t>
      </w:r>
      <w:r>
        <w:rPr>
          <w:b/>
        </w:rPr>
        <w:t xml:space="preserve"> de febrero de 2022 </w:t>
      </w:r>
    </w:p>
    <w:p w:rsidR="00DA121A" w:rsidRDefault="00904DD6">
      <w:pPr>
        <w:spacing w:after="114"/>
        <w:ind w:left="279" w:right="144"/>
      </w:pPr>
      <w:r>
        <w:rPr>
          <w:b/>
        </w:rPr>
        <w:t xml:space="preserve">debidamente notificado a la Consejería de Transición Ecológica del Gobierno de Canarias en el que expresamente se dispuso: </w:t>
      </w:r>
    </w:p>
    <w:p w:rsidR="00DA121A" w:rsidRDefault="00904DD6">
      <w:pPr>
        <w:spacing w:after="11" w:line="248" w:lineRule="auto"/>
        <w:ind w:left="1426" w:right="145"/>
      </w:pPr>
      <w:r>
        <w:rPr>
          <w:i/>
        </w:rPr>
        <w:t xml:space="preserve">Primero. - Delegar en el órgano ambiental de la Comunidad Autónoma la evaluación </w:t>
      </w:r>
    </w:p>
    <w:p w:rsidR="00DA121A" w:rsidRDefault="00904DD6">
      <w:pPr>
        <w:spacing w:after="111" w:line="248" w:lineRule="auto"/>
        <w:ind w:left="288" w:right="145"/>
      </w:pPr>
      <w:r>
        <w:rPr>
          <w:i/>
        </w:rPr>
        <w:t>ambiental estratégica, ordina</w:t>
      </w:r>
      <w:r>
        <w:rPr>
          <w:i/>
        </w:rPr>
        <w:t xml:space="preserve">ria o simplificada, de los instrumentos de ordenación urbanística de competencia municipal, así como sus modificaciones.  </w:t>
      </w:r>
    </w:p>
    <w:p w:rsidR="00DA121A" w:rsidRDefault="00904DD6">
      <w:pPr>
        <w:spacing w:after="11" w:line="248" w:lineRule="auto"/>
        <w:ind w:left="1426" w:right="145"/>
      </w:pPr>
      <w:r>
        <w:rPr>
          <w:i/>
        </w:rPr>
        <w:t xml:space="preserve">Segundo. - Delegar en el órgano ambiental de la Comunidad Autónoma la evaluación </w:t>
      </w:r>
    </w:p>
    <w:p w:rsidR="00DA121A" w:rsidRDefault="00904DD6">
      <w:pPr>
        <w:spacing w:after="108" w:line="248" w:lineRule="auto"/>
        <w:ind w:left="288" w:right="145"/>
      </w:pPr>
      <w:r>
        <w:rPr>
          <w:i/>
        </w:rPr>
        <w:t>y declaración de impacto ambiental de proyectos que</w:t>
      </w:r>
      <w:r>
        <w:rPr>
          <w:i/>
        </w:rPr>
        <w:t xml:space="preserve"> deba tramitar y autorizar el Ayuntamiento. </w:t>
      </w:r>
    </w:p>
    <w:p w:rsidR="00DA121A" w:rsidRDefault="00904DD6">
      <w:pPr>
        <w:spacing w:after="98" w:line="259" w:lineRule="auto"/>
        <w:ind w:left="1416" w:firstLine="0"/>
        <w:jc w:val="left"/>
      </w:pPr>
      <w:r>
        <w:rPr>
          <w:b/>
          <w:i/>
        </w:rPr>
        <w:t xml:space="preserve"> </w:t>
      </w:r>
    </w:p>
    <w:p w:rsidR="00DA121A" w:rsidRDefault="00904DD6">
      <w:pPr>
        <w:spacing w:after="96" w:line="262" w:lineRule="auto"/>
        <w:ind w:left="1228" w:right="1437"/>
        <w:jc w:val="center"/>
      </w:pPr>
      <w:r>
        <w:rPr>
          <w:b/>
        </w:rPr>
        <w:t xml:space="preserve">Propuesta de Acuerdo: </w:t>
      </w:r>
    </w:p>
    <w:p w:rsidR="00DA121A" w:rsidRDefault="00904DD6">
      <w:pPr>
        <w:ind w:left="288" w:right="146"/>
      </w:pPr>
      <w:r>
        <w:rPr>
          <w:b/>
        </w:rPr>
        <w:t>Primero</w:t>
      </w:r>
      <w:r>
        <w:t xml:space="preserve">. - Tomar conocimiento del procedimiento de evaluación ambiental estratégica para la aprobación de la </w:t>
      </w:r>
      <w:r>
        <w:rPr>
          <w:b/>
        </w:rPr>
        <w:t>Modificación Menor de iniciativa pública del Plan General de Ordenación de Candelaria en distintos Ámbitos del Municipio, y</w:t>
      </w:r>
      <w:r>
        <w:t xml:space="preserve"> se adjunta un ejemplar en soporte digital del documento técnico, así como del documento ambiental estratégico.</w:t>
      </w:r>
      <w:r>
        <w:rPr>
          <w:rFonts w:ascii="Times New Roman" w:eastAsia="Times New Roman" w:hAnsi="Times New Roman" w:cs="Times New Roman"/>
          <w:sz w:val="24"/>
        </w:rPr>
        <w:t xml:space="preserve"> </w:t>
      </w:r>
    </w:p>
    <w:p w:rsidR="00DA121A" w:rsidRDefault="00904DD6">
      <w:pPr>
        <w:spacing w:after="16" w:line="259" w:lineRule="auto"/>
        <w:ind w:left="1416" w:firstLine="0"/>
        <w:jc w:val="left"/>
      </w:pPr>
      <w:r>
        <w:t xml:space="preserve"> </w:t>
      </w:r>
    </w:p>
    <w:p w:rsidR="00DA121A" w:rsidRDefault="00904DD6">
      <w:pPr>
        <w:spacing w:after="28"/>
        <w:ind w:left="1426" w:right="146"/>
      </w:pPr>
      <w:r>
        <w:t>Se toma conocimien</w:t>
      </w:r>
      <w:r>
        <w:t xml:space="preserve">to de los siguientes documentos: </w:t>
      </w:r>
    </w:p>
    <w:p w:rsidR="00DA121A" w:rsidRDefault="00904DD6">
      <w:pPr>
        <w:numPr>
          <w:ilvl w:val="0"/>
          <w:numId w:val="39"/>
        </w:numPr>
        <w:spacing w:after="42"/>
        <w:ind w:right="146" w:hanging="360"/>
      </w:pPr>
      <w:r>
        <w:t xml:space="preserve">Borrador del Plan para la Modificación Menor del Plan General de Ordenación de Candelaria en distintos ámbitos del municipio </w:t>
      </w:r>
    </w:p>
    <w:p w:rsidR="00DA121A" w:rsidRDefault="00904DD6">
      <w:pPr>
        <w:numPr>
          <w:ilvl w:val="0"/>
          <w:numId w:val="39"/>
        </w:numPr>
        <w:spacing w:after="46"/>
        <w:ind w:right="146" w:hanging="360"/>
      </w:pPr>
      <w:r>
        <w:t xml:space="preserve">Estudio Ambiental Estratégico </w:t>
      </w:r>
    </w:p>
    <w:p w:rsidR="00DA121A" w:rsidRDefault="00904DD6">
      <w:pPr>
        <w:spacing w:after="14" w:line="259" w:lineRule="auto"/>
        <w:ind w:left="1416" w:firstLine="0"/>
        <w:jc w:val="left"/>
      </w:pPr>
      <w:r>
        <w:t xml:space="preserve"> </w:t>
      </w:r>
    </w:p>
    <w:p w:rsidR="00DA121A" w:rsidRDefault="00904DD6">
      <w:pPr>
        <w:spacing w:after="30"/>
        <w:ind w:left="1426" w:right="146"/>
      </w:pPr>
      <w:r>
        <w:rPr>
          <w:b/>
        </w:rPr>
        <w:t>Segundo</w:t>
      </w:r>
      <w:r>
        <w:t>.- Someter al procedimiento simplificado de evaluación a</w:t>
      </w:r>
      <w:r>
        <w:t xml:space="preserve">mbiental estratégica, </w:t>
      </w:r>
    </w:p>
    <w:p w:rsidR="00DA121A" w:rsidRDefault="00904DD6">
      <w:pPr>
        <w:spacing w:after="27"/>
        <w:ind w:left="288" w:right="146"/>
      </w:pPr>
      <w:r>
        <w:t xml:space="preserve">a efectos de que, según lo dispuesto en el artículo 86.2.a) de la Ley 4/2017, de 13 de julio, del </w:t>
      </w:r>
    </w:p>
    <w:p w:rsidR="00DA121A" w:rsidRDefault="00904DD6">
      <w:pPr>
        <w:ind w:left="288" w:right="146"/>
      </w:pPr>
      <w:r>
        <w:t xml:space="preserve">Suelo y de los Espacios Naturales Protegidos de Canarias (LSENPC), y de la Ley 21/2013, 165.3 de la LSENPC y 106.3 del RPC, el órgano </w:t>
      </w:r>
      <w:r>
        <w:t xml:space="preserve">ambiental resuelva mediante la emisión del informe ambiental estratégico que la modificación no tiene efectos significativos sobre el medio ambiente, o, en su caso, que procede someter la modificación menor a una evaluación ambiental estratégica ordinaria </w:t>
      </w:r>
      <w:r>
        <w:t>porque pueda tener efectos significativos sobre el medio ambiente.</w:t>
      </w:r>
      <w:r>
        <w:rPr>
          <w:rFonts w:ascii="Times New Roman" w:eastAsia="Times New Roman" w:hAnsi="Times New Roman" w:cs="Times New Roman"/>
          <w:sz w:val="24"/>
        </w:rPr>
        <w:t xml:space="preserve"> </w:t>
      </w:r>
    </w:p>
    <w:p w:rsidR="00DA121A" w:rsidRDefault="00904DD6">
      <w:pPr>
        <w:spacing w:after="14" w:line="259" w:lineRule="auto"/>
        <w:ind w:left="1416" w:firstLine="0"/>
        <w:jc w:val="left"/>
      </w:pPr>
      <w:r>
        <w:t xml:space="preserve"> </w:t>
      </w:r>
    </w:p>
    <w:p w:rsidR="00DA121A" w:rsidRDefault="00904DD6">
      <w:pPr>
        <w:spacing w:after="30" w:line="250" w:lineRule="auto"/>
        <w:ind w:left="10" w:right="146"/>
        <w:jc w:val="right"/>
      </w:pPr>
      <w:r>
        <w:rPr>
          <w:b/>
        </w:rPr>
        <w:t>Tercero.</w:t>
      </w:r>
      <w:r>
        <w:t xml:space="preserve"> - Remitir la documentación técnica debidamente autenticada electrónica-</w:t>
      </w:r>
    </w:p>
    <w:p w:rsidR="00DA121A" w:rsidRDefault="00904DD6">
      <w:pPr>
        <w:spacing w:after="37"/>
        <w:ind w:left="288" w:right="146"/>
      </w:pPr>
      <w:r>
        <w:t>mente y el certificado del acuerdo adoptado a la Consejería de Transición Ecológica, Lucha contra el Cambio Climático y Planificación Territorial del Gobierno de Canarias.”</w:t>
      </w:r>
      <w:r>
        <w:rPr>
          <w:rFonts w:ascii="Times New Roman" w:eastAsia="Times New Roman" w:hAnsi="Times New Roman" w:cs="Times New Roman"/>
          <w:sz w:val="24"/>
        </w:rPr>
        <w:t xml:space="preserve"> </w:t>
      </w:r>
    </w:p>
    <w:p w:rsidR="00DA121A" w:rsidRDefault="00904DD6">
      <w:pPr>
        <w:spacing w:after="215" w:line="259" w:lineRule="auto"/>
        <w:ind w:left="284" w:firstLine="0"/>
        <w:jc w:val="left"/>
      </w:pPr>
      <w:r>
        <w:t xml:space="preserve"> </w:t>
      </w:r>
    </w:p>
    <w:p w:rsidR="00DA121A" w:rsidRDefault="00904DD6">
      <w:pPr>
        <w:spacing w:after="0" w:line="259" w:lineRule="auto"/>
        <w:ind w:left="279" w:firstLine="0"/>
        <w:jc w:val="left"/>
      </w:pPr>
      <w:r>
        <w:t xml:space="preserve"> </w:t>
      </w:r>
    </w:p>
    <w:p w:rsidR="00DA121A" w:rsidRDefault="00904DD6">
      <w:pPr>
        <w:spacing w:after="4"/>
        <w:ind w:left="279" w:right="144"/>
      </w:pPr>
      <w:r>
        <w:rPr>
          <w:b/>
        </w:rPr>
        <w:t>Consta en el expediente propuesta de la Alcaldesa-Presidenta, de fecha 22 de m</w:t>
      </w:r>
      <w:r>
        <w:rPr>
          <w:b/>
        </w:rPr>
        <w:t xml:space="preserve">arzo de 2023, cuyo tenor literal es el siguiente: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ind w:left="288" w:right="146"/>
      </w:pPr>
      <w:r>
        <w:t xml:space="preserve">  “Visto expediente nº </w:t>
      </w:r>
      <w:r>
        <w:rPr>
          <w:b/>
        </w:rPr>
        <w:t>4304/2022</w:t>
      </w:r>
      <w:r>
        <w:t xml:space="preserve">, que se tramita en esta Corporación, en relación con la Modificación Menor de iniciativa </w:t>
      </w:r>
      <w:r>
        <w:rPr>
          <w:b/>
        </w:rPr>
        <w:t>pública del Plan General de Ordenación de Candelaria en distintos Ámbitos del M</w:t>
      </w:r>
      <w:r>
        <w:rPr>
          <w:b/>
        </w:rPr>
        <w:t xml:space="preserve">unicipio </w:t>
      </w:r>
      <w:r>
        <w:t>y vistos informes técnico y jurídico de fecha 22 de febrero de 2023, respectivamente, se eleva la siguiente</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114"/>
        <w:ind w:left="3131" w:right="144"/>
      </w:pPr>
      <w:r>
        <w:rPr>
          <w:b/>
        </w:rPr>
        <w:t xml:space="preserve">             INFORME JURÍDICO </w:t>
      </w:r>
    </w:p>
    <w:p w:rsidR="00DA121A" w:rsidRDefault="00904DD6">
      <w:pPr>
        <w:spacing w:after="95" w:line="259" w:lineRule="auto"/>
        <w:ind w:left="1320" w:firstLine="0"/>
        <w:jc w:val="center"/>
      </w:pPr>
      <w:r>
        <w:t xml:space="preserve"> </w:t>
      </w:r>
    </w:p>
    <w:p w:rsidR="00DA121A" w:rsidRDefault="00904DD6">
      <w:pPr>
        <w:spacing w:after="100" w:line="262" w:lineRule="auto"/>
        <w:ind w:left="1228" w:right="1093"/>
        <w:jc w:val="center"/>
      </w:pPr>
      <w:r>
        <w:rPr>
          <w:b/>
        </w:rPr>
        <w:t>Visto el expediente antedicho, se emite el siguiente informe:</w:t>
      </w:r>
      <w:r>
        <w:t xml:space="preserve"> </w:t>
      </w:r>
    </w:p>
    <w:p w:rsidR="00DA121A" w:rsidRDefault="00904DD6">
      <w:pPr>
        <w:spacing w:after="95" w:line="259" w:lineRule="auto"/>
        <w:ind w:left="186" w:firstLine="0"/>
        <w:jc w:val="center"/>
      </w:pPr>
      <w:r>
        <w:t xml:space="preserve"> </w:t>
      </w:r>
    </w:p>
    <w:p w:rsidR="00DA121A" w:rsidRDefault="00904DD6">
      <w:pPr>
        <w:pStyle w:val="Ttulo2"/>
        <w:spacing w:after="98"/>
        <w:ind w:right="1091"/>
      </w:pPr>
      <w:r>
        <w:t xml:space="preserve">Antecedentes de hecho </w:t>
      </w:r>
    </w:p>
    <w:p w:rsidR="00DA121A" w:rsidRDefault="00904DD6">
      <w:pPr>
        <w:spacing w:after="98" w:line="259" w:lineRule="auto"/>
        <w:ind w:left="186" w:firstLine="0"/>
        <w:jc w:val="center"/>
      </w:pPr>
      <w:r>
        <w:t xml:space="preserve"> </w:t>
      </w:r>
    </w:p>
    <w:p w:rsidR="00DA121A" w:rsidRDefault="00904DD6">
      <w:pPr>
        <w:spacing w:after="116"/>
        <w:ind w:left="269" w:right="144" w:firstLine="1133"/>
      </w:pPr>
      <w:r>
        <w:rPr>
          <w:b/>
        </w:rPr>
        <w:t xml:space="preserve">Primero. </w:t>
      </w:r>
      <w:r>
        <w:rPr>
          <w:b/>
        </w:rPr>
        <w:t xml:space="preserve">- Consta en el expediente informe técnico emitido por la Arquitecta Municipal de fecha 22/03/2023 que transcrito literalmente dice: </w:t>
      </w:r>
    </w:p>
    <w:p w:rsidR="00DA121A" w:rsidRDefault="00904DD6">
      <w:pPr>
        <w:spacing w:after="128"/>
        <w:ind w:left="288" w:right="146"/>
      </w:pPr>
      <w:r>
        <w:t xml:space="preserve">“Visto el expediente antedicho, Nayra Guzmán Hernández, arquitecta municipal, emite el siguiente informe: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4"/>
        <w:ind w:left="279" w:right="144"/>
      </w:pPr>
      <w:r>
        <w:rPr>
          <w:b/>
        </w:rPr>
        <w:t xml:space="preserve">ANTECEDENTES </w:t>
      </w:r>
    </w:p>
    <w:p w:rsidR="00DA121A" w:rsidRDefault="00904DD6">
      <w:pPr>
        <w:spacing w:after="0" w:line="259" w:lineRule="auto"/>
        <w:ind w:left="284" w:firstLine="0"/>
        <w:jc w:val="left"/>
      </w:pPr>
      <w:r>
        <w:t xml:space="preserve"> </w:t>
      </w:r>
    </w:p>
    <w:p w:rsidR="00DA121A" w:rsidRDefault="00904DD6">
      <w:pPr>
        <w:ind w:left="288" w:right="146"/>
      </w:pPr>
      <w:r>
        <w:t xml:space="preserve">La presente Modificación Menor tiene por objeto plantear el análisis, valoración y propuesta de ordenación de diez ámbitos discontinuos localizados en el término municipal de Candelaria, provenientes, tanto de errores materiales gráficos y de texto que </w:t>
      </w:r>
      <w:r>
        <w:t xml:space="preserve">contiene el Plan General Vigente, como de alteraciones, cuya modificación suponen mejora de dotaciones y estructura, como beneficio del interés general del municipio.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ind w:left="288" w:right="146"/>
      </w:pPr>
      <w:r>
        <w:t>Los ámbitos de modificación se localizan en diferentes áreas urbanas del término muni</w:t>
      </w:r>
      <w:r>
        <w:t xml:space="preserve">cipal, los cuales se detallan a continuación: </w:t>
      </w:r>
    </w:p>
    <w:p w:rsidR="00DA121A" w:rsidRDefault="00904DD6">
      <w:pPr>
        <w:spacing w:after="0" w:line="259" w:lineRule="auto"/>
        <w:ind w:left="344" w:firstLine="0"/>
        <w:jc w:val="left"/>
      </w:pPr>
      <w:r>
        <w:rPr>
          <w:rFonts w:ascii="Times New Roman" w:eastAsia="Times New Roman" w:hAnsi="Times New Roman" w:cs="Times New Roman"/>
          <w:sz w:val="24"/>
        </w:rPr>
        <w:t xml:space="preserve"> </w:t>
      </w:r>
    </w:p>
    <w:p w:rsidR="00DA121A" w:rsidRDefault="00904DD6">
      <w:pPr>
        <w:spacing w:after="0" w:line="259" w:lineRule="auto"/>
        <w:ind w:left="0" w:right="1231" w:firstLine="0"/>
        <w:jc w:val="right"/>
      </w:pPr>
      <w:r>
        <w:rPr>
          <w:noProof/>
        </w:rPr>
        <w:drawing>
          <wp:inline distT="0" distB="0" distL="0" distR="0">
            <wp:extent cx="5309565" cy="2926222"/>
            <wp:effectExtent l="0" t="0" r="0" b="0"/>
            <wp:docPr id="29220" name="Picture 29220"/>
            <wp:cNvGraphicFramePr/>
            <a:graphic xmlns:a="http://schemas.openxmlformats.org/drawingml/2006/main">
              <a:graphicData uri="http://schemas.openxmlformats.org/drawingml/2006/picture">
                <pic:pic xmlns:pic="http://schemas.openxmlformats.org/drawingml/2006/picture">
                  <pic:nvPicPr>
                    <pic:cNvPr id="29220" name="Picture 29220"/>
                    <pic:cNvPicPr/>
                  </pic:nvPicPr>
                  <pic:blipFill>
                    <a:blip r:embed="rId41"/>
                    <a:stretch>
                      <a:fillRect/>
                    </a:stretch>
                  </pic:blipFill>
                  <pic:spPr>
                    <a:xfrm>
                      <a:off x="0" y="0"/>
                      <a:ext cx="5309565" cy="2926222"/>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1" w:line="243" w:lineRule="auto"/>
        <w:ind w:left="344" w:right="7403"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DA121A" w:rsidRDefault="00904DD6">
      <w:pPr>
        <w:spacing w:after="0" w:line="259" w:lineRule="auto"/>
        <w:ind w:left="394" w:firstLine="0"/>
        <w:jc w:val="left"/>
      </w:pPr>
      <w:r>
        <w:rPr>
          <w:rFonts w:ascii="Times New Roman" w:eastAsia="Times New Roman" w:hAnsi="Times New Roman" w:cs="Times New Roman"/>
          <w:sz w:val="24"/>
        </w:rPr>
        <w:t xml:space="preserve"> </w:t>
      </w:r>
    </w:p>
    <w:p w:rsidR="00DA121A" w:rsidRDefault="00904DD6">
      <w:pPr>
        <w:spacing w:after="4"/>
        <w:ind w:left="279" w:right="144"/>
      </w:pPr>
      <w:r>
        <w:rPr>
          <w:b/>
        </w:rPr>
        <w:t xml:space="preserve">INFORME  </w:t>
      </w:r>
    </w:p>
    <w:p w:rsidR="00DA121A" w:rsidRDefault="00904DD6">
      <w:pPr>
        <w:spacing w:after="16" w:line="259" w:lineRule="auto"/>
        <w:ind w:left="284" w:firstLine="0"/>
        <w:jc w:val="left"/>
      </w:pPr>
      <w:r>
        <w:t xml:space="preserve"> </w:t>
      </w:r>
    </w:p>
    <w:p w:rsidR="00DA121A" w:rsidRDefault="00904DD6">
      <w:pPr>
        <w:ind w:left="288" w:right="146"/>
      </w:pPr>
      <w:r>
        <w:t xml:space="preserve">Se toma conocimiento de la documentación presentada con fecha 20 de marzo de 2023 y registro de entrada 2023-E-RE-1970, relativa al Borrador del Plan para la </w:t>
      </w:r>
      <w:r>
        <w:rPr>
          <w:b/>
        </w:rPr>
        <w:t>Modificación Menor de iniciativa pública del Plan General de Ordenación de Candelaria en distintos Ámbitos del Municipio,</w:t>
      </w:r>
      <w:r>
        <w:t xml:space="preserve"> redactada por el equipo JRC Arquitectos SLP, Don Jorge Rodríguez Cruz, arquitecto y la documentación presentada con fecha 22 de marzo </w:t>
      </w:r>
      <w:r>
        <w:t>de 2023 y registro de entrada 2023-E-RE-2109, relativa a la documentación ambiental</w:t>
      </w:r>
      <w:r>
        <w:rPr>
          <w:color w:val="FF0000"/>
        </w:rPr>
        <w:t xml:space="preserve"> </w:t>
      </w:r>
      <w:r>
        <w:t>para el inicio del Procedimiento de Evaluación Ambiental Estratégica Simplificada.</w:t>
      </w:r>
      <w:r>
        <w:rPr>
          <w:rFonts w:ascii="Times New Roman" w:eastAsia="Times New Roman" w:hAnsi="Times New Roman" w:cs="Times New Roman"/>
          <w:sz w:val="24"/>
        </w:rPr>
        <w:t xml:space="preserve"> </w:t>
      </w:r>
    </w:p>
    <w:p w:rsidR="00DA121A" w:rsidRDefault="00904DD6">
      <w:pPr>
        <w:spacing w:after="16" w:line="259" w:lineRule="auto"/>
        <w:ind w:left="284" w:firstLine="0"/>
        <w:jc w:val="left"/>
      </w:pPr>
      <w:r>
        <w:t xml:space="preserve"> </w:t>
      </w:r>
    </w:p>
    <w:p w:rsidR="00DA121A" w:rsidRDefault="00904DD6">
      <w:pPr>
        <w:ind w:left="288" w:right="146"/>
      </w:pPr>
      <w:r>
        <w:t>La documentación relativa a la Modificación Menor de Planeamiento, consta de los sigui</w:t>
      </w:r>
      <w:r>
        <w:t>entes documentos:</w:t>
      </w:r>
      <w:r>
        <w:rPr>
          <w:rFonts w:ascii="Times New Roman" w:eastAsia="Times New Roman" w:hAnsi="Times New Roman" w:cs="Times New Roman"/>
          <w:sz w:val="24"/>
        </w:rPr>
        <w:t xml:space="preserve"> </w:t>
      </w:r>
    </w:p>
    <w:p w:rsidR="00DA121A" w:rsidRDefault="00904DD6">
      <w:pPr>
        <w:spacing w:after="17" w:line="259" w:lineRule="auto"/>
        <w:ind w:left="284" w:firstLine="0"/>
        <w:jc w:val="left"/>
      </w:pPr>
      <w:r>
        <w:t xml:space="preserve"> </w:t>
      </w:r>
    </w:p>
    <w:p w:rsidR="00DA121A" w:rsidRDefault="00904DD6">
      <w:pPr>
        <w:numPr>
          <w:ilvl w:val="0"/>
          <w:numId w:val="40"/>
        </w:numPr>
        <w:spacing w:line="295" w:lineRule="auto"/>
        <w:ind w:right="146" w:hanging="360"/>
      </w:pPr>
      <w:r>
        <w:t xml:space="preserve">Borrador del Plan para la Modificación Menor del Plan General de Ordenación de Candelaria en distintos ámbitos del municipio </w:t>
      </w:r>
    </w:p>
    <w:p w:rsidR="00DA121A" w:rsidRDefault="00904DD6">
      <w:pPr>
        <w:numPr>
          <w:ilvl w:val="0"/>
          <w:numId w:val="40"/>
        </w:numPr>
        <w:spacing w:after="63"/>
        <w:ind w:right="146" w:hanging="360"/>
      </w:pPr>
      <w:r>
        <w:t xml:space="preserve">Estudio Ambiental Estratégico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pStyle w:val="Ttulo2"/>
        <w:spacing w:after="96"/>
        <w:ind w:right="1174"/>
      </w:pPr>
      <w:r>
        <w:t xml:space="preserve">Fundamentos de derecho </w:t>
      </w:r>
      <w:r>
        <w:rPr>
          <w:b w:val="0"/>
        </w:rPr>
        <w:t xml:space="preserve"> </w:t>
      </w:r>
    </w:p>
    <w:p w:rsidR="00DA121A" w:rsidRDefault="00904DD6">
      <w:pPr>
        <w:spacing w:after="13" w:line="250" w:lineRule="auto"/>
        <w:ind w:left="10" w:right="144"/>
        <w:jc w:val="right"/>
      </w:pPr>
      <w:r>
        <w:rPr>
          <w:b/>
        </w:rPr>
        <w:t xml:space="preserve">Primero. - </w:t>
      </w:r>
      <w:r>
        <w:rPr>
          <w:b/>
        </w:rPr>
        <w:t xml:space="preserve">El procedimiento de evaluación ambiental estratégica de las </w:t>
      </w:r>
    </w:p>
    <w:p w:rsidR="00DA121A" w:rsidRDefault="00904DD6">
      <w:pPr>
        <w:spacing w:after="116"/>
        <w:ind w:left="279" w:right="144"/>
      </w:pPr>
      <w:r>
        <w:rPr>
          <w:b/>
        </w:rPr>
        <w:t xml:space="preserve">modificaciones del plan general se regula en el artículo 86 de la Ley del Suelo y de los Espacios Naturales Protegidos de Canarias (LSENPC): </w:t>
      </w:r>
    </w:p>
    <w:p w:rsidR="00DA121A" w:rsidRDefault="00904DD6">
      <w:pPr>
        <w:tabs>
          <w:tab w:val="center" w:pos="284"/>
          <w:tab w:val="center" w:pos="3224"/>
        </w:tabs>
        <w:spacing w:after="11" w:line="248" w:lineRule="auto"/>
        <w:ind w:left="0" w:firstLine="0"/>
        <w:jc w:val="left"/>
      </w:pPr>
      <w:r>
        <w:rPr>
          <w:rFonts w:ascii="Calibri" w:eastAsia="Calibri" w:hAnsi="Calibri" w:cs="Calibri"/>
        </w:rPr>
        <w:tab/>
      </w:r>
      <w:r>
        <w:rPr>
          <w:i/>
        </w:rPr>
        <w:t xml:space="preserve">  </w:t>
      </w:r>
      <w:r>
        <w:rPr>
          <w:i/>
        </w:rPr>
        <w:tab/>
        <w:t xml:space="preserve">Artículo 86. Evaluación ambiental estratégica.  </w:t>
      </w:r>
    </w:p>
    <w:p w:rsidR="00DA121A" w:rsidRDefault="00904DD6">
      <w:pPr>
        <w:numPr>
          <w:ilvl w:val="0"/>
          <w:numId w:val="41"/>
        </w:numPr>
        <w:spacing w:after="11" w:line="248" w:lineRule="auto"/>
        <w:ind w:left="1744" w:right="145" w:hanging="328"/>
      </w:pPr>
      <w:r>
        <w:rPr>
          <w:i/>
        </w:rPr>
        <w:t xml:space="preserve">La aprobación, modificación sustancial y adaptación de los instrumentos de </w:t>
      </w:r>
    </w:p>
    <w:p w:rsidR="00DA121A" w:rsidRDefault="00904DD6">
      <w:pPr>
        <w:spacing w:after="114" w:line="248" w:lineRule="auto"/>
        <w:ind w:left="288" w:right="145"/>
      </w:pPr>
      <w:r>
        <w:rPr>
          <w:i/>
        </w:rPr>
        <w:t>ordenación territorial, ambiental y urbanística se someterán al procedimiento de evaluación ambiental de planes y programas, en los términos contemplados en la legislación básica e</w:t>
      </w:r>
      <w:r>
        <w:rPr>
          <w:i/>
        </w:rPr>
        <w:t xml:space="preserve">statal y en la presente ley.  </w:t>
      </w:r>
    </w:p>
    <w:p w:rsidR="00DA121A" w:rsidRDefault="00904DD6">
      <w:pPr>
        <w:numPr>
          <w:ilvl w:val="0"/>
          <w:numId w:val="41"/>
        </w:numPr>
        <w:spacing w:after="11" w:line="248" w:lineRule="auto"/>
        <w:ind w:left="1744" w:right="145" w:hanging="328"/>
      </w:pPr>
      <w:r>
        <w:rPr>
          <w:i/>
        </w:rPr>
        <w:t xml:space="preserve">En el marco de la legislación básica del Estado, serán objeto de evaluación ambiental </w:t>
      </w:r>
    </w:p>
    <w:p w:rsidR="00DA121A" w:rsidRDefault="00904DD6">
      <w:pPr>
        <w:spacing w:after="111" w:line="248" w:lineRule="auto"/>
        <w:ind w:left="288" w:right="145"/>
      </w:pPr>
      <w:r>
        <w:rPr>
          <w:i/>
        </w:rPr>
        <w:t xml:space="preserve">estratégica simplificada:  </w:t>
      </w:r>
    </w:p>
    <w:p w:rsidR="00DA121A" w:rsidRDefault="00904DD6">
      <w:pPr>
        <w:numPr>
          <w:ilvl w:val="0"/>
          <w:numId w:val="42"/>
        </w:numPr>
        <w:spacing w:after="114" w:line="248" w:lineRule="auto"/>
        <w:ind w:right="145" w:hanging="259"/>
      </w:pPr>
      <w:r>
        <w:rPr>
          <w:i/>
        </w:rPr>
        <w:t xml:space="preserve">Los instrumentos de ordenación que establezcan el uso, a nivel municipal, de zonas de reducida extensión.  </w:t>
      </w:r>
    </w:p>
    <w:p w:rsidR="00DA121A" w:rsidRDefault="00904DD6">
      <w:pPr>
        <w:numPr>
          <w:ilvl w:val="0"/>
          <w:numId w:val="42"/>
        </w:numPr>
        <w:spacing w:after="108" w:line="248" w:lineRule="auto"/>
        <w:ind w:right="145" w:hanging="259"/>
      </w:pPr>
      <w:r>
        <w:rPr>
          <w:i/>
        </w:rPr>
        <w:t xml:space="preserve">Las modificaciones menores de los instrumentos de ordenación. </w:t>
      </w:r>
    </w:p>
    <w:p w:rsidR="00DA121A" w:rsidRDefault="00904DD6">
      <w:pPr>
        <w:numPr>
          <w:ilvl w:val="0"/>
          <w:numId w:val="42"/>
        </w:numPr>
        <w:spacing w:after="108" w:line="248" w:lineRule="auto"/>
        <w:ind w:right="145" w:hanging="259"/>
      </w:pPr>
      <w:r>
        <w:rPr>
          <w:i/>
        </w:rPr>
        <w:t xml:space="preserve">Los proyectos de interés insular o autonómico que contengan ordenación.  </w:t>
      </w:r>
    </w:p>
    <w:p w:rsidR="00DA121A" w:rsidRDefault="00904DD6">
      <w:pPr>
        <w:numPr>
          <w:ilvl w:val="0"/>
          <w:numId w:val="42"/>
        </w:numPr>
        <w:spacing w:after="111" w:line="248" w:lineRule="auto"/>
        <w:ind w:right="145" w:hanging="259"/>
      </w:pPr>
      <w:r>
        <w:rPr>
          <w:i/>
        </w:rPr>
        <w:t xml:space="preserve">La ordenación pormenorizada de un plan general.  </w:t>
      </w:r>
    </w:p>
    <w:p w:rsidR="00DA121A" w:rsidRDefault="00904DD6">
      <w:pPr>
        <w:numPr>
          <w:ilvl w:val="0"/>
          <w:numId w:val="42"/>
        </w:numPr>
        <w:spacing w:after="114" w:line="248" w:lineRule="auto"/>
        <w:ind w:right="145" w:hanging="259"/>
      </w:pPr>
      <w:r>
        <w:rPr>
          <w:i/>
        </w:rPr>
        <w:t>Los planes parciales y especiales que desarrollen planes generales qu</w:t>
      </w:r>
      <w:r>
        <w:rPr>
          <w:i/>
        </w:rPr>
        <w:t xml:space="preserve">e hayan sido sometidos a evaluación ambiental estratégica.  </w:t>
      </w:r>
    </w:p>
    <w:p w:rsidR="00DA121A" w:rsidRDefault="00904DD6">
      <w:pPr>
        <w:spacing w:after="114" w:line="248" w:lineRule="auto"/>
        <w:ind w:left="288" w:right="145"/>
      </w:pPr>
      <w:r>
        <w:rPr>
          <w:i/>
        </w:rPr>
        <w:t>No obstante, cuando el plan parcial o el plan especial no se ajusten, en todo o en parte, a las determinaciones ambientales del plan general deberán someterse a evaluación ambiental estratégica o</w:t>
      </w:r>
      <w:r>
        <w:rPr>
          <w:i/>
        </w:rPr>
        <w:t xml:space="preserve">rdinaria en la parte que no cumplan con las mismas.  </w:t>
      </w:r>
    </w:p>
    <w:p w:rsidR="00DA121A" w:rsidRDefault="00904DD6">
      <w:pPr>
        <w:numPr>
          <w:ilvl w:val="1"/>
          <w:numId w:val="42"/>
        </w:numPr>
        <w:spacing w:after="11" w:line="248" w:lineRule="auto"/>
        <w:ind w:left="1672" w:right="145" w:hanging="256"/>
      </w:pPr>
      <w:r>
        <w:rPr>
          <w:i/>
        </w:rPr>
        <w:t xml:space="preserve">En los casos en que los planes se estructurasen en distintos ámbitos jerárquicos de </w:t>
      </w:r>
    </w:p>
    <w:p w:rsidR="00DA121A" w:rsidRDefault="00904DD6">
      <w:pPr>
        <w:spacing w:after="111" w:line="248" w:lineRule="auto"/>
        <w:ind w:left="288" w:right="145"/>
      </w:pPr>
      <w:r>
        <w:rPr>
          <w:i/>
        </w:rPr>
        <w:t>decisión de una misma administración pública canaria, cuando sea preciso llevar a cabo la evaluación ambiental de cad</w:t>
      </w:r>
      <w:r>
        <w:rPr>
          <w:i/>
        </w:rPr>
        <w:t>a uno de ellos, esta deberá realizarse teniendo en cuenta el contenido y el grado de especificación del plan, la fase del proceso de decisión en que se encuentre y la medida en que la evaluación de determinados aspectos pueda ser más adecuada en fases dist</w:t>
      </w:r>
      <w:r>
        <w:rPr>
          <w:i/>
        </w:rPr>
        <w:t>intas de dicho proceso, con objeto de evitar la duplicidad de evaluaciones. A estos efectos, el correspondiente estudio ambiental estratégico del plan deberá elaborarse a partir de la evaluación ya realizada y de las decisiones tomadas en la evaluación del</w:t>
      </w:r>
      <w:r>
        <w:rPr>
          <w:i/>
        </w:rPr>
        <w:t xml:space="preserve"> instrumento superior, sin perjuicio además de la utilización de la información pertinente disponible, que, estando actualizada y siendo completa en lo relativo a los efectos medioambientales del nuevo plan o programa, se hubiera aprobado en otras fases de</w:t>
      </w:r>
      <w:r>
        <w:rPr>
          <w:i/>
        </w:rPr>
        <w:t xml:space="preserve">l proceso de decisión.  </w:t>
      </w:r>
    </w:p>
    <w:p w:rsidR="00DA121A" w:rsidRDefault="00904DD6">
      <w:pPr>
        <w:numPr>
          <w:ilvl w:val="1"/>
          <w:numId w:val="42"/>
        </w:numPr>
        <w:spacing w:after="11" w:line="248" w:lineRule="auto"/>
        <w:ind w:left="1672" w:right="145" w:hanging="256"/>
      </w:pPr>
      <w:r>
        <w:rPr>
          <w:i/>
        </w:rPr>
        <w:t xml:space="preserve">Cuando exista una concurrencia de planes o programas promovidos por diferentes </w:t>
      </w:r>
    </w:p>
    <w:p w:rsidR="00DA121A" w:rsidRDefault="00904DD6">
      <w:pPr>
        <w:spacing w:after="111" w:line="248" w:lineRule="auto"/>
        <w:ind w:left="288" w:right="145"/>
      </w:pPr>
      <w:r>
        <w:rPr>
          <w:i/>
        </w:rPr>
        <w:t>administraciones públicas canarias, estas deberán adoptar las medidas necesarias para evitar que se produzca una duplicidad de evaluaciones. A estos ef</w:t>
      </w:r>
      <w:r>
        <w:rPr>
          <w:i/>
        </w:rPr>
        <w:t>ectos, no deberán someterse a un nuevo proceso de evaluación, como consecuencia de la elaboración y aprobación de un plan de ordenación urbanística o territorial, los aspectos relativos a infraestructuras de titularidad autonómica cuya planificación sector</w:t>
      </w:r>
      <w:r>
        <w:rPr>
          <w:i/>
        </w:rPr>
        <w:t>ial haya sido sometida previamente a la correspondiente evaluación ambiental conforme a lo dispuesto en esta ley. En tales casos, la administración pública competente para la aprobación del plan de ordenación urbanística o territorial podrá exigir que se t</w:t>
      </w:r>
      <w:r>
        <w:rPr>
          <w:i/>
        </w:rPr>
        <w:t xml:space="preserve">engan en cuenta los aspectos no específicamente considerados en la primera evaluación ambiental. </w:t>
      </w:r>
    </w:p>
    <w:p w:rsidR="00DA121A" w:rsidRDefault="00904DD6">
      <w:pPr>
        <w:numPr>
          <w:ilvl w:val="1"/>
          <w:numId w:val="42"/>
        </w:numPr>
        <w:spacing w:after="11" w:line="248" w:lineRule="auto"/>
        <w:ind w:left="1672" w:right="145" w:hanging="256"/>
      </w:pPr>
      <w:r>
        <w:rPr>
          <w:i/>
        </w:rPr>
        <w:t xml:space="preserve">La evaluación ambiental estratégica posterior de cualquier plan o programa, aunque </w:t>
      </w:r>
    </w:p>
    <w:p w:rsidR="00DA121A" w:rsidRDefault="00904DD6">
      <w:pPr>
        <w:spacing w:after="111" w:line="248" w:lineRule="auto"/>
        <w:ind w:left="288" w:right="145"/>
      </w:pPr>
      <w:r>
        <w:rPr>
          <w:i/>
        </w:rPr>
        <w:t xml:space="preserve">sea de rango superior, deberá acomodarse a la declaración ambiental estratégica o, en su caso, al informe ambiental estratégico recaído con anterioridad. En el supuesto de que el resultado de las evaluaciones fuera contradictorio, deberán justificarse las </w:t>
      </w:r>
      <w:r>
        <w:rPr>
          <w:i/>
        </w:rPr>
        <w:t xml:space="preserve">razones y motivaciones de la nueva evaluación, así como la corrección de la anterior. </w:t>
      </w:r>
    </w:p>
    <w:p w:rsidR="00DA121A" w:rsidRDefault="00904DD6">
      <w:pPr>
        <w:numPr>
          <w:ilvl w:val="1"/>
          <w:numId w:val="42"/>
        </w:numPr>
        <w:spacing w:after="11" w:line="248" w:lineRule="auto"/>
        <w:ind w:left="1672" w:right="145" w:hanging="256"/>
      </w:pPr>
      <w:r>
        <w:rPr>
          <w:i/>
        </w:rPr>
        <w:t xml:space="preserve">A los efectos previstos en el presente artículo, tendrá la consideración de:  </w:t>
      </w:r>
    </w:p>
    <w:p w:rsidR="00DA121A" w:rsidRDefault="00904DD6">
      <w:pPr>
        <w:numPr>
          <w:ilvl w:val="0"/>
          <w:numId w:val="43"/>
        </w:numPr>
        <w:spacing w:after="111" w:line="248" w:lineRule="auto"/>
        <w:ind w:right="145"/>
      </w:pPr>
      <w:r>
        <w:rPr>
          <w:i/>
        </w:rPr>
        <w:t>Promotor: La persona física o jurídica, pública o privada, que tenga atribuida la iniciati</w:t>
      </w:r>
      <w:r>
        <w:rPr>
          <w:i/>
        </w:rPr>
        <w:t xml:space="preserve">va para la elaboración del correspondiente instrumento de ordenación.  </w:t>
      </w:r>
    </w:p>
    <w:p w:rsidR="00DA121A" w:rsidRDefault="00904DD6">
      <w:pPr>
        <w:numPr>
          <w:ilvl w:val="0"/>
          <w:numId w:val="43"/>
        </w:numPr>
        <w:spacing w:after="114" w:line="248" w:lineRule="auto"/>
        <w:ind w:right="145"/>
      </w:pPr>
      <w:r>
        <w:rPr>
          <w:i/>
        </w:rPr>
        <w:t xml:space="preserve">Órgano sustantivo: El órgano competente para su aprobación. Cuando el órgano sustantivo promueva el instrumento de ordenación, realizará las actuaciones atribuidas al promotor.  </w:t>
      </w:r>
    </w:p>
    <w:p w:rsidR="00DA121A" w:rsidRDefault="00904DD6">
      <w:pPr>
        <w:numPr>
          <w:ilvl w:val="0"/>
          <w:numId w:val="43"/>
        </w:numPr>
        <w:spacing w:after="114" w:line="248" w:lineRule="auto"/>
        <w:ind w:right="145"/>
      </w:pPr>
      <w:r>
        <w:rPr>
          <w:i/>
        </w:rPr>
        <w:t>Órgano ambiental: en el caso de los instrumentos autonómicos, lo será el órgano que designe el Gobierno de Canarias; en cuanto a los instrumentos insulares, lo será el órgano que designe el cabildo o, previa delegación, el órgano ambiental autonómico; y en</w:t>
      </w:r>
      <w:r>
        <w:rPr>
          <w:i/>
        </w:rPr>
        <w:t xml:space="preserve"> el caso de los instrumentos municipales, lo será el que pueda designar el ayuntamiento, si cuenta con los recursos suficientes, pudiendo delegar esta competencia en el órgano ambiental autonómico o el órgano ambiental insular de la isla a la que pertenezc</w:t>
      </w:r>
      <w:r>
        <w:rPr>
          <w:i/>
        </w:rPr>
        <w:t xml:space="preserve">a, o bien constituir un órgano ambiental en mancomunidad con otros municipios.  </w:t>
      </w:r>
    </w:p>
    <w:p w:rsidR="00DA121A" w:rsidRDefault="00904DD6">
      <w:pPr>
        <w:spacing w:after="111" w:line="248" w:lineRule="auto"/>
        <w:ind w:left="288" w:right="145"/>
      </w:pPr>
      <w:r>
        <w:rPr>
          <w:i/>
        </w:rPr>
        <w:t xml:space="preserve">Asimismo, podrá encomendarse el ejercicio de los aspectos materiales o técnicos de la competencia de los órganos ambientales, en caso de estar constituidos, mediante convenio </w:t>
      </w:r>
      <w:r>
        <w:rPr>
          <w:i/>
        </w:rPr>
        <w:t xml:space="preserve">de encomienda de gestión en los términos de la legislación básica sobre régimen jurídico del sector público.  </w:t>
      </w:r>
    </w:p>
    <w:p w:rsidR="00DA121A" w:rsidRDefault="00904DD6">
      <w:pPr>
        <w:spacing w:after="114" w:line="248" w:lineRule="auto"/>
        <w:ind w:left="288" w:right="145"/>
      </w:pPr>
      <w:r>
        <w:rPr>
          <w:i/>
        </w:rPr>
        <w:t>El acuerdo de delegación o encomienda o de aceptación de las mismas o de aprobación del convenio de encomienda deberá adoptarse por el pleno de l</w:t>
      </w:r>
      <w:r>
        <w:rPr>
          <w:i/>
        </w:rPr>
        <w:t xml:space="preserve">a entidad o por el Gobierno de Canarias, según proceda.  </w:t>
      </w:r>
    </w:p>
    <w:p w:rsidR="00DA121A" w:rsidRDefault="00904DD6">
      <w:pPr>
        <w:spacing w:after="111" w:line="248" w:lineRule="auto"/>
        <w:ind w:left="288" w:right="145"/>
      </w:pPr>
      <w:r>
        <w:rPr>
          <w:i/>
        </w:rPr>
        <w:t>No obstante, en los municipios de menos de 100.000 habitantes de derecho, la evaluación ambiental de la ordenación urbanística estructural de los planes generales de ordenación, así como en los caso</w:t>
      </w:r>
      <w:r>
        <w:rPr>
          <w:i/>
        </w:rPr>
        <w:t xml:space="preserve">s de modificación sustancial de los mismos, corresponderá al órgano ambiental autonómico.  </w:t>
      </w:r>
    </w:p>
    <w:p w:rsidR="00DA121A" w:rsidRDefault="00904DD6">
      <w:pPr>
        <w:spacing w:after="114" w:line="248" w:lineRule="auto"/>
        <w:ind w:left="288" w:right="145"/>
      </w:pPr>
      <w:r>
        <w:rPr>
          <w:i/>
        </w:rPr>
        <w:t>A estos efectos, se entiende por ordenación urbanística estructural la delimitada por el artículo 136 de esta ley, y por modificación sustancial los supuestos previ</w:t>
      </w:r>
      <w:r>
        <w:rPr>
          <w:i/>
        </w:rPr>
        <w:t xml:space="preserve">stos en el artículo 163 de esta ley. Asimismo, podrá encomendarse el ejercicio de los aspectos materiales o técnicos de la competencia de los órganos ambientales, en caso de estar constituidos, mediante convenio.  </w:t>
      </w:r>
    </w:p>
    <w:p w:rsidR="00DA121A" w:rsidRDefault="00904DD6">
      <w:pPr>
        <w:spacing w:after="111" w:line="248" w:lineRule="auto"/>
        <w:ind w:left="288" w:right="145"/>
      </w:pPr>
      <w:r>
        <w:rPr>
          <w:i/>
        </w:rPr>
        <w:t>El acuerdo de delegación deberá adoptarse</w:t>
      </w:r>
      <w:r>
        <w:rPr>
          <w:i/>
        </w:rPr>
        <w:t xml:space="preserve"> por el Pleno de la entidad local, y el acuerdo de aceptación de la delegación o de aprobación del convenio de encomienda, por el Pleno del respectivo cabildo insular o por el Gobierno de Canarias, según proceda. No obstante, en los municipios de menos de </w:t>
      </w:r>
      <w:r>
        <w:rPr>
          <w:i/>
        </w:rPr>
        <w:t xml:space="preserve">100.000 habitantes de derecho, la evaluación ambiental de la ordenación urbanística estructural de los planes generales de ordenación, así como en los casos de modificación sustancial de los mismos, corresponderá al órgano ambiental autonómico.  </w:t>
      </w:r>
    </w:p>
    <w:p w:rsidR="00DA121A" w:rsidRDefault="00904DD6">
      <w:pPr>
        <w:spacing w:after="111" w:line="248" w:lineRule="auto"/>
        <w:ind w:left="288" w:right="145"/>
      </w:pPr>
      <w:r>
        <w:rPr>
          <w:i/>
        </w:rPr>
        <w:t>A estos e</w:t>
      </w:r>
      <w:r>
        <w:rPr>
          <w:i/>
        </w:rPr>
        <w:t xml:space="preserve">fectos, se entiende por ordenación urbanística estructural la delimitada por el artículo 136 de esta ley, y por modificación sustancial los supuestos previstos en el artículo 163 de esta ley.  </w:t>
      </w:r>
    </w:p>
    <w:p w:rsidR="00DA121A" w:rsidRDefault="00904DD6">
      <w:pPr>
        <w:numPr>
          <w:ilvl w:val="0"/>
          <w:numId w:val="44"/>
        </w:numPr>
        <w:spacing w:after="9" w:line="249" w:lineRule="auto"/>
        <w:ind w:right="146" w:hanging="350"/>
        <w:jc w:val="right"/>
      </w:pPr>
      <w:r>
        <w:rPr>
          <w:i/>
        </w:rPr>
        <w:t>De acuerdo con la normativa europea y estatal, el órgano ambie</w:t>
      </w:r>
      <w:r>
        <w:rPr>
          <w:i/>
        </w:rPr>
        <w:t xml:space="preserve">ntal debe contar con </w:t>
      </w:r>
    </w:p>
    <w:p w:rsidR="00DA121A" w:rsidRDefault="00904DD6">
      <w:pPr>
        <w:spacing w:after="108" w:line="248" w:lineRule="auto"/>
        <w:ind w:left="288" w:right="145"/>
      </w:pPr>
      <w:r>
        <w:rPr>
          <w:i/>
        </w:rPr>
        <w:t xml:space="preserve">separación funcional y orgánica respecto del órgano sustantivo. </w:t>
      </w:r>
    </w:p>
    <w:p w:rsidR="00DA121A" w:rsidRDefault="00904DD6">
      <w:pPr>
        <w:numPr>
          <w:ilvl w:val="0"/>
          <w:numId w:val="44"/>
        </w:numPr>
        <w:spacing w:after="9" w:line="249" w:lineRule="auto"/>
        <w:ind w:right="146" w:hanging="350"/>
        <w:jc w:val="right"/>
      </w:pPr>
      <w:r>
        <w:rPr>
          <w:i/>
        </w:rPr>
        <w:t xml:space="preserve">La declaración ambiental estratégica tiene carácter de informe preceptivo y </w:t>
      </w:r>
    </w:p>
    <w:p w:rsidR="00DA121A" w:rsidRDefault="00904DD6">
      <w:pPr>
        <w:spacing w:after="112" w:line="248" w:lineRule="auto"/>
        <w:ind w:left="288" w:right="145"/>
      </w:pPr>
      <w:r>
        <w:rPr>
          <w:i/>
        </w:rPr>
        <w:t>determinante, por lo que su no emisión en plazo podrá interrumpir el plazo de los trámites s</w:t>
      </w:r>
      <w:r>
        <w:rPr>
          <w:i/>
        </w:rPr>
        <w:t xml:space="preserve">ucesivos, de conformidad con lo previsto en la legislación de procedimiento administrativo común. La falta de emisión de la declaración ambiental estratégica en ningún caso podrá entenderse que equivale a una evaluación ambiental favorable.  </w:t>
      </w:r>
    </w:p>
    <w:p w:rsidR="00DA121A" w:rsidRDefault="00904DD6">
      <w:pPr>
        <w:numPr>
          <w:ilvl w:val="0"/>
          <w:numId w:val="44"/>
        </w:numPr>
        <w:spacing w:after="9" w:line="249" w:lineRule="auto"/>
        <w:ind w:right="146" w:hanging="350"/>
        <w:jc w:val="right"/>
      </w:pPr>
      <w:r>
        <w:rPr>
          <w:i/>
        </w:rPr>
        <w:t>El Gobierno e</w:t>
      </w:r>
      <w:r>
        <w:rPr>
          <w:i/>
        </w:rPr>
        <w:t xml:space="preserve">stablecerá reglamentariamente las normas, los criterios y la </w:t>
      </w:r>
    </w:p>
    <w:p w:rsidR="00DA121A" w:rsidRDefault="00904DD6">
      <w:pPr>
        <w:spacing w:after="114" w:line="248" w:lineRule="auto"/>
        <w:ind w:left="288" w:right="145"/>
      </w:pPr>
      <w:r>
        <w:rPr>
          <w:i/>
        </w:rPr>
        <w:t>metodología a utilizar por el órgano ambiental en el ejercicio de su función, asegurando la unidad y coherencia de la evaluación ambiental, de acuerdo con criterios públicos y conocidos de antem</w:t>
      </w:r>
      <w:r>
        <w:rPr>
          <w:i/>
        </w:rPr>
        <w:t>ano, lo más objetivos y reglados que permita el estado del conocimiento científico y técnico y de los métodos de evaluación existentes. 10. En lo no previsto en la presente ley se estará a lo dispuesto en la legislación estatal básica en materia de evaluac</w:t>
      </w:r>
      <w:r>
        <w:rPr>
          <w:i/>
        </w:rPr>
        <w:t xml:space="preserve">ión ambiental. </w:t>
      </w:r>
    </w:p>
    <w:p w:rsidR="00DA121A" w:rsidRDefault="00904DD6">
      <w:pPr>
        <w:ind w:left="1426" w:right="146"/>
      </w:pPr>
      <w:r>
        <w:t xml:space="preserve">Es de aplicación el artículo Artículo 114  del DECRETO 181/2018, de 26 de diciembre, </w:t>
      </w:r>
    </w:p>
    <w:p w:rsidR="00DA121A" w:rsidRDefault="00904DD6">
      <w:pPr>
        <w:spacing w:after="111"/>
        <w:ind w:left="288" w:right="146"/>
      </w:pPr>
      <w:r>
        <w:t xml:space="preserve">por el que se aprueba el Reglamento de Planeamiento de Canarias en cuanto a l Solicitud de inicio: </w:t>
      </w:r>
    </w:p>
    <w:p w:rsidR="00DA121A" w:rsidRDefault="00904DD6">
      <w:pPr>
        <w:ind w:left="1426" w:right="146"/>
      </w:pPr>
      <w:r>
        <w:t>1. El procedimiento de evaluación ambiental simplifica</w:t>
      </w:r>
      <w:r>
        <w:t xml:space="preserve">da comienza con la solicitud de </w:t>
      </w:r>
    </w:p>
    <w:p w:rsidR="00DA121A" w:rsidRDefault="00904DD6">
      <w:pPr>
        <w:spacing w:after="114"/>
        <w:ind w:left="288" w:right="146"/>
      </w:pPr>
      <w:r>
        <w:t>inicio de la evaluación. El promotor presentará ante el órgano sustantivo, junto a la documentación exigida por la normativa sectorial, una solicitud de inicio de la Evaluación Ambiental Simplificada, el Documento Ambiental Estratégico, con el contenido ex</w:t>
      </w:r>
      <w:r>
        <w:t xml:space="preserve">igido por la legislación básica, y el Borrador del Plan. </w:t>
      </w:r>
    </w:p>
    <w:p w:rsidR="00DA121A" w:rsidRDefault="00904DD6">
      <w:pPr>
        <w:spacing w:after="106"/>
        <w:ind w:left="1426" w:right="146"/>
      </w:pPr>
      <w:r>
        <w:t xml:space="preserve">Ley 21/2013, de 9 de diciembre, de evaluación ambiental. </w:t>
      </w:r>
    </w:p>
    <w:p w:rsidR="00DA121A" w:rsidRDefault="00904DD6">
      <w:pPr>
        <w:spacing w:after="100" w:line="259" w:lineRule="auto"/>
        <w:ind w:left="1416" w:firstLine="0"/>
        <w:jc w:val="left"/>
      </w:pPr>
      <w:r>
        <w:rPr>
          <w:b/>
        </w:rPr>
        <w:t xml:space="preserve"> </w:t>
      </w:r>
    </w:p>
    <w:p w:rsidR="00DA121A" w:rsidRDefault="00904DD6">
      <w:pPr>
        <w:spacing w:after="4"/>
        <w:ind w:left="1426" w:right="144"/>
      </w:pPr>
      <w:r>
        <w:rPr>
          <w:b/>
        </w:rPr>
        <w:t xml:space="preserve">Segundo. - Es de aplicación el acuerdo del Pleno de 24 de febrero de 2022 </w:t>
      </w:r>
    </w:p>
    <w:p w:rsidR="00DA121A" w:rsidRDefault="00904DD6">
      <w:pPr>
        <w:spacing w:after="116"/>
        <w:ind w:left="279" w:right="144"/>
      </w:pPr>
      <w:r>
        <w:rPr>
          <w:b/>
        </w:rPr>
        <w:t xml:space="preserve">debidamente notificado a la Consejería de Transición Ecológica </w:t>
      </w:r>
      <w:r>
        <w:rPr>
          <w:b/>
        </w:rPr>
        <w:t xml:space="preserve">del Gobierno de Canarias en el que expresamente se dispuso: </w:t>
      </w:r>
    </w:p>
    <w:p w:rsidR="00DA121A" w:rsidRDefault="00904DD6">
      <w:pPr>
        <w:spacing w:after="11" w:line="248" w:lineRule="auto"/>
        <w:ind w:left="1426" w:right="145"/>
      </w:pPr>
      <w:r>
        <w:rPr>
          <w:i/>
        </w:rPr>
        <w:t xml:space="preserve">Primero. - Delegar en el órgano ambiental de la Comunidad Autónoma la evaluación </w:t>
      </w:r>
    </w:p>
    <w:p w:rsidR="00DA121A" w:rsidRDefault="00904DD6">
      <w:pPr>
        <w:spacing w:after="111" w:line="248" w:lineRule="auto"/>
        <w:ind w:left="288" w:right="145"/>
      </w:pPr>
      <w:r>
        <w:rPr>
          <w:i/>
        </w:rPr>
        <w:t>ambiental estratégica, ordinaria o simplificada, de los instrumentos de ordenación urbanística de competencia mun</w:t>
      </w:r>
      <w:r>
        <w:rPr>
          <w:i/>
        </w:rPr>
        <w:t xml:space="preserve">icipal así como sus modificaciones.  </w:t>
      </w:r>
    </w:p>
    <w:p w:rsidR="00DA121A" w:rsidRDefault="00904DD6">
      <w:pPr>
        <w:spacing w:after="11" w:line="248" w:lineRule="auto"/>
        <w:ind w:left="1426" w:right="145"/>
      </w:pPr>
      <w:r>
        <w:rPr>
          <w:i/>
        </w:rPr>
        <w:t xml:space="preserve">Segundo. - Delegar en el órgano ambiental de la Comunidad Autónoma la evaluación </w:t>
      </w:r>
    </w:p>
    <w:p w:rsidR="00DA121A" w:rsidRDefault="00904DD6">
      <w:pPr>
        <w:spacing w:after="111" w:line="248" w:lineRule="auto"/>
        <w:ind w:left="288" w:right="145"/>
      </w:pPr>
      <w:r>
        <w:rPr>
          <w:i/>
        </w:rPr>
        <w:t xml:space="preserve">y declaración de impacto ambiental de proyectos que deba tramitar y autorizar el Ayuntamiento. </w:t>
      </w:r>
    </w:p>
    <w:p w:rsidR="00DA121A" w:rsidRDefault="00904DD6">
      <w:pPr>
        <w:spacing w:after="95" w:line="259" w:lineRule="auto"/>
        <w:ind w:left="1416" w:firstLine="0"/>
        <w:jc w:val="left"/>
      </w:pPr>
      <w:r>
        <w:rPr>
          <w:b/>
          <w:i/>
        </w:rPr>
        <w:t xml:space="preserve"> </w:t>
      </w:r>
    </w:p>
    <w:p w:rsidR="00DA121A" w:rsidRDefault="00904DD6">
      <w:pPr>
        <w:spacing w:after="98" w:line="262" w:lineRule="auto"/>
        <w:ind w:left="1228" w:right="1437"/>
        <w:jc w:val="center"/>
      </w:pPr>
      <w:r>
        <w:rPr>
          <w:b/>
        </w:rPr>
        <w:t xml:space="preserve">Propuesta de Acuerdo: </w:t>
      </w:r>
    </w:p>
    <w:p w:rsidR="00DA121A" w:rsidRDefault="00904DD6">
      <w:pPr>
        <w:ind w:left="288" w:right="146"/>
      </w:pPr>
      <w:r>
        <w:rPr>
          <w:b/>
        </w:rPr>
        <w:t>Primero</w:t>
      </w:r>
      <w:r>
        <w:t>. - Toma</w:t>
      </w:r>
      <w:r>
        <w:t xml:space="preserve">r conocimiento del procedimiento de evaluación ambiental estratégica para la aprobación de la </w:t>
      </w:r>
      <w:r>
        <w:rPr>
          <w:b/>
        </w:rPr>
        <w:t>Modificación Menor de iniciativa pública del Plan General de Ordenación de Candelaria en distintos Ámbitos del Municipio, y</w:t>
      </w:r>
      <w:r>
        <w:t xml:space="preserve"> se adjunta un ejemplar en soporte digi</w:t>
      </w:r>
      <w:r>
        <w:t>tal del documento técnico, así como del documento ambiental estratégico.</w:t>
      </w:r>
      <w:r>
        <w:rPr>
          <w:rFonts w:ascii="Times New Roman" w:eastAsia="Times New Roman" w:hAnsi="Times New Roman" w:cs="Times New Roman"/>
          <w:sz w:val="24"/>
        </w:rPr>
        <w:t xml:space="preserve"> </w:t>
      </w:r>
    </w:p>
    <w:p w:rsidR="00DA121A" w:rsidRDefault="00904DD6">
      <w:pPr>
        <w:spacing w:after="17" w:line="259" w:lineRule="auto"/>
        <w:ind w:left="1416" w:firstLine="0"/>
        <w:jc w:val="left"/>
      </w:pPr>
      <w:r>
        <w:t xml:space="preserve"> </w:t>
      </w:r>
    </w:p>
    <w:p w:rsidR="00DA121A" w:rsidRDefault="00904DD6">
      <w:pPr>
        <w:spacing w:after="31"/>
        <w:ind w:left="1426" w:right="146"/>
      </w:pPr>
      <w:r>
        <w:t xml:space="preserve">Se toma conocimiento de los siguientes documentos: </w:t>
      </w:r>
    </w:p>
    <w:p w:rsidR="00DA121A" w:rsidRDefault="00904DD6">
      <w:pPr>
        <w:numPr>
          <w:ilvl w:val="0"/>
          <w:numId w:val="45"/>
        </w:numPr>
        <w:spacing w:after="42"/>
        <w:ind w:right="146" w:hanging="360"/>
      </w:pPr>
      <w:r>
        <w:t xml:space="preserve">Borrador del Plan para la Modificación Menor del Plan General de Ordenación de Candelaria en distintos ámbitos del municipio </w:t>
      </w:r>
    </w:p>
    <w:p w:rsidR="00DA121A" w:rsidRDefault="00904DD6">
      <w:pPr>
        <w:numPr>
          <w:ilvl w:val="0"/>
          <w:numId w:val="45"/>
        </w:numPr>
        <w:spacing w:after="46"/>
        <w:ind w:right="146" w:hanging="360"/>
      </w:pPr>
      <w:r>
        <w:t xml:space="preserve">Estudio Ambiental Estratégico </w:t>
      </w:r>
    </w:p>
    <w:p w:rsidR="00DA121A" w:rsidRDefault="00904DD6">
      <w:pPr>
        <w:spacing w:after="16" w:line="259" w:lineRule="auto"/>
        <w:ind w:left="1416" w:firstLine="0"/>
        <w:jc w:val="left"/>
      </w:pPr>
      <w:r>
        <w:t xml:space="preserve"> </w:t>
      </w:r>
    </w:p>
    <w:p w:rsidR="00DA121A" w:rsidRDefault="00904DD6">
      <w:pPr>
        <w:spacing w:after="30"/>
        <w:ind w:left="1426" w:right="146"/>
      </w:pPr>
      <w:r>
        <w:rPr>
          <w:b/>
        </w:rPr>
        <w:t>Segundo</w:t>
      </w:r>
      <w:r>
        <w:t xml:space="preserve">.- Someter al procedimiento simplificado de evaluación ambiental estratégica, </w:t>
      </w:r>
    </w:p>
    <w:p w:rsidR="00DA121A" w:rsidRDefault="00904DD6">
      <w:pPr>
        <w:ind w:left="288" w:right="146"/>
      </w:pPr>
      <w:r>
        <w:t>a efectos de que, según lo dispuesto en el artículo 86.2.a) de la Ley 4/2017, de 13 de julio, del Suelo y de los Espacios Naturales Protegidos de Canarias (LSENPC), y de la Ley 21/2013, 165.3 de la LSENPC y 106.3 del RPC, el órgano ambiental resuelva media</w:t>
      </w:r>
      <w:r>
        <w:t>nte la emisión del informe ambiental estratégico que la modificación no tiene efectos significativos sobre el medio ambiente, o, en su caso, que procede someter la modificación menor a una evaluación ambiental estratégica ordinaria porque pueda tener efect</w:t>
      </w:r>
      <w:r>
        <w:t>os significativos sobre el medio ambiente.</w:t>
      </w:r>
      <w:r>
        <w:rPr>
          <w:rFonts w:ascii="Times New Roman" w:eastAsia="Times New Roman" w:hAnsi="Times New Roman" w:cs="Times New Roman"/>
          <w:sz w:val="24"/>
        </w:rPr>
        <w:t xml:space="preserve"> </w:t>
      </w:r>
    </w:p>
    <w:p w:rsidR="00DA121A" w:rsidRDefault="00904DD6">
      <w:pPr>
        <w:spacing w:after="0" w:line="259" w:lineRule="auto"/>
        <w:ind w:left="1416" w:firstLine="0"/>
        <w:jc w:val="left"/>
      </w:pPr>
      <w:r>
        <w:rPr>
          <w:rFonts w:ascii="Times New Roman" w:eastAsia="Times New Roman" w:hAnsi="Times New Roman" w:cs="Times New Roman"/>
          <w:sz w:val="24"/>
        </w:rPr>
        <w:t xml:space="preserve"> </w:t>
      </w:r>
    </w:p>
    <w:p w:rsidR="00DA121A" w:rsidRDefault="00904DD6">
      <w:pPr>
        <w:spacing w:after="27" w:line="250" w:lineRule="auto"/>
        <w:ind w:left="10" w:right="146"/>
        <w:jc w:val="right"/>
      </w:pPr>
      <w:r>
        <w:rPr>
          <w:b/>
        </w:rPr>
        <w:t>Tercero.</w:t>
      </w:r>
      <w:r>
        <w:t xml:space="preserve"> - Remitir la documentación técnica debidamente autenticada electrónica-</w:t>
      </w:r>
    </w:p>
    <w:p w:rsidR="00DA121A" w:rsidRDefault="00904DD6">
      <w:pPr>
        <w:spacing w:line="298" w:lineRule="auto"/>
        <w:ind w:left="288" w:right="146"/>
      </w:pPr>
      <w:r>
        <w:t>mente y el certificado del acuerdo adoptado a la Consejería de Transición Ecológica, Lucha contra el Cambio Climático y Planifica</w:t>
      </w:r>
      <w:r>
        <w:t>ción Territorial del Gobierno de Canarias.”</w:t>
      </w:r>
      <w:r>
        <w:rPr>
          <w:rFonts w:ascii="Times New Roman" w:eastAsia="Times New Roman" w:hAnsi="Times New Roman" w:cs="Times New Roman"/>
          <w:sz w:val="24"/>
        </w:rPr>
        <w:t xml:space="preserve"> </w:t>
      </w:r>
    </w:p>
    <w:p w:rsidR="00DA121A" w:rsidRDefault="00904DD6">
      <w:pPr>
        <w:spacing w:after="106"/>
        <w:ind w:left="288" w:right="146"/>
      </w:pPr>
      <w:r>
        <w:t xml:space="preserve">Por lo que se eleva a esta propuesta al Pleno del Ayuntamiento, que resolverá como mejor proceda.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DICTAMEN FAVORABLE DE LA COMISIÓN INFORMATIVA DE P.G. URBANÍSTICA Y AMBIENTAL, OBRAS y SERVICIOS PÚBLICOS DE 27 DE MARZO DE 2023.  </w:t>
      </w:r>
    </w:p>
    <w:p w:rsidR="00DA121A" w:rsidRDefault="00904DD6">
      <w:pPr>
        <w:spacing w:after="0" w:line="259" w:lineRule="auto"/>
        <w:ind w:left="284" w:firstLine="0"/>
        <w:jc w:val="left"/>
      </w:pPr>
      <w:r>
        <w:rPr>
          <w:b/>
        </w:rPr>
        <w:t xml:space="preserve"> </w:t>
      </w:r>
    </w:p>
    <w:p w:rsidR="00DA121A" w:rsidRDefault="00904DD6">
      <w:pPr>
        <w:ind w:left="288" w:right="146"/>
      </w:pPr>
      <w:r>
        <w:t xml:space="preserve">Votos a favor: 4. </w:t>
      </w:r>
    </w:p>
    <w:p w:rsidR="00DA121A" w:rsidRDefault="00904DD6">
      <w:pPr>
        <w:spacing w:after="0" w:line="259" w:lineRule="auto"/>
        <w:ind w:left="284" w:firstLine="0"/>
        <w:jc w:val="left"/>
      </w:pPr>
      <w:r>
        <w:t xml:space="preserve"> </w:t>
      </w:r>
    </w:p>
    <w:p w:rsidR="00DA121A" w:rsidRDefault="00904DD6">
      <w:pPr>
        <w:ind w:left="288" w:right="146"/>
      </w:pPr>
      <w:r>
        <w:t xml:space="preserve">Los 4 concejales del Grupo Socialista:  Don Reinaldo José Triviño Blanco, Doña Hilaria Cecilia </w:t>
      </w:r>
    </w:p>
    <w:p w:rsidR="00DA121A" w:rsidRDefault="00904DD6">
      <w:pPr>
        <w:tabs>
          <w:tab w:val="center" w:pos="578"/>
          <w:tab w:val="center" w:pos="2004"/>
          <w:tab w:val="center" w:pos="3404"/>
          <w:tab w:val="center" w:pos="4772"/>
          <w:tab w:val="center" w:pos="6065"/>
          <w:tab w:val="center" w:pos="7290"/>
          <w:tab w:val="center" w:pos="8714"/>
          <w:tab w:val="right" w:pos="10005"/>
        </w:tabs>
        <w:ind w:left="0" w:firstLine="0"/>
        <w:jc w:val="left"/>
      </w:pPr>
      <w:r>
        <w:rPr>
          <w:rFonts w:ascii="Calibri" w:eastAsia="Calibri" w:hAnsi="Calibri" w:cs="Calibri"/>
        </w:rPr>
        <w:tab/>
      </w:r>
      <w:r>
        <w:t>Otaz</w:t>
      </w:r>
      <w:r>
        <w:t xml:space="preserve">o </w:t>
      </w:r>
      <w:r>
        <w:tab/>
        <w:t xml:space="preserve">González, </w:t>
      </w:r>
      <w:r>
        <w:tab/>
        <w:t xml:space="preserve">Doña </w:t>
      </w:r>
      <w:r>
        <w:tab/>
        <w:t xml:space="preserve">Margarita </w:t>
      </w:r>
      <w:r>
        <w:tab/>
        <w:t xml:space="preserve">Eva </w:t>
      </w:r>
      <w:r>
        <w:tab/>
        <w:t xml:space="preserve">Tendero </w:t>
      </w:r>
      <w:r>
        <w:tab/>
        <w:t xml:space="preserve">Barroso </w:t>
      </w:r>
      <w:r>
        <w:tab/>
        <w:t xml:space="preserve">y  </w:t>
      </w:r>
    </w:p>
    <w:p w:rsidR="00DA121A" w:rsidRDefault="00904DD6">
      <w:pPr>
        <w:ind w:left="288" w:right="146"/>
      </w:pPr>
      <w:r>
        <w:t xml:space="preserve">Don Jorge Baute Delgado. </w:t>
      </w:r>
    </w:p>
    <w:p w:rsidR="00DA121A" w:rsidRDefault="00904DD6">
      <w:pPr>
        <w:spacing w:after="0" w:line="259" w:lineRule="auto"/>
        <w:ind w:left="284" w:firstLine="0"/>
        <w:jc w:val="left"/>
      </w:pPr>
      <w:r>
        <w:t xml:space="preserve"> </w:t>
      </w:r>
    </w:p>
    <w:p w:rsidR="00DA121A" w:rsidRDefault="00904DD6">
      <w:pPr>
        <w:ind w:left="288" w:right="146"/>
      </w:pPr>
      <w:r>
        <w:t xml:space="preserve">Votos en contra: 0. </w:t>
      </w:r>
    </w:p>
    <w:p w:rsidR="00DA121A" w:rsidRDefault="00904DD6">
      <w:pPr>
        <w:spacing w:after="0" w:line="259" w:lineRule="auto"/>
        <w:ind w:left="284" w:firstLine="0"/>
        <w:jc w:val="left"/>
      </w:pPr>
      <w:r>
        <w:t xml:space="preserve"> </w:t>
      </w:r>
    </w:p>
    <w:p w:rsidR="00DA121A" w:rsidRDefault="00904DD6">
      <w:pPr>
        <w:ind w:left="288" w:right="146"/>
      </w:pPr>
      <w:r>
        <w:t xml:space="preserve">Abstenciones: 3. </w:t>
      </w:r>
    </w:p>
    <w:p w:rsidR="00DA121A" w:rsidRDefault="00904DD6">
      <w:pPr>
        <w:spacing w:after="0" w:line="259" w:lineRule="auto"/>
        <w:ind w:left="284" w:firstLine="0"/>
        <w:jc w:val="left"/>
      </w:pPr>
      <w:r>
        <w:t xml:space="preserve"> </w:t>
      </w:r>
    </w:p>
    <w:p w:rsidR="00DA121A" w:rsidRDefault="00904DD6">
      <w:pPr>
        <w:ind w:left="288" w:right="146"/>
      </w:pPr>
      <w:r>
        <w:t xml:space="preserve">El concejal del Grupo Popular, Don Jacobo López Fariña. </w:t>
      </w:r>
    </w:p>
    <w:p w:rsidR="00DA121A" w:rsidRDefault="00904DD6">
      <w:pPr>
        <w:spacing w:after="0" w:line="259" w:lineRule="auto"/>
        <w:ind w:left="284" w:firstLine="0"/>
        <w:jc w:val="left"/>
      </w:pPr>
      <w:r>
        <w:t xml:space="preserve"> </w:t>
      </w:r>
    </w:p>
    <w:p w:rsidR="00DA121A" w:rsidRDefault="00904DD6">
      <w:pPr>
        <w:ind w:left="288" w:right="146"/>
      </w:pPr>
      <w:r>
        <w:t xml:space="preserve">La concejal del Grupo Mixto (SSP), Doña Lourdes del Carmen Mondéjar </w:t>
      </w:r>
      <w:r>
        <w:t>Rondón.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La concejal del Grupo Mixto (CC-PNC): Doña Ángela Cruz Perera.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3464"/>
      </w:pPr>
      <w:r>
        <w:rPr>
          <w:b/>
        </w:rPr>
        <w:t xml:space="preserve">JUNTA DE PORTAVOCES DE 27 DE MARZO DE 2023  </w:t>
      </w:r>
      <w:r>
        <w:t xml:space="preserve">Quedó oída.  </w:t>
      </w:r>
    </w:p>
    <w:p w:rsidR="00DA121A" w:rsidRDefault="00904DD6">
      <w:pPr>
        <w:spacing w:after="0" w:line="259" w:lineRule="auto"/>
        <w:ind w:left="284" w:firstLine="0"/>
        <w:jc w:val="left"/>
      </w:pPr>
      <w:r>
        <w:rPr>
          <w:b/>
        </w:rPr>
        <w:t xml:space="preserve"> </w:t>
      </w:r>
    </w:p>
    <w:p w:rsidR="00DA121A" w:rsidRDefault="00904DD6">
      <w:pPr>
        <w:spacing w:after="4"/>
        <w:ind w:left="1002" w:right="144"/>
      </w:pPr>
      <w:r>
        <w:rPr>
          <w:b/>
        </w:rPr>
        <w:t xml:space="preserve">TOMA DE CONOCIMIENTO EN EL PLENO DE  30 DE MARZO DE 2023 </w:t>
      </w:r>
    </w:p>
    <w:p w:rsidR="00DA121A" w:rsidRDefault="00904DD6">
      <w:pPr>
        <w:spacing w:after="0" w:line="259" w:lineRule="auto"/>
        <w:ind w:left="186" w:firstLine="0"/>
        <w:jc w:val="center"/>
      </w:pPr>
      <w:r>
        <w:rPr>
          <w:b/>
        </w:rPr>
        <w:t xml:space="preserve"> </w:t>
      </w:r>
    </w:p>
    <w:p w:rsidR="00DA121A" w:rsidRDefault="00904DD6">
      <w:pPr>
        <w:tabs>
          <w:tab w:val="center" w:pos="284"/>
          <w:tab w:val="center" w:pos="3431"/>
        </w:tabs>
        <w:ind w:left="0" w:firstLine="0"/>
        <w:jc w:val="left"/>
      </w:pPr>
      <w:r>
        <w:rPr>
          <w:rFonts w:ascii="Calibri" w:eastAsia="Calibri" w:hAnsi="Calibri" w:cs="Calibri"/>
        </w:rPr>
        <w:tab/>
      </w:r>
      <w:r>
        <w:t xml:space="preserve"> </w:t>
      </w:r>
      <w:r>
        <w:tab/>
        <w:t xml:space="preserve">Los 18 concejales presentes quedaron enterados: </w:t>
      </w:r>
    </w:p>
    <w:p w:rsidR="00DA121A" w:rsidRDefault="00904DD6">
      <w:pPr>
        <w:ind w:left="288" w:right="146"/>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DA121A" w:rsidRDefault="00904DD6">
      <w:pPr>
        <w:spacing w:after="0" w:line="259" w:lineRule="auto"/>
        <w:ind w:left="284" w:firstLine="0"/>
        <w:jc w:val="left"/>
      </w:pPr>
      <w:r>
        <w:t xml:space="preserve"> </w:t>
      </w:r>
    </w:p>
    <w:p w:rsidR="00DA121A" w:rsidRDefault="00904DD6">
      <w:pPr>
        <w:ind w:left="288" w:right="146"/>
      </w:pPr>
      <w:r>
        <w:t>3 concejales del Grupo Popular: Don Jacobo López Fariña, Doña Raquel Martín Castro y Don David Cr</w:t>
      </w:r>
      <w:r>
        <w:t>ego Cháves.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2 de los concejales del Grupo Mixto (CC-PNC): Doña Ángela Cruz Perera y Don Emilio Jesús Atiénzar Armas.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(Cs), Doña Marta Plasencia Gutiérrez.  </w:t>
      </w:r>
    </w:p>
    <w:p w:rsidR="00DA121A" w:rsidRDefault="00904DD6">
      <w:pPr>
        <w:spacing w:after="0" w:line="259" w:lineRule="auto"/>
        <w:ind w:left="284" w:firstLine="0"/>
        <w:jc w:val="left"/>
      </w:pPr>
      <w:r>
        <w:t xml:space="preserve"> </w:t>
      </w:r>
    </w:p>
    <w:p w:rsidR="00DA121A" w:rsidRDefault="00904DD6">
      <w:pPr>
        <w:ind w:left="288" w:right="146"/>
      </w:pPr>
      <w:r>
        <w:t>1 de la concejal del Grupo Mixto (VxC): Doña Alicia Merced</w:t>
      </w:r>
      <w:r>
        <w:t xml:space="preserve">es Marrero Meneses.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208"/>
        <w:ind w:left="1712" w:right="144"/>
      </w:pPr>
      <w:r>
        <w:rPr>
          <w:b/>
        </w:rPr>
        <w:t xml:space="preserve">            ACUERDO DEL PLENO DE 30 DE MARZO DE 2023.</w:t>
      </w:r>
      <w:r>
        <w:rPr>
          <w:rFonts w:ascii="Times New Roman" w:eastAsia="Times New Roman" w:hAnsi="Times New Roman" w:cs="Times New Roman"/>
          <w:sz w:val="24"/>
        </w:rPr>
        <w:t xml:space="preserve"> </w:t>
      </w:r>
    </w:p>
    <w:p w:rsidR="00DA121A" w:rsidRDefault="00904DD6">
      <w:pPr>
        <w:spacing w:after="4"/>
        <w:ind w:left="269" w:right="144" w:firstLine="708"/>
      </w:pPr>
      <w:r>
        <w:rPr>
          <w:b/>
        </w:rPr>
        <w:t xml:space="preserve">Primero. - </w:t>
      </w:r>
      <w:r>
        <w:rPr>
          <w:b/>
        </w:rPr>
        <w:t xml:space="preserve">Tomar conocimiento del procedimiento de evaluación ambiental estratégica para la aprobación de la Modificación Menor de iniciativa pública del Plan General de Ordenación de Candelaria en distintos Ámbitos del Municipio, y se adjunta un ejemplar en soporte </w:t>
      </w:r>
      <w:r>
        <w:rPr>
          <w:b/>
        </w:rPr>
        <w:t>digital del documento técnico, así como del documento ambiental estratégico.</w:t>
      </w:r>
      <w:r>
        <w:rPr>
          <w:rFonts w:ascii="Times New Roman" w:eastAsia="Times New Roman" w:hAnsi="Times New Roman" w:cs="Times New Roman"/>
          <w:sz w:val="24"/>
        </w:rPr>
        <w:t xml:space="preserve"> </w:t>
      </w:r>
    </w:p>
    <w:p w:rsidR="00DA121A" w:rsidRDefault="00904DD6">
      <w:pPr>
        <w:spacing w:after="16" w:line="259" w:lineRule="auto"/>
        <w:ind w:left="1416" w:firstLine="0"/>
        <w:jc w:val="left"/>
      </w:pPr>
      <w:r>
        <w:rPr>
          <w:b/>
        </w:rPr>
        <w:t xml:space="preserve"> </w:t>
      </w:r>
    </w:p>
    <w:p w:rsidR="00DA121A" w:rsidRDefault="00904DD6">
      <w:pPr>
        <w:spacing w:after="28"/>
        <w:ind w:left="1426" w:right="144"/>
      </w:pPr>
      <w:r>
        <w:rPr>
          <w:b/>
        </w:rPr>
        <w:t xml:space="preserve">Se toma conocimiento de los siguientes documentos: </w:t>
      </w:r>
    </w:p>
    <w:p w:rsidR="00DA121A" w:rsidRDefault="00904DD6">
      <w:pPr>
        <w:numPr>
          <w:ilvl w:val="0"/>
          <w:numId w:val="46"/>
        </w:numPr>
        <w:spacing w:after="42"/>
        <w:ind w:right="144" w:hanging="360"/>
      </w:pPr>
      <w:r>
        <w:rPr>
          <w:b/>
        </w:rPr>
        <w:t>Borrador del Plan para la Modificación Menor del Plan General de Ordenación de Candelaria en distintos ámbitos del municipio</w:t>
      </w:r>
      <w:r>
        <w:rPr>
          <w:b/>
        </w:rPr>
        <w:t xml:space="preserve"> </w:t>
      </w:r>
    </w:p>
    <w:p w:rsidR="00DA121A" w:rsidRDefault="00904DD6">
      <w:pPr>
        <w:numPr>
          <w:ilvl w:val="0"/>
          <w:numId w:val="46"/>
        </w:numPr>
        <w:spacing w:after="46"/>
        <w:ind w:right="144" w:hanging="360"/>
      </w:pPr>
      <w:r>
        <w:rPr>
          <w:b/>
        </w:rPr>
        <w:t xml:space="preserve">Estudio Ambiental Estratégico </w:t>
      </w:r>
    </w:p>
    <w:p w:rsidR="00DA121A" w:rsidRDefault="00904DD6">
      <w:pPr>
        <w:spacing w:after="16" w:line="259" w:lineRule="auto"/>
        <w:ind w:left="1416" w:firstLine="0"/>
        <w:jc w:val="left"/>
      </w:pPr>
      <w:r>
        <w:rPr>
          <w:b/>
        </w:rPr>
        <w:t xml:space="preserve"> </w:t>
      </w:r>
    </w:p>
    <w:p w:rsidR="00DA121A" w:rsidRDefault="00904DD6">
      <w:pPr>
        <w:spacing w:after="26"/>
        <w:ind w:left="269" w:right="144" w:firstLine="360"/>
      </w:pPr>
      <w:r>
        <w:rPr>
          <w:b/>
        </w:rPr>
        <w:t>Segundo.- Someter al procedimiento simplificado de evaluación ambiental estratégica, a efectos de que, según lo dispuesto en el artículo 86.2.a) de la Ley 4/2017, de 13 de julio, del Suelo y de los Espacios Naturales Prot</w:t>
      </w:r>
      <w:r>
        <w:rPr>
          <w:b/>
        </w:rPr>
        <w:t>egidos de Canarias (LSENPC), y de la Ley 21/2013, 165.3 de la LSENPC y 106.3 del RPC, el órgano ambiental resuelva mediante la emisión del informe ambiental estratégico que la modificación no tiene efectos significativos sobre el medio ambiente, o, en su c</w:t>
      </w:r>
      <w:r>
        <w:rPr>
          <w:b/>
        </w:rPr>
        <w:t xml:space="preserve">aso, que procede someter la modificación menor a una evaluación ambiental estratégica ordinaria porque pueda tener efectos significativos sobre el medio ambiente. </w:t>
      </w:r>
    </w:p>
    <w:p w:rsidR="00DA121A" w:rsidRDefault="00904DD6">
      <w:pPr>
        <w:spacing w:after="16" w:line="259" w:lineRule="auto"/>
        <w:ind w:left="1416" w:firstLine="0"/>
        <w:jc w:val="left"/>
      </w:pPr>
      <w:r>
        <w:rPr>
          <w:b/>
        </w:rPr>
        <w:t xml:space="preserve"> </w:t>
      </w:r>
    </w:p>
    <w:p w:rsidR="00DA121A" w:rsidRDefault="00904DD6">
      <w:pPr>
        <w:spacing w:after="27"/>
        <w:ind w:left="269" w:right="144" w:firstLine="360"/>
      </w:pPr>
      <w:r>
        <w:rPr>
          <w:b/>
        </w:rPr>
        <w:t xml:space="preserve">Tercero. - Remitir la documentación técnica debidamente autenticada electrónicamente y el </w:t>
      </w:r>
      <w:r>
        <w:rPr>
          <w:b/>
        </w:rPr>
        <w:t xml:space="preserve">certificado del acuerdo adoptado a la Consejería de Transición Ecológica, Lucha contra el Cambio Climático y Planificación Territorial del Gobierno de Canarias.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90" w:line="250" w:lineRule="auto"/>
        <w:ind w:left="279" w:right="149"/>
      </w:pPr>
      <w:r>
        <w:rPr>
          <w:b/>
          <w:sz w:val="24"/>
        </w:rPr>
        <w:t>8.- Expediente 3101/2023. Propuesta de la Alcaldesa-</w:t>
      </w:r>
      <w:r>
        <w:rPr>
          <w:b/>
          <w:sz w:val="24"/>
        </w:rPr>
        <w:t>Presidenta de fecha 22 de marzo de 2023 de encomendar a la entidad “Gestión y Planeamiento Territorial y Medioambiental, SA (GESPLAN), adscrita a la Consejería de Transición Ecológica, Lucha contra el Cambio Climático y Planificación Territorial del Gobier</w:t>
      </w:r>
      <w:r>
        <w:rPr>
          <w:b/>
          <w:sz w:val="24"/>
        </w:rPr>
        <w:t>no de Canarias, la redacción del proyecto del Plan Especial del Parque Periurbano de Pasacola por importe de 41.153.53 euros.</w:t>
      </w:r>
      <w:r>
        <w:t xml:space="preserve"> </w:t>
      </w:r>
    </w:p>
    <w:p w:rsidR="00DA121A" w:rsidRDefault="00904DD6">
      <w:pPr>
        <w:spacing w:after="79" w:line="259" w:lineRule="auto"/>
        <w:ind w:left="284" w:firstLine="0"/>
        <w:jc w:val="left"/>
      </w:pPr>
      <w:r>
        <w:rPr>
          <w:b/>
          <w:sz w:val="24"/>
        </w:rPr>
        <w:t xml:space="preserve"> </w:t>
      </w:r>
    </w:p>
    <w:p w:rsidR="00DA121A" w:rsidRDefault="00904DD6">
      <w:pPr>
        <w:spacing w:after="128"/>
        <w:ind w:left="279" w:right="144"/>
      </w:pPr>
      <w:r>
        <w:rPr>
          <w:b/>
        </w:rPr>
        <w:t>Consta en el expediente Informe Jurídico emitido por Doña Mª del Pilar Chico Delgado, que desempeña el puesto de Técnico de Adm</w:t>
      </w:r>
      <w:r>
        <w:rPr>
          <w:b/>
        </w:rPr>
        <w:t>inistración General, conformado por D. Octavio Manuel Fernández Hernández, Secretario General, de 22 de marzo de 2023, del siguiente tenor literal:</w:t>
      </w:r>
      <w:r>
        <w:t xml:space="preserve"> </w:t>
      </w:r>
    </w:p>
    <w:p w:rsidR="00DA121A" w:rsidRDefault="00904DD6">
      <w:pPr>
        <w:spacing w:after="232" w:line="259" w:lineRule="auto"/>
        <w:ind w:left="284" w:firstLine="0"/>
        <w:jc w:val="left"/>
      </w:pPr>
      <w:r>
        <w:rPr>
          <w:rFonts w:ascii="Times New Roman" w:eastAsia="Times New Roman" w:hAnsi="Times New Roman" w:cs="Times New Roman"/>
          <w:sz w:val="24"/>
        </w:rPr>
        <w:t xml:space="preserve"> </w:t>
      </w:r>
    </w:p>
    <w:p w:rsidR="00DA121A" w:rsidRDefault="00904DD6">
      <w:pPr>
        <w:spacing w:after="74"/>
        <w:ind w:left="2038" w:right="144"/>
      </w:pPr>
      <w:r>
        <w:rPr>
          <w:rFonts w:ascii="Times New Roman" w:eastAsia="Times New Roman" w:hAnsi="Times New Roman" w:cs="Times New Roman"/>
          <w:b/>
          <w:sz w:val="24"/>
        </w:rPr>
        <w:t xml:space="preserve">  “</w:t>
      </w:r>
      <w:r>
        <w:rPr>
          <w:b/>
        </w:rPr>
        <w:t xml:space="preserve">INFORME JURÍDICO DE SECRETARIO GENERAL                           </w:t>
      </w:r>
      <w:r>
        <w:rPr>
          <w:rFonts w:ascii="Times New Roman" w:eastAsia="Times New Roman" w:hAnsi="Times New Roman" w:cs="Times New Roman"/>
          <w:sz w:val="24"/>
        </w:rPr>
        <w:t xml:space="preserve"> </w:t>
      </w:r>
    </w:p>
    <w:p w:rsidR="00DA121A" w:rsidRDefault="00904DD6">
      <w:pPr>
        <w:spacing w:after="96"/>
        <w:ind w:left="269" w:right="144" w:firstLine="1133"/>
      </w:pPr>
      <w:r>
        <w:rPr>
          <w:b/>
        </w:rPr>
        <w:t>Visto el expediente antedicho relativo a la redacción del Plan Especial del Parque Periurbano de Pasacola y su encargo a la empresa pública de la Comunidad Autónoma de Canarias Gesplan, se emite el siguiente informe jurídico:</w:t>
      </w:r>
      <w:r>
        <w:rPr>
          <w:rFonts w:ascii="Times New Roman" w:eastAsia="Times New Roman" w:hAnsi="Times New Roman" w:cs="Times New Roman"/>
          <w:sz w:val="24"/>
        </w:rPr>
        <w:t xml:space="preserve"> </w:t>
      </w:r>
    </w:p>
    <w:p w:rsidR="00DA121A" w:rsidRDefault="00904DD6">
      <w:pPr>
        <w:spacing w:after="60" w:line="259" w:lineRule="auto"/>
        <w:ind w:left="284" w:firstLine="0"/>
        <w:jc w:val="left"/>
      </w:pPr>
      <w:r>
        <w:t xml:space="preserve"> </w:t>
      </w:r>
      <w:r>
        <w:rPr>
          <w:rFonts w:ascii="Times New Roman" w:eastAsia="Times New Roman" w:hAnsi="Times New Roman" w:cs="Times New Roman"/>
          <w:sz w:val="24"/>
        </w:rPr>
        <w:t xml:space="preserve"> </w:t>
      </w:r>
    </w:p>
    <w:p w:rsidR="00DA121A" w:rsidRDefault="00904DD6">
      <w:pPr>
        <w:pStyle w:val="Ttulo2"/>
        <w:ind w:right="1091"/>
      </w:pPr>
      <w:r>
        <w:t xml:space="preserve">ANTECEDENTES DE HECHO </w:t>
      </w:r>
    </w:p>
    <w:p w:rsidR="00DA121A" w:rsidRDefault="00904DD6">
      <w:pPr>
        <w:spacing w:after="80"/>
        <w:ind w:left="469" w:right="146"/>
      </w:pPr>
      <w:r>
        <w:rPr>
          <w:b/>
        </w:rPr>
        <w:t xml:space="preserve">Primero. - </w:t>
      </w:r>
      <w:r>
        <w:t>Consta en el expediente memoria de la Alcaldía-Presidencia.</w:t>
      </w:r>
      <w:r>
        <w:rPr>
          <w:rFonts w:ascii="Times New Roman" w:eastAsia="Times New Roman" w:hAnsi="Times New Roman" w:cs="Times New Roman"/>
          <w:sz w:val="24"/>
        </w:rPr>
        <w:t xml:space="preserve"> </w:t>
      </w:r>
    </w:p>
    <w:p w:rsidR="00DA121A" w:rsidRDefault="00904DD6">
      <w:pPr>
        <w:spacing w:after="83"/>
        <w:ind w:left="288" w:right="1343"/>
      </w:pPr>
      <w:r>
        <w:rPr>
          <w:b/>
        </w:rPr>
        <w:t xml:space="preserve">   Segundo. - </w:t>
      </w:r>
      <w:r>
        <w:t xml:space="preserve">Consta en el expediente Propuesta económica del Plan Perirurbano </w:t>
      </w:r>
      <w:r>
        <w:rPr>
          <w:rFonts w:ascii="Times New Roman" w:eastAsia="Times New Roman" w:hAnsi="Times New Roman" w:cs="Times New Roman"/>
          <w:sz w:val="24"/>
        </w:rPr>
        <w:t xml:space="preserve"> </w:t>
      </w:r>
      <w:r>
        <w:t>de Pasacola por la empresa Gesplan.</w:t>
      </w:r>
      <w:r>
        <w:rPr>
          <w:rFonts w:ascii="Times New Roman" w:eastAsia="Times New Roman" w:hAnsi="Times New Roman" w:cs="Times New Roman"/>
          <w:sz w:val="24"/>
        </w:rPr>
        <w:t xml:space="preserve"> </w:t>
      </w:r>
    </w:p>
    <w:p w:rsidR="00DA121A" w:rsidRDefault="00904DD6">
      <w:pPr>
        <w:ind w:left="288" w:right="146"/>
      </w:pPr>
      <w:r>
        <w:rPr>
          <w:b/>
        </w:rPr>
        <w:t xml:space="preserve">   Tercero. - </w:t>
      </w:r>
      <w:r>
        <w:t>Consta en el expediente certificado del acuerdo del p</w:t>
      </w:r>
      <w:r>
        <w:t xml:space="preserve">leno de fecha 24 </w:t>
      </w:r>
      <w:r>
        <w:rPr>
          <w:rFonts w:ascii="Times New Roman" w:eastAsia="Times New Roman" w:hAnsi="Times New Roman" w:cs="Times New Roman"/>
          <w:sz w:val="24"/>
        </w:rPr>
        <w:t xml:space="preserve"> </w:t>
      </w:r>
      <w:r>
        <w:t>de junio de 2021 en el que en su parte dispositiva dispone en su punto primero:</w:t>
      </w:r>
      <w:r>
        <w:rPr>
          <w:rFonts w:ascii="Times New Roman" w:eastAsia="Times New Roman" w:hAnsi="Times New Roman" w:cs="Times New Roman"/>
          <w:sz w:val="24"/>
        </w:rPr>
        <w:t xml:space="preserve"> </w:t>
      </w:r>
      <w:r>
        <w:t>1º.- Otorgar la conformidad expresa de esta Corporación a la declaración de la  entidad “Gestión y Planeamiento Territorial y Medioambiental, SA (GESPLAN), ad</w:t>
      </w:r>
      <w:r>
        <w:t xml:space="preserve">scrita a la Consejería de Transición Ecológica, Lucha contra el Cambio Climático y Planificación Territorial del Gobierno de Canarias, como medio personificado del mismo, a los efectos dispuestos en el artículo </w:t>
      </w:r>
    </w:p>
    <w:p w:rsidR="00DA121A" w:rsidRDefault="00904DD6">
      <w:pPr>
        <w:ind w:left="288" w:right="146"/>
      </w:pPr>
      <w:r>
        <w:t>32.2 de la Ley 4/2012, de 25 de junio, de me</w:t>
      </w:r>
      <w:r>
        <w:t xml:space="preserve">didas administrativas y fiscales, en relación con el art. </w:t>
      </w:r>
    </w:p>
    <w:p w:rsidR="00DA121A" w:rsidRDefault="00904DD6">
      <w:pPr>
        <w:spacing w:after="493"/>
        <w:ind w:left="288" w:right="146"/>
      </w:pPr>
      <w:r>
        <w:t xml:space="preserve">32.4 de la LCSP. </w:t>
      </w:r>
    </w:p>
    <w:p w:rsidR="00DA121A" w:rsidRDefault="00904DD6">
      <w:pPr>
        <w:spacing w:after="68"/>
        <w:ind w:left="2562" w:right="144"/>
      </w:pPr>
      <w:r>
        <w:rPr>
          <w:rFonts w:ascii="Times New Roman" w:eastAsia="Times New Roman" w:hAnsi="Times New Roman" w:cs="Times New Roman"/>
          <w:sz w:val="24"/>
        </w:rPr>
        <w:t xml:space="preserve">      </w:t>
      </w:r>
      <w:r>
        <w:rPr>
          <w:b/>
        </w:rPr>
        <w:t>FUNDAMENTOS DE DERECHO</w:t>
      </w:r>
      <w:r>
        <w:rPr>
          <w:rFonts w:ascii="Times New Roman" w:eastAsia="Times New Roman" w:hAnsi="Times New Roman" w:cs="Times New Roman"/>
          <w:sz w:val="24"/>
        </w:rPr>
        <w:t xml:space="preserve"> </w:t>
      </w:r>
    </w:p>
    <w:p w:rsidR="00DA121A" w:rsidRDefault="00904DD6">
      <w:pPr>
        <w:spacing w:after="13" w:line="250" w:lineRule="auto"/>
        <w:ind w:left="10" w:right="144"/>
        <w:jc w:val="right"/>
      </w:pPr>
      <w:r>
        <w:rPr>
          <w:b/>
        </w:rPr>
        <w:t xml:space="preserve">Primero. -  Es de aplicación el artículo 32 de la Ley de Contratos del Sector Público </w:t>
      </w:r>
    </w:p>
    <w:p w:rsidR="00DA121A" w:rsidRDefault="00904DD6">
      <w:pPr>
        <w:spacing w:after="445"/>
        <w:ind w:left="279" w:right="144"/>
      </w:pPr>
      <w:r>
        <w:rPr>
          <w:b/>
        </w:rPr>
        <w:t>que expresamente dispone:</w:t>
      </w:r>
      <w:r>
        <w:rPr>
          <w:rFonts w:ascii="Times New Roman" w:eastAsia="Times New Roman" w:hAnsi="Times New Roman" w:cs="Times New Roman"/>
          <w:sz w:val="24"/>
        </w:rPr>
        <w:t xml:space="preserve"> </w:t>
      </w:r>
    </w:p>
    <w:p w:rsidR="00DA121A" w:rsidRDefault="00904DD6">
      <w:pPr>
        <w:spacing w:after="298"/>
        <w:ind w:left="279" w:right="144"/>
      </w:pPr>
      <w:r>
        <w:rPr>
          <w:b/>
        </w:rPr>
        <w:t>Artículo 32. Encargos de los poderes adjudicadores a medios propios personificados.</w:t>
      </w:r>
      <w:r>
        <w:rPr>
          <w:rFonts w:ascii="Times New Roman" w:eastAsia="Times New Roman" w:hAnsi="Times New Roman" w:cs="Times New Roman"/>
          <w:sz w:val="24"/>
        </w:rPr>
        <w:t xml:space="preserve"> </w:t>
      </w:r>
    </w:p>
    <w:p w:rsidR="00DA121A" w:rsidRDefault="00904DD6">
      <w:pPr>
        <w:numPr>
          <w:ilvl w:val="0"/>
          <w:numId w:val="47"/>
        </w:numPr>
        <w:spacing w:after="355"/>
        <w:ind w:right="146" w:firstLine="350"/>
      </w:pPr>
      <w:r>
        <w:t>Los poderes adjudicadores podrán organizarse ejecutando de manera directa prestaciones propias de los contratos de obras, suministros, servicios, concesión de obras y conc</w:t>
      </w:r>
      <w:r>
        <w:t>esión de servicios, a cambio de una compensación tarifaria, valiéndose de otra persona jurídica distinta a ellos, ya sea de derecho público o de derecho privado, previo encargo a esta, con sujeción a lo dispuesto en este artículo, siempre y cuando la perso</w:t>
      </w:r>
      <w:r>
        <w:t>na jurídica que utilicen merezca la calificación jurídica de medio propio personificado respecto de ellos de conformidad con lo dispuesto en los tres apartados siguientes, y sin perjuicio de los requisitos establecidos para los medios propios del ámbito es</w:t>
      </w:r>
      <w:r>
        <w:t xml:space="preserve">tatal en la Ley 40/2015, de 1 de octubre, de Régimen Jurídico del Sector Público. </w:t>
      </w:r>
    </w:p>
    <w:p w:rsidR="00DA121A" w:rsidRDefault="00904DD6">
      <w:pPr>
        <w:ind w:left="654" w:right="146"/>
      </w:pPr>
      <w:r>
        <w:t xml:space="preserve">El encargo que cumpla dichos requisitos no tendrá la consideración de contrato. </w:t>
      </w:r>
    </w:p>
    <w:p w:rsidR="00DA121A" w:rsidRDefault="00904DD6">
      <w:pPr>
        <w:spacing w:after="0" w:line="259" w:lineRule="auto"/>
        <w:ind w:left="644" w:firstLine="0"/>
        <w:jc w:val="left"/>
      </w:pPr>
      <w:r>
        <w:t xml:space="preserve"> </w:t>
      </w:r>
    </w:p>
    <w:p w:rsidR="00DA121A" w:rsidRDefault="00904DD6">
      <w:pPr>
        <w:numPr>
          <w:ilvl w:val="0"/>
          <w:numId w:val="47"/>
        </w:numPr>
        <w:spacing w:after="519"/>
        <w:ind w:right="146" w:firstLine="350"/>
      </w:pPr>
      <w:r>
        <w:t>Tendrán la consideración de medio propio personificado respecto de una única entidad concr</w:t>
      </w:r>
      <w:r>
        <w:t xml:space="preserve">eta del sector público aquellas personas jurídicas, de derecho público o de derecho privado, que cumplan todos y cada uno de los requisitos que se establecen a continuación: </w:t>
      </w:r>
    </w:p>
    <w:p w:rsidR="00DA121A" w:rsidRDefault="00904DD6">
      <w:pPr>
        <w:spacing w:line="250" w:lineRule="auto"/>
        <w:ind w:left="10" w:right="146"/>
        <w:jc w:val="right"/>
      </w:pPr>
      <w:r>
        <w:rPr>
          <w:rFonts w:ascii="Calibri" w:eastAsia="Calibri" w:hAnsi="Calibri" w:cs="Calibri"/>
          <w:i/>
        </w:rPr>
        <w:t>a)</w:t>
      </w:r>
      <w:r>
        <w:rPr>
          <w:i/>
        </w:rPr>
        <w:t xml:space="preserve"> </w:t>
      </w:r>
      <w:r>
        <w:t>Que el poder adjudicador que pueda conferirle encargos ejerza sobre el ente de</w:t>
      </w:r>
      <w:r>
        <w:t xml:space="preserve">stinatario </w:t>
      </w:r>
    </w:p>
    <w:p w:rsidR="00DA121A" w:rsidRDefault="00904DD6">
      <w:pPr>
        <w:spacing w:after="352"/>
        <w:ind w:left="288" w:right="146"/>
      </w:pPr>
      <w:r>
        <w:t>de los mismos un control, directo o indirecto, análogo al que ostentaría sobre sus propios servicios o unidades, de manera que el primero pueda ejercer sobre el segundo una influencia decisiva sobre sus objetivos estratégicos y decisiones signi</w:t>
      </w:r>
      <w:r>
        <w:t xml:space="preserve">ficativas. </w:t>
      </w:r>
    </w:p>
    <w:p w:rsidR="00DA121A" w:rsidRDefault="00904DD6">
      <w:pPr>
        <w:ind w:left="288" w:right="146"/>
      </w:pPr>
      <w:r>
        <w:t>En todo caso se entenderá que el poder adjudicador que puede conferirle encargos ostenta sobre el ente destinatario del mismo un control análogo al que ejerce sobre sus propios servicios o unidades cuando él mismo o bien otro u otros poderes ad</w:t>
      </w:r>
      <w:r>
        <w:t>judicadores o personas jurídicas controlados del mismo modo por el primero puedan conferirle encargos que sean de ejecución obligatoria para el ente destinatario del encargo por así establecerlo los estatutos o el acto de creación, de manera que exista una</w:t>
      </w:r>
      <w:r>
        <w:t xml:space="preserve"> unidad de decisión entre ellos, de acuerdo con instrucciones fijadas unilateralmente por el ente que puede realizar el encargo. </w:t>
      </w:r>
    </w:p>
    <w:p w:rsidR="00DA121A" w:rsidRDefault="00904DD6">
      <w:pPr>
        <w:ind w:left="288" w:right="146"/>
      </w:pPr>
      <w:r>
        <w:t>La compensación se establecerá por referencia a tarifas aprobadas por la entidad pública de la que depende el medio propio per</w:t>
      </w:r>
      <w:r>
        <w:t>sonificado para las actividades objeto de encargo realizadas por el medio propio directamente y, en la forma que reglamentariamente se determine, atendiendo al coste efectivo soportado por el medio propio para las actividades objeto del encargo que se subc</w:t>
      </w:r>
      <w:r>
        <w:t xml:space="preserve">ontraten con empresarios particulares en los casos en que este coste sea inferior al resultante de aplicar las tarifas a las actividades subcontratadas. </w:t>
      </w:r>
    </w:p>
    <w:p w:rsidR="00DA121A" w:rsidRDefault="00904DD6">
      <w:pPr>
        <w:ind w:left="288" w:right="146"/>
      </w:pPr>
      <w:r>
        <w:t>Dichas tarifas se calcularán de manera que representen los costes reales de realización de las unidade</w:t>
      </w:r>
      <w:r>
        <w:t xml:space="preserve">s producidas directamente por el medio propio. </w:t>
      </w:r>
    </w:p>
    <w:p w:rsidR="00DA121A" w:rsidRDefault="00904DD6">
      <w:pPr>
        <w:spacing w:after="351"/>
        <w:ind w:left="278" w:right="146" w:firstLine="350"/>
      </w:pPr>
      <w:r>
        <w:rPr>
          <w:rFonts w:ascii="Calibri" w:eastAsia="Calibri" w:hAnsi="Calibri" w:cs="Calibri"/>
          <w:i/>
        </w:rPr>
        <w:t>b)</w:t>
      </w:r>
      <w:r>
        <w:rPr>
          <w:i/>
        </w:rPr>
        <w:t xml:space="preserve"> </w:t>
      </w:r>
      <w:r>
        <w:t>Que más del 80 por ciento de las actividades del ente destinatario del encargo se lleven a cabo en el ejercicio de los cometidos que le han sido confiados por el poder adjudicador que hace el encargo y que</w:t>
      </w:r>
      <w:r>
        <w:t xml:space="preserve"> lo controla o por otras personas jurídicas controladas del mismo modo por la entidad que hace el encargo. </w:t>
      </w:r>
    </w:p>
    <w:p w:rsidR="00DA121A" w:rsidRDefault="00904DD6">
      <w:pPr>
        <w:ind w:left="288" w:right="146"/>
      </w:pPr>
      <w:r>
        <w:t>A estos efectos, para calcular el 80 por ciento de las actividades del ente destinatario del encargo se tomarán en consideración el promedio del vol</w:t>
      </w:r>
      <w:r>
        <w:t>umen global de negocios, los gastos soportados por los servicios prestados al poder adjudicador en relación con la totalidad de los gastos en que haya incurrido el medio propio por razón de las prestaciones que haya realizado a cualquier entidad, u otro in</w:t>
      </w:r>
      <w:r>
        <w:t xml:space="preserve">dicador alternativo de actividad que sea fiable, y todo ello referido a los tres ejercicios anteriores al de formalización del encargo. </w:t>
      </w:r>
    </w:p>
    <w:p w:rsidR="00DA121A" w:rsidRDefault="00904DD6">
      <w:pPr>
        <w:ind w:left="288" w:right="146"/>
      </w:pPr>
      <w:r>
        <w:t xml:space="preserve">Cuando debido a la fecha de creación o de inicio de actividad del poder adjudicador que hace el encargo, o debido a la </w:t>
      </w:r>
      <w:r>
        <w:t>reorganización de las actividades de este, el volumen global de negocios, u otro indicador alternativo de actividad, de acuerdo con lo establecido en el párrafo anterior, no estuvieran disponibles respecto de los tres ejercicios anteriores a la formalizaci</w:t>
      </w:r>
      <w:r>
        <w:t xml:space="preserve">ón del encargo o hubieran perdido su vigencia, será suficiente con justificar que el cálculo del nivel de actividad se corresponde con la realidad, en especial mediante proyecciones de negocio. </w:t>
      </w:r>
    </w:p>
    <w:p w:rsidR="00DA121A" w:rsidRDefault="00904DD6">
      <w:pPr>
        <w:numPr>
          <w:ilvl w:val="0"/>
          <w:numId w:val="48"/>
        </w:numPr>
        <w:ind w:right="146" w:firstLine="350"/>
      </w:pPr>
      <w:r>
        <w:t xml:space="preserve">Cuando el ente destinatario del encargo sea un ente de personificación jurídico- </w:t>
      </w:r>
    </w:p>
    <w:p w:rsidR="00DA121A" w:rsidRDefault="00904DD6">
      <w:pPr>
        <w:ind w:left="288" w:right="146"/>
      </w:pPr>
      <w:r>
        <w:t xml:space="preserve">privada, además, la totalidad de su capital o patrimonio tendrá que ser de titularidad o aportación pública. </w:t>
      </w:r>
    </w:p>
    <w:p w:rsidR="00DA121A" w:rsidRDefault="00904DD6">
      <w:pPr>
        <w:numPr>
          <w:ilvl w:val="0"/>
          <w:numId w:val="48"/>
        </w:numPr>
        <w:spacing w:after="531"/>
        <w:ind w:right="146" w:firstLine="350"/>
      </w:pPr>
      <w:r>
        <w:t>La condición de medio propio personificado de la entidad destina</w:t>
      </w:r>
      <w:r>
        <w:t xml:space="preserve">taria del encargo respecto del concreto poder adjudicador que hace el encargo deberá reconocerse expresamente en sus estatutos o actos de creación, previo cumplimiento de los siguientes requisitos: </w:t>
      </w:r>
    </w:p>
    <w:p w:rsidR="00DA121A" w:rsidRDefault="00904DD6">
      <w:pPr>
        <w:ind w:left="288" w:right="146"/>
      </w:pPr>
      <w:r>
        <w:t>1.º Conformidad o autorización expresa del poder adjudica</w:t>
      </w:r>
      <w:r>
        <w:t xml:space="preserve">dor respecto del que vaya a ser medio propio. </w:t>
      </w:r>
    </w:p>
    <w:p w:rsidR="00DA121A" w:rsidRDefault="00904DD6">
      <w:pPr>
        <w:spacing w:after="532"/>
        <w:ind w:left="288" w:right="146"/>
      </w:pPr>
      <w:r>
        <w:t>2.º Verificación por la entidad pública de que dependa el ente que vaya a ser medio propio, de que cuenta con medios personales y materiales apropiados para la realización de los encargos de conformidad con su</w:t>
      </w:r>
      <w:r>
        <w:t xml:space="preserve"> objeto social. </w:t>
      </w:r>
    </w:p>
    <w:p w:rsidR="00DA121A" w:rsidRDefault="00904DD6">
      <w:pPr>
        <w:ind w:left="288" w:right="146"/>
      </w:pPr>
      <w:r>
        <w:t>Los estatutos o acto de creación del ente destinatario del encargo deberá determinar: el poder adjudicador respecto del cual tiene esa condición; precisar el régimen jurídico y administrativo de los encargos que se les puedan conferir; y e</w:t>
      </w:r>
      <w:r>
        <w:t xml:space="preserve">stablecer la imposibilidad de que participen en licitaciones públicas convocadas por el poder adjudicador del que sean medio propio personificado, sin perjuicio de que, cuando no concurra ningún licitador, pueda encargárseles la ejecución de la prestación </w:t>
      </w:r>
      <w:r>
        <w:t xml:space="preserve">objeto de las mismas. </w:t>
      </w:r>
    </w:p>
    <w:p w:rsidR="00DA121A" w:rsidRDefault="00904DD6">
      <w:pPr>
        <w:spacing w:after="0" w:line="259" w:lineRule="auto"/>
        <w:ind w:left="269" w:firstLine="0"/>
        <w:jc w:val="left"/>
      </w:pPr>
      <w:r>
        <w:t xml:space="preserve"> </w:t>
      </w:r>
    </w:p>
    <w:p w:rsidR="00DA121A" w:rsidRDefault="00904DD6">
      <w:pPr>
        <w:spacing w:after="0" w:line="259" w:lineRule="auto"/>
        <w:ind w:left="269" w:firstLine="0"/>
        <w:jc w:val="left"/>
      </w:pPr>
      <w:r>
        <w:t xml:space="preserve"> </w:t>
      </w:r>
    </w:p>
    <w:p w:rsidR="00DA121A" w:rsidRDefault="00904DD6">
      <w:pPr>
        <w:ind w:left="288" w:right="146"/>
      </w:pPr>
      <w:r>
        <w:t xml:space="preserve">En todo caso, se presumirá que cumple el requisito establecido en el número 2.º de la presente letra cuando haya obtenido la correspondiente clasificación respecto a los grupos, subgrupos y categorías que ostente. </w:t>
      </w:r>
    </w:p>
    <w:p w:rsidR="00DA121A" w:rsidRDefault="00904DD6">
      <w:pPr>
        <w:spacing w:after="0" w:line="259" w:lineRule="auto"/>
        <w:ind w:left="269" w:firstLine="0"/>
        <w:jc w:val="left"/>
      </w:pPr>
      <w:r>
        <w:t xml:space="preserve"> </w:t>
      </w:r>
    </w:p>
    <w:p w:rsidR="00DA121A" w:rsidRDefault="00904DD6">
      <w:pPr>
        <w:numPr>
          <w:ilvl w:val="0"/>
          <w:numId w:val="49"/>
        </w:numPr>
        <w:spacing w:after="340"/>
        <w:ind w:right="146" w:firstLine="350"/>
      </w:pPr>
      <w:r>
        <w:t>El apartado 2 del presente artículo también se aplicará en los casos en que la persona jurídica controlada, siendo un poder adjudicador, realice un encargo al poder adjudicador que la controla o a otra persona jurídica controlada, directa o indirectamente,</w:t>
      </w:r>
      <w:r>
        <w:t xml:space="preserve"> por el mismo poder adjudicador, siempre que no exista participación directa de capital privado en la persona jurídica a la que se realice el encargo. </w:t>
      </w:r>
    </w:p>
    <w:p w:rsidR="00DA121A" w:rsidRDefault="00904DD6">
      <w:pPr>
        <w:numPr>
          <w:ilvl w:val="0"/>
          <w:numId w:val="49"/>
        </w:numPr>
        <w:spacing w:after="533"/>
        <w:ind w:right="146" w:firstLine="350"/>
      </w:pPr>
      <w:r>
        <w:t>Tendrán la consideración de medio propio personificado respecto de dos o más poderes adjudicadores que s</w:t>
      </w:r>
      <w:r>
        <w:t xml:space="preserve">ean independientes entre sí aquellas personas jurídicas, de derecho público o de derecho privado, que cumplan todos y cada uno de los requisitos que se establecen a continuación: </w:t>
      </w:r>
    </w:p>
    <w:p w:rsidR="00DA121A" w:rsidRDefault="00904DD6">
      <w:pPr>
        <w:ind w:left="288" w:right="146"/>
      </w:pPr>
      <w:r>
        <w:t>a) Que los poderes adjudicadores que puedan conferirle encargos ejerzan sobr</w:t>
      </w:r>
      <w:r>
        <w:t xml:space="preserve">e el ente destinatario del mismo un control conjunto análogo al que ostentarían sobre sus propios servicios o unidades. </w:t>
      </w:r>
    </w:p>
    <w:p w:rsidR="00DA121A" w:rsidRDefault="00904DD6">
      <w:pPr>
        <w:ind w:left="288" w:right="146"/>
      </w:pPr>
      <w:r>
        <w:t xml:space="preserve">Se entenderá que existe control conjunto cuando se cumplan todas las condiciones siguientes: </w:t>
      </w:r>
    </w:p>
    <w:p w:rsidR="00DA121A" w:rsidRDefault="00904DD6">
      <w:pPr>
        <w:spacing w:after="2" w:line="242" w:lineRule="auto"/>
        <w:ind w:left="279" w:right="99"/>
        <w:jc w:val="left"/>
      </w:pPr>
      <w:r>
        <w:t>1.º Que en los órganos decisorios del ent</w:t>
      </w:r>
      <w:r>
        <w:t xml:space="preserve">e destinatario del encargo estén representados todos los entes que puedan conferirle encargos, pudiendo cada representante representar a varios de estos últimos o a la totalidad de ellos. </w:t>
      </w:r>
    </w:p>
    <w:p w:rsidR="00DA121A" w:rsidRDefault="00904DD6">
      <w:pPr>
        <w:ind w:left="288" w:right="146"/>
      </w:pPr>
      <w:r>
        <w:t>2.º Que estos últimos puedan ejercer directa y conjuntamente una in</w:t>
      </w:r>
      <w:r>
        <w:t xml:space="preserve">fluencia decisiva sobre los objetivos estratégicos y sobre las decisiones significativas del ente destinatario del encargo. </w:t>
      </w:r>
    </w:p>
    <w:p w:rsidR="00DA121A" w:rsidRDefault="00904DD6">
      <w:pPr>
        <w:spacing w:after="531"/>
        <w:ind w:left="288" w:right="146"/>
      </w:pPr>
      <w:r>
        <w:t xml:space="preserve">3.º Que el ente destinatario del encargo no persiga intereses contrarios a los intereses de los entes que puedan conferirle encargos. </w:t>
      </w:r>
    </w:p>
    <w:p w:rsidR="00DA121A" w:rsidRDefault="00904DD6">
      <w:pPr>
        <w:ind w:left="288" w:right="146"/>
      </w:pPr>
      <w:r>
        <w:t>La compensación se establecerá, por referencia a tarifas aprobadas por la entidad pública de la que depende el medio prop</w:t>
      </w:r>
      <w:r>
        <w:t>io personificado para las actividades objeto de encargo realizadas por el medio propio directamente y, en la forma que reglamentariamente se determine, atendiendo al coste efectivo soportado por el medio propio para las actividades objeto del encargo que s</w:t>
      </w:r>
      <w:r>
        <w:t xml:space="preserve">e subcontraten con empresarios particulares en los casos en que este coste sea inferior al resultante de aplicar las tarifas a las actividades subcontratadas. </w:t>
      </w:r>
    </w:p>
    <w:p w:rsidR="00DA121A" w:rsidRDefault="00904DD6">
      <w:pPr>
        <w:ind w:left="288" w:right="146"/>
      </w:pPr>
      <w:r>
        <w:t>Dichas tarifas se calcularán de manera que representen los costes reales de realización de las u</w:t>
      </w:r>
      <w:r>
        <w:t xml:space="preserve">nidades producidas directamente por el medio propio. </w:t>
      </w:r>
    </w:p>
    <w:p w:rsidR="00DA121A" w:rsidRDefault="00904DD6">
      <w:pPr>
        <w:numPr>
          <w:ilvl w:val="0"/>
          <w:numId w:val="50"/>
        </w:numPr>
        <w:spacing w:after="335"/>
        <w:ind w:right="262" w:firstLine="350"/>
      </w:pPr>
      <w:r>
        <w:t xml:space="preserve">Que más del 80 por ciento de las actividades del ente destinatario del encargo se lleven a cabo en el ejercicio de los cometidos que le han sido confiados por los poderes adjudicadores que lo controlan </w:t>
      </w:r>
      <w:r>
        <w:t xml:space="preserve">o por otras personas jurídicas controladas por los mismos poderes adjudicadores. El cálculo del 80 por ciento se hará de acuerdo con lo establecido en la letra b) del apartado 2 de este artículo. </w:t>
      </w:r>
    </w:p>
    <w:p w:rsidR="00DA121A" w:rsidRDefault="00904DD6">
      <w:pPr>
        <w:numPr>
          <w:ilvl w:val="0"/>
          <w:numId w:val="50"/>
        </w:numPr>
        <w:spacing w:after="524" w:line="259" w:lineRule="auto"/>
        <w:ind w:right="262" w:firstLine="350"/>
      </w:pPr>
      <w:r>
        <w:t>Que cumplan los requisitos que establece este artículo en s</w:t>
      </w:r>
      <w:r>
        <w:t xml:space="preserve">u apartado 2 letras c) y d). </w:t>
      </w:r>
    </w:p>
    <w:p w:rsidR="00DA121A" w:rsidRDefault="00904DD6">
      <w:pPr>
        <w:numPr>
          <w:ilvl w:val="0"/>
          <w:numId w:val="51"/>
        </w:numPr>
        <w:spacing w:after="306"/>
        <w:ind w:right="145" w:firstLine="350"/>
      </w:pPr>
      <w:r>
        <w:rPr>
          <w:b/>
        </w:rPr>
        <w:t>(Suprimido)</w:t>
      </w:r>
      <w:r>
        <w:rPr>
          <w:rFonts w:ascii="Times New Roman" w:eastAsia="Times New Roman" w:hAnsi="Times New Roman" w:cs="Times New Roman"/>
          <w:sz w:val="24"/>
        </w:rPr>
        <w:t xml:space="preserve"> </w:t>
      </w:r>
    </w:p>
    <w:p w:rsidR="00DA121A" w:rsidRDefault="00904DD6">
      <w:pPr>
        <w:numPr>
          <w:ilvl w:val="0"/>
          <w:numId w:val="51"/>
        </w:numPr>
        <w:spacing w:after="522"/>
        <w:ind w:right="145" w:firstLine="350"/>
      </w:pPr>
      <w:r>
        <w:t>Los encargos que realicen las entidades del sector público a un ente que, de acuerdo con los apartados segundo, tercero o cuarto de este artículo, pueda ser calificado como medio propio personificado del primero o</w:t>
      </w:r>
      <w:r>
        <w:t xml:space="preserve"> primeros, no tendrán la consideración jurídica de contrato, debiendo únicamente cumplir las siguientes normas: </w:t>
      </w:r>
    </w:p>
    <w:p w:rsidR="00DA121A" w:rsidRDefault="00904DD6">
      <w:pPr>
        <w:numPr>
          <w:ilvl w:val="0"/>
          <w:numId w:val="52"/>
        </w:numPr>
        <w:spacing w:line="250" w:lineRule="auto"/>
        <w:ind w:right="146" w:firstLine="350"/>
      </w:pPr>
      <w:r>
        <w:t xml:space="preserve">El medio propio personificado deberá haber publicado en la Plataforma de Contratación </w:t>
      </w:r>
    </w:p>
    <w:p w:rsidR="00DA121A" w:rsidRDefault="00904DD6">
      <w:pPr>
        <w:spacing w:after="341"/>
        <w:ind w:left="288" w:right="146"/>
      </w:pPr>
      <w:r>
        <w:t>correspondiente su condición de tal; respecto de qué pod</w:t>
      </w:r>
      <w:r>
        <w:t xml:space="preserve">eres adjudicadores la ostenta; y los sectores de actividad en los que, estando comprendidos en su objeto social, sería apto para ejecutar las prestaciones que vayan a ser objeto de encargo. </w:t>
      </w:r>
    </w:p>
    <w:p w:rsidR="00DA121A" w:rsidRDefault="00904DD6">
      <w:pPr>
        <w:numPr>
          <w:ilvl w:val="0"/>
          <w:numId w:val="52"/>
        </w:numPr>
        <w:spacing w:after="337"/>
        <w:ind w:right="146" w:firstLine="350"/>
      </w:pPr>
      <w:r>
        <w:t>El encargo deberá ser objeto de formalización en un documento que</w:t>
      </w:r>
      <w:r>
        <w:t xml:space="preserve"> será publicado en la Plataforma de Contratación correspondiente en los supuestos previstos del artículo 63.6. El documento de formalización establecerá el plazo de duración del encargo. </w:t>
      </w:r>
    </w:p>
    <w:p w:rsidR="00DA121A" w:rsidRDefault="00904DD6">
      <w:pPr>
        <w:numPr>
          <w:ilvl w:val="0"/>
          <w:numId w:val="52"/>
        </w:numPr>
        <w:spacing w:after="531"/>
        <w:ind w:right="146" w:firstLine="350"/>
      </w:pPr>
      <w:r>
        <w:t>Los órganos de las entidades del sector público estatal que tengan l</w:t>
      </w:r>
      <w:r>
        <w:t xml:space="preserve">a condición depoder adjudicador en virtud de lo dispuesto en el artículo 3.3 de esta Ley, necesitarán autorización del Consejo de Ministros cuando el importe del gasto que se derive del encargo, sea igual o superior a doce millones de euros. </w:t>
      </w:r>
    </w:p>
    <w:p w:rsidR="00DA121A" w:rsidRDefault="00904DD6">
      <w:pPr>
        <w:ind w:left="288" w:right="146"/>
      </w:pPr>
      <w:r>
        <w:t>La autorizaci</w:t>
      </w:r>
      <w:r>
        <w:t xml:space="preserve">ón del Consejo de Ministros a que se refiere el párrafo anterior deberá obtenerse antes de la suscripción del encargo por el órgano competente. Una vez obtenida la autorización, corresponderá a los órganos competentes la aprobación del gasto y suscripción </w:t>
      </w:r>
      <w:r>
        <w:t xml:space="preserve">del encargo, de conformidad con lo dispuesto en las respectivas normas. </w:t>
      </w:r>
    </w:p>
    <w:p w:rsidR="00DA121A" w:rsidRDefault="00904DD6">
      <w:pPr>
        <w:ind w:left="288" w:right="146"/>
      </w:pPr>
      <w:r>
        <w:t>A efectos de obtener la citada autorización, los órganos competentes deberán remitir al menos los siguientes documentos: el texto del encargo; el informe del servicio jurídico; así como el certificado de existencia de crédito o, tratándose de poderes adjud</w:t>
      </w:r>
      <w:r>
        <w:t xml:space="preserve">icadores con presupuesto estimativo, los documentos equivalentes que acrediten la existencia de financiación. </w:t>
      </w:r>
    </w:p>
    <w:p w:rsidR="00DA121A" w:rsidRDefault="00904DD6">
      <w:pPr>
        <w:ind w:left="288" w:right="146"/>
      </w:pPr>
      <w:r>
        <w:t>Requerirán igualmente la previa autorización del Consejo de Ministros las modificaciones de encargos autorizados por el Consejo de Ministros, cua</w:t>
      </w:r>
      <w:r>
        <w:t xml:space="preserve">ndo superen el 20 por cien del importe del encargo. </w:t>
      </w:r>
    </w:p>
    <w:p w:rsidR="00DA121A" w:rsidRDefault="00904DD6">
      <w:pPr>
        <w:ind w:left="288" w:right="146"/>
      </w:pPr>
      <w:r>
        <w:t>La autorización que otorgue el Consejo de Ministros será genérica para la suscripción del encargo, sin que en ningún caso implique una validación de los trámites realizados, ni exima de la responsabilida</w:t>
      </w:r>
      <w:r>
        <w:t xml:space="preserve">d que corresponda a las partes respecto de la correcta tramitación y realización del encargo. </w:t>
      </w:r>
    </w:p>
    <w:p w:rsidR="00DA121A" w:rsidRDefault="00904DD6">
      <w:pPr>
        <w:spacing w:after="518"/>
        <w:ind w:left="288" w:right="146"/>
      </w:pPr>
      <w:r>
        <w:t>7. A los negocios jurídicos que los entes destinatarios del encargo celebren en ejecución del encargo recibido de conformidad con el presente artículo, se le apl</w:t>
      </w:r>
      <w:r>
        <w:t xml:space="preserve">icarán las siguientes reglas: </w:t>
      </w:r>
    </w:p>
    <w:p w:rsidR="00DA121A" w:rsidRDefault="00904DD6">
      <w:pPr>
        <w:numPr>
          <w:ilvl w:val="0"/>
          <w:numId w:val="53"/>
        </w:numPr>
        <w:spacing w:after="335"/>
        <w:ind w:right="146" w:firstLine="350"/>
      </w:pPr>
      <w:r>
        <w:t>El contrato quedará sometido a esta Ley, en los términos que sean procedentes, de acuerdo con la naturaleza de la entidad que los celebre y el tipo y valor estimado de los mismos y, en todo caso, cuando el medio propio no sea</w:t>
      </w:r>
      <w:r>
        <w:t xml:space="preserve"> un poder adjudicador se le aplicarán las normas contenidas en el Título I del Libro Tercero de la presente Ley. </w:t>
      </w:r>
    </w:p>
    <w:p w:rsidR="00DA121A" w:rsidRDefault="00904DD6">
      <w:pPr>
        <w:numPr>
          <w:ilvl w:val="0"/>
          <w:numId w:val="53"/>
        </w:numPr>
        <w:spacing w:after="352"/>
        <w:ind w:right="146" w:firstLine="350"/>
      </w:pPr>
      <w:r>
        <w:t>El importe de las prestaciones parciales que el medio propio pueda contratar con terceros no excederá del 50 por ciento de la cuantía del enca</w:t>
      </w:r>
      <w:r>
        <w:t>rgo. No se considerarán prestaciones parciales aquellas que el medio propio adquiera a otras empresas cuando se trate de suministros o servicios auxiliares o instrumentales que no constituyen una parte autónoma y diferenciable de la prestación principal, a</w:t>
      </w:r>
      <w:r>
        <w:t xml:space="preserve">unque sean parte del proceso necesario para producir dicha prestación. </w:t>
      </w:r>
    </w:p>
    <w:p w:rsidR="00DA121A" w:rsidRDefault="00904DD6">
      <w:pPr>
        <w:ind w:left="288" w:right="146"/>
      </w:pPr>
      <w:r>
        <w:t>No será aplicable lo establecido en esta letra a los contratos de obras que celebren los medios propios a los que se les haya encargado una concesión, ya sea de obras o de servicios. I</w:t>
      </w:r>
      <w:r>
        <w:t>gualmente no será de aplicación en los supuestos en los que la gestión del servicio público se efectúe mediante la creación de entidades de derecho público destinadas a este fin, ni a aquellos en que la misma se atribuya a una sociedad de derecho privado c</w:t>
      </w:r>
      <w:r>
        <w:t xml:space="preserve">uyo capital sea, en su totalidad, de titularidad pública. </w:t>
      </w:r>
    </w:p>
    <w:p w:rsidR="00DA121A" w:rsidRDefault="00904DD6">
      <w:pPr>
        <w:ind w:left="288" w:right="146"/>
      </w:pPr>
      <w:r>
        <w:t xml:space="preserve">Tampoco será aplicable a los contratos que celebren los medios propios a los que se les haya encargado la prestación de servicios informáticos y tecnológicos a la Administración Pública con el fin </w:t>
      </w:r>
      <w:r>
        <w:t>de garantizar la compatibilidad, la comunicabilidad y la seguridad de redes y sistemas, la integridad, fiabilidad y confidencialidad de la información, así como a los que celebren los medios propios cuyas funciones sean el fomento de las telecomunicaciones</w:t>
      </w:r>
      <w:r>
        <w:t xml:space="preserve">, el desarrollo de la sociedad de la información y sociedad digital. </w:t>
      </w:r>
    </w:p>
    <w:p w:rsidR="00DA121A" w:rsidRDefault="00904DD6">
      <w:pPr>
        <w:spacing w:after="546"/>
        <w:ind w:left="288" w:right="146"/>
      </w:pPr>
      <w:r>
        <w:t>Excepcionalmente podrá superarse dicho porcentaje de contratación siempre que el encargo al medio propio se base en razones de seguridad, en la naturaleza de la prestación que requiera u</w:t>
      </w:r>
      <w:r>
        <w:t>n mayor control en la ejecución de la misma, o en razones de urgencia que demanden una mayor celeridad en su ejecución. La justificación de que concurren estas circunstancias se acompañará al documento de formalización del encargo y se publicará en la Plat</w:t>
      </w:r>
      <w:r>
        <w:t xml:space="preserve">aforma de Contratación correspondiente conjuntamente con éste. </w:t>
      </w:r>
    </w:p>
    <w:p w:rsidR="00DA121A" w:rsidRDefault="00904DD6">
      <w:pPr>
        <w:spacing w:after="0" w:line="259" w:lineRule="auto"/>
        <w:ind w:left="269" w:firstLine="0"/>
        <w:jc w:val="left"/>
      </w:pPr>
      <w:r>
        <w:t xml:space="preserve"> </w:t>
      </w:r>
    </w:p>
    <w:p w:rsidR="00DA121A" w:rsidRDefault="00904DD6">
      <w:pPr>
        <w:spacing w:after="240"/>
        <w:ind w:left="654" w:right="144"/>
      </w:pPr>
      <w:r>
        <w:rPr>
          <w:b/>
        </w:rPr>
        <w:t>Es de aplicación el artículo 47 de la Ley de Bases del Régimen local:</w:t>
      </w:r>
      <w:r>
        <w:rPr>
          <w:rFonts w:ascii="Times New Roman" w:eastAsia="Times New Roman" w:hAnsi="Times New Roman" w:cs="Times New Roman"/>
          <w:sz w:val="24"/>
        </w:rPr>
        <w:t xml:space="preserve"> </w:t>
      </w:r>
    </w:p>
    <w:p w:rsidR="00DA121A" w:rsidRDefault="00904DD6">
      <w:pPr>
        <w:numPr>
          <w:ilvl w:val="0"/>
          <w:numId w:val="54"/>
        </w:numPr>
        <w:spacing w:after="339"/>
        <w:ind w:right="146" w:firstLine="350"/>
      </w:pPr>
      <w:r>
        <w:t>Los acuerdos de las corporaciones locales se adoptan, como regla general, por mayoría simple de los miembros presentes.</w:t>
      </w:r>
      <w:r>
        <w:t xml:space="preserve"> Existe mayoría simple cuando los votos afirmativos son más que los negativos. </w:t>
      </w:r>
    </w:p>
    <w:p w:rsidR="00DA121A" w:rsidRDefault="00904DD6">
      <w:pPr>
        <w:numPr>
          <w:ilvl w:val="0"/>
          <w:numId w:val="54"/>
        </w:numPr>
        <w:spacing w:after="350"/>
        <w:ind w:right="146" w:firstLine="350"/>
      </w:pPr>
      <w:r>
        <w:t xml:space="preserve">Se requiere el voto favorable de la mayoría absoluta del número legal de miembros de las corporaciones para la adopción de acuerdos en las siguientes materias: </w:t>
      </w:r>
    </w:p>
    <w:p w:rsidR="00DA121A" w:rsidRDefault="00904DD6">
      <w:pPr>
        <w:spacing w:after="544"/>
        <w:ind w:left="288" w:right="146"/>
      </w:pPr>
      <w:r>
        <w:t xml:space="preserve">h) Transferencia de funciones o actividades a otras Administraciones públicas, así como la aceptación de las delegaciones o encomiendas de gestión realizadas por otras administraciones, salvo que por ley se impongan obligatoriamente. </w:t>
      </w:r>
    </w:p>
    <w:p w:rsidR="00DA121A" w:rsidRDefault="00904DD6">
      <w:pPr>
        <w:pStyle w:val="Ttulo2"/>
        <w:ind w:right="445"/>
      </w:pPr>
      <w:r>
        <w:t xml:space="preserve">PROPUESTA DE ACUERDO </w:t>
      </w:r>
    </w:p>
    <w:p w:rsidR="00DA121A" w:rsidRDefault="00904DD6">
      <w:pPr>
        <w:spacing w:after="8" w:line="259" w:lineRule="auto"/>
        <w:ind w:left="284" w:firstLine="0"/>
        <w:jc w:val="left"/>
      </w:pPr>
      <w:r>
        <w:rPr>
          <w:rFonts w:ascii="Times New Roman" w:eastAsia="Times New Roman" w:hAnsi="Times New Roman" w:cs="Times New Roman"/>
          <w:sz w:val="24"/>
        </w:rPr>
        <w:t xml:space="preserve"> </w:t>
      </w:r>
    </w:p>
    <w:p w:rsidR="00DA121A" w:rsidRDefault="00904DD6">
      <w:pPr>
        <w:spacing w:after="4"/>
        <w:ind w:left="279" w:right="144"/>
      </w:pPr>
      <w:r>
        <w:rPr>
          <w:b/>
        </w:rPr>
        <w:t xml:space="preserve">Primero. - Encomendar a la entidad “Gestión y Planeamiento Territorial y </w:t>
      </w:r>
      <w:r>
        <w:rPr>
          <w:rFonts w:ascii="Times New Roman" w:eastAsia="Times New Roman" w:hAnsi="Times New Roman" w:cs="Times New Roman"/>
          <w:sz w:val="24"/>
        </w:rPr>
        <w:t xml:space="preserve"> </w:t>
      </w:r>
    </w:p>
    <w:p w:rsidR="00DA121A" w:rsidRDefault="00904DD6">
      <w:pPr>
        <w:spacing w:after="89"/>
        <w:ind w:left="279" w:right="144"/>
      </w:pPr>
      <w:r>
        <w:rPr>
          <w:b/>
        </w:rPr>
        <w:t>Medioambiental, SA (GESPLAN), adscrita a la Consejería de Transición Ecológica, Lucha contra el Cambio Climático y Planificación Territorial del Gobierno de Canarias, la redacció</w:t>
      </w:r>
      <w:r>
        <w:rPr>
          <w:b/>
        </w:rPr>
        <w:t>n del proyecto del Plan Especial del Parque Periurbano de Pasacola con unos plazos de ejecución de la redacción del proyecto y del presupuesto del contrato de servicios que son los siguientes:</w:t>
      </w:r>
      <w:r>
        <w:rPr>
          <w:rFonts w:ascii="Times New Roman" w:eastAsia="Times New Roman" w:hAnsi="Times New Roman" w:cs="Times New Roman"/>
          <w:sz w:val="24"/>
        </w:rPr>
        <w:t xml:space="preserve"> </w:t>
      </w:r>
    </w:p>
    <w:p w:rsidR="00DA121A" w:rsidRDefault="00904DD6">
      <w:pPr>
        <w:spacing w:after="69"/>
        <w:ind w:left="288" w:right="146"/>
      </w:pPr>
      <w:r>
        <w:t>PLAZO DE EJECUCIÓN</w:t>
      </w:r>
      <w:r>
        <w:rPr>
          <w:rFonts w:ascii="Times New Roman" w:eastAsia="Times New Roman" w:hAnsi="Times New Roman" w:cs="Times New Roman"/>
          <w:sz w:val="24"/>
        </w:rPr>
        <w:t xml:space="preserve"> </w:t>
      </w:r>
    </w:p>
    <w:p w:rsidR="00DA121A" w:rsidRDefault="00904DD6">
      <w:pPr>
        <w:spacing w:after="87"/>
        <w:ind w:left="288" w:right="146"/>
      </w:pPr>
      <w:r>
        <w:t>FASE 1- DOCUMENTO BORRADOR Y DOCUMENTO INI</w:t>
      </w:r>
      <w:r>
        <w:t>CIAL ESTRATÉGICO Plazo estimado de redacción: 4 meses</w:t>
      </w:r>
      <w:r>
        <w:rPr>
          <w:rFonts w:ascii="Times New Roman" w:eastAsia="Times New Roman" w:hAnsi="Times New Roman" w:cs="Times New Roman"/>
          <w:sz w:val="24"/>
        </w:rPr>
        <w:t xml:space="preserve"> </w:t>
      </w:r>
    </w:p>
    <w:p w:rsidR="00DA121A" w:rsidRDefault="00904DD6">
      <w:pPr>
        <w:spacing w:after="86"/>
        <w:ind w:left="288" w:right="146"/>
      </w:pPr>
      <w:r>
        <w:t xml:space="preserve"> FASE 2 – DOCUMENTO PARA APROBACIÓN INICIAL Y ESTUDIO AMBIENTAL </w:t>
      </w:r>
      <w:r>
        <w:rPr>
          <w:rFonts w:ascii="Times New Roman" w:eastAsia="Times New Roman" w:hAnsi="Times New Roman" w:cs="Times New Roman"/>
          <w:sz w:val="24"/>
        </w:rPr>
        <w:t xml:space="preserve"> </w:t>
      </w:r>
      <w:r>
        <w:t xml:space="preserve">ESTRATÉGICO Plazo estimado de redacción: 3 meses </w:t>
      </w:r>
      <w:r>
        <w:rPr>
          <w:rFonts w:ascii="Times New Roman" w:eastAsia="Times New Roman" w:hAnsi="Times New Roman" w:cs="Times New Roman"/>
          <w:sz w:val="24"/>
        </w:rPr>
        <w:t xml:space="preserve"> </w:t>
      </w:r>
    </w:p>
    <w:p w:rsidR="00DA121A" w:rsidRDefault="00904DD6">
      <w:pPr>
        <w:spacing w:after="68" w:line="242" w:lineRule="auto"/>
        <w:ind w:left="279" w:right="1750"/>
        <w:jc w:val="left"/>
      </w:pPr>
      <w:r>
        <w:t xml:space="preserve">FASE 3 – DOCUMENTO VERSION DEFINITIVA DEL PLAN PARA APROBACIÓN </w:t>
      </w:r>
      <w:r>
        <w:rPr>
          <w:rFonts w:ascii="Times New Roman" w:eastAsia="Times New Roman" w:hAnsi="Times New Roman" w:cs="Times New Roman"/>
          <w:sz w:val="24"/>
        </w:rPr>
        <w:t xml:space="preserve"> </w:t>
      </w:r>
      <w:r>
        <w:t>DEFINITIVA Plazo estimado de redacción: 2 meses</w:t>
      </w:r>
      <w:r>
        <w:rPr>
          <w:rFonts w:ascii="Times New Roman" w:eastAsia="Times New Roman" w:hAnsi="Times New Roman" w:cs="Times New Roman"/>
          <w:sz w:val="24"/>
        </w:rPr>
        <w:t xml:space="preserve"> </w:t>
      </w:r>
      <w:r>
        <w:t>PRESUPUESTO:</w:t>
      </w:r>
      <w:r>
        <w:rPr>
          <w:rFonts w:ascii="Times New Roman" w:eastAsia="Times New Roman" w:hAnsi="Times New Roman" w:cs="Times New Roman"/>
          <w:sz w:val="24"/>
        </w:rPr>
        <w:t xml:space="preserve"> </w:t>
      </w:r>
    </w:p>
    <w:p w:rsidR="00DA121A" w:rsidRDefault="00904DD6">
      <w:pPr>
        <w:spacing w:after="29"/>
        <w:ind w:left="288" w:right="146"/>
      </w:pPr>
      <w:r>
        <w:t xml:space="preserve">El importe total de la propuesta asciende a la cantidad de CUARENTA Y UN MIL EUROS CIENTO CINCUENTA Y TRES MIL EUROS Y CINCUENTA Y TRES CÉNTIMOS (41.153,53 </w:t>
      </w:r>
      <w:r>
        <w:rPr>
          <w:rFonts w:ascii="Times New Roman" w:eastAsia="Times New Roman" w:hAnsi="Times New Roman" w:cs="Times New Roman"/>
          <w:sz w:val="24"/>
        </w:rPr>
        <w:t xml:space="preserve"> </w:t>
      </w:r>
    </w:p>
    <w:p w:rsidR="00DA121A" w:rsidRDefault="00904DD6">
      <w:pPr>
        <w:spacing w:after="65"/>
        <w:ind w:left="288" w:right="146"/>
      </w:pPr>
      <w:r>
        <w:t>€).</w:t>
      </w:r>
      <w:r>
        <w:rPr>
          <w:rFonts w:ascii="Times New Roman" w:eastAsia="Times New Roman" w:hAnsi="Times New Roman" w:cs="Times New Roman"/>
          <w:sz w:val="24"/>
        </w:rPr>
        <w:t xml:space="preserve"> </w:t>
      </w:r>
    </w:p>
    <w:p w:rsidR="00DA121A" w:rsidRDefault="00904DD6">
      <w:pPr>
        <w:spacing w:after="3" w:line="259" w:lineRule="auto"/>
        <w:ind w:left="284" w:firstLine="0"/>
        <w:jc w:val="left"/>
      </w:pPr>
      <w:r>
        <w:rPr>
          <w:b/>
        </w:rPr>
        <w:t xml:space="preserve"> </w:t>
      </w:r>
    </w:p>
    <w:p w:rsidR="00DA121A" w:rsidRDefault="00904DD6">
      <w:pPr>
        <w:spacing w:after="4"/>
        <w:ind w:left="279" w:right="144"/>
      </w:pPr>
      <w:r>
        <w:rPr>
          <w:b/>
        </w:rPr>
        <w:t xml:space="preserve">Segundo. - </w:t>
      </w:r>
      <w:r>
        <w:rPr>
          <w:b/>
        </w:rPr>
        <w:t>Notificar el presente acuerdo a la entidad “Gestión y Planeamiento Territorial y Medioambiental, SA (GESPLAN).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Consta en el expediente propuesta de la Alcaldesa-Presidenta, de fecha 22 de marzo de 2023, cuyo tenor literal es el siguiente: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pStyle w:val="Ttulo2"/>
        <w:ind w:right="1093"/>
      </w:pPr>
      <w:r>
        <w:t>“PR</w:t>
      </w:r>
      <w:r>
        <w:t xml:space="preserve">OPUESTA DE LA ALCALDÍA-PRESIDENCIA </w:t>
      </w:r>
    </w:p>
    <w:p w:rsidR="00DA121A" w:rsidRDefault="00904DD6">
      <w:pPr>
        <w:spacing w:after="0" w:line="259" w:lineRule="auto"/>
        <w:ind w:left="186" w:firstLine="0"/>
        <w:jc w:val="center"/>
      </w:pPr>
      <w:r>
        <w:rPr>
          <w:b/>
        </w:rPr>
        <w:t xml:space="preserve"> </w:t>
      </w:r>
    </w:p>
    <w:p w:rsidR="00DA121A" w:rsidRDefault="00904DD6">
      <w:pPr>
        <w:spacing w:after="4"/>
        <w:ind w:left="279" w:right="144"/>
      </w:pPr>
      <w:r>
        <w:rPr>
          <w:b/>
        </w:rPr>
        <w:t xml:space="preserve">Visto el informe jurídico de la Secretaría General de fecha 21 de marzo que transcrito dice: </w:t>
      </w:r>
    </w:p>
    <w:p w:rsidR="00DA121A" w:rsidRDefault="00904DD6">
      <w:pPr>
        <w:spacing w:after="19" w:line="259" w:lineRule="auto"/>
        <w:ind w:left="284" w:firstLine="0"/>
        <w:jc w:val="left"/>
      </w:pPr>
      <w:r>
        <w:t xml:space="preserve"> </w:t>
      </w:r>
    </w:p>
    <w:p w:rsidR="00DA121A" w:rsidRDefault="00904DD6">
      <w:pPr>
        <w:ind w:left="288" w:right="146"/>
      </w:pPr>
      <w:r>
        <w:t xml:space="preserve"> “Visto el expediente antedicho relativo a la redacción del Plan Especial del Parque Periurbano de Pasacola y su encargo a</w:t>
      </w:r>
      <w:r>
        <w:t xml:space="preserve"> la empresa pública de la Comunidad Autónoma de Canarias Gesplan, se emite el siguiente informe jurídico: </w:t>
      </w:r>
    </w:p>
    <w:p w:rsidR="00DA121A" w:rsidRDefault="00904DD6">
      <w:pPr>
        <w:spacing w:after="0" w:line="259" w:lineRule="auto"/>
        <w:ind w:left="1287" w:firstLine="0"/>
        <w:jc w:val="left"/>
      </w:pPr>
      <w:r>
        <w:rPr>
          <w:b/>
        </w:rPr>
        <w:t xml:space="preserve"> </w:t>
      </w:r>
    </w:p>
    <w:p w:rsidR="00DA121A" w:rsidRDefault="00904DD6">
      <w:pPr>
        <w:spacing w:after="4"/>
        <w:ind w:left="1297" w:right="144"/>
      </w:pPr>
      <w:r>
        <w:rPr>
          <w:b/>
        </w:rPr>
        <w:t xml:space="preserve">                         ANTECEDENTES DE HECHO </w:t>
      </w:r>
    </w:p>
    <w:p w:rsidR="00DA121A" w:rsidRDefault="00904DD6">
      <w:pPr>
        <w:spacing w:after="80"/>
        <w:ind w:left="469" w:right="146"/>
      </w:pPr>
      <w:r>
        <w:rPr>
          <w:b/>
        </w:rPr>
        <w:t xml:space="preserve">Primero. - </w:t>
      </w:r>
      <w:r>
        <w:t>Consta en el expediente memoria de la Alcaldía-Presidencia.</w:t>
      </w:r>
      <w:r>
        <w:rPr>
          <w:rFonts w:ascii="Times New Roman" w:eastAsia="Times New Roman" w:hAnsi="Times New Roman" w:cs="Times New Roman"/>
          <w:sz w:val="24"/>
        </w:rPr>
        <w:t xml:space="preserve"> </w:t>
      </w:r>
    </w:p>
    <w:p w:rsidR="00DA121A" w:rsidRDefault="00904DD6">
      <w:pPr>
        <w:spacing w:after="83"/>
        <w:ind w:left="288" w:right="1343"/>
      </w:pPr>
      <w:r>
        <w:rPr>
          <w:b/>
        </w:rPr>
        <w:t xml:space="preserve">   Segundo. - </w:t>
      </w:r>
      <w:r>
        <w:t xml:space="preserve">Consta en el expediente Propuesta económica del Plan Perirurbano </w:t>
      </w:r>
      <w:r>
        <w:rPr>
          <w:rFonts w:ascii="Times New Roman" w:eastAsia="Times New Roman" w:hAnsi="Times New Roman" w:cs="Times New Roman"/>
          <w:sz w:val="24"/>
        </w:rPr>
        <w:t xml:space="preserve"> </w:t>
      </w:r>
      <w:r>
        <w:t>de Pasacola por la empresa Gesplan.</w:t>
      </w:r>
      <w:r>
        <w:rPr>
          <w:rFonts w:ascii="Times New Roman" w:eastAsia="Times New Roman" w:hAnsi="Times New Roman" w:cs="Times New Roman"/>
          <w:sz w:val="24"/>
        </w:rPr>
        <w:t xml:space="preserve"> </w:t>
      </w:r>
    </w:p>
    <w:p w:rsidR="00DA121A" w:rsidRDefault="00904DD6">
      <w:pPr>
        <w:ind w:left="288" w:right="146"/>
      </w:pPr>
      <w:r>
        <w:rPr>
          <w:b/>
        </w:rPr>
        <w:t xml:space="preserve">Tercero. - </w:t>
      </w:r>
      <w:r>
        <w:t xml:space="preserve">Consta en el expediente certificado del acuerdo del pleno de fecha 24 </w:t>
      </w:r>
      <w:r>
        <w:rPr>
          <w:rFonts w:ascii="Times New Roman" w:eastAsia="Times New Roman" w:hAnsi="Times New Roman" w:cs="Times New Roman"/>
          <w:sz w:val="24"/>
        </w:rPr>
        <w:t xml:space="preserve"> </w:t>
      </w:r>
      <w:r>
        <w:t xml:space="preserve">de junio de 2021 en el que en su parte dispositiva dispone en su punto </w:t>
      </w:r>
      <w:r>
        <w:t>primero:</w:t>
      </w:r>
      <w:r>
        <w:rPr>
          <w:rFonts w:ascii="Times New Roman" w:eastAsia="Times New Roman" w:hAnsi="Times New Roman" w:cs="Times New Roman"/>
          <w:sz w:val="24"/>
        </w:rPr>
        <w:t xml:space="preserve"> </w:t>
      </w:r>
      <w:r>
        <w:t>1º.- Otorgar la conformidad expresa de esta Corporación a la declaración de la  entidad “Gestión y Planeamiento Territorial y Medioambiental, SA (GESPLAN), adscrita a la Consejería de Transición Ecológica, Lucha contra el Cambio Climático y Planif</w:t>
      </w:r>
      <w:r>
        <w:t xml:space="preserve">icación Territorial del Gobierno de Canarias, como medio personificado del mismo, a los efectos dispuestos en el artículo </w:t>
      </w:r>
    </w:p>
    <w:p w:rsidR="00DA121A" w:rsidRDefault="00904DD6">
      <w:pPr>
        <w:ind w:left="288" w:right="146"/>
      </w:pPr>
      <w:r>
        <w:t xml:space="preserve">32.2 de la Ley 4/2012, de 25 de junio, de medidas administrativas y fiscales, en relación con el art. </w:t>
      </w:r>
    </w:p>
    <w:p w:rsidR="00DA121A" w:rsidRDefault="00904DD6">
      <w:pPr>
        <w:spacing w:after="495"/>
        <w:ind w:left="288" w:right="146"/>
      </w:pPr>
      <w:r>
        <w:t xml:space="preserve">32.4 de la LCSP. </w:t>
      </w:r>
    </w:p>
    <w:p w:rsidR="00DA121A" w:rsidRDefault="00904DD6">
      <w:pPr>
        <w:spacing w:after="69"/>
        <w:ind w:left="2562" w:right="144"/>
      </w:pPr>
      <w:r>
        <w:t xml:space="preserve">      </w:t>
      </w:r>
      <w:r>
        <w:rPr>
          <w:b/>
        </w:rPr>
        <w:t>FUNDAM</w:t>
      </w:r>
      <w:r>
        <w:rPr>
          <w:b/>
        </w:rPr>
        <w:t>ENTOS DE DERECHO</w:t>
      </w:r>
      <w:r>
        <w:rPr>
          <w:rFonts w:ascii="Times New Roman" w:eastAsia="Times New Roman" w:hAnsi="Times New Roman" w:cs="Times New Roman"/>
          <w:sz w:val="24"/>
        </w:rPr>
        <w:t xml:space="preserve"> </w:t>
      </w:r>
    </w:p>
    <w:p w:rsidR="00DA121A" w:rsidRDefault="00904DD6">
      <w:pPr>
        <w:spacing w:after="13" w:line="250" w:lineRule="auto"/>
        <w:ind w:left="10" w:right="144"/>
        <w:jc w:val="right"/>
      </w:pPr>
      <w:r>
        <w:rPr>
          <w:b/>
        </w:rPr>
        <w:t xml:space="preserve">Primero. -  Es de aplicación el artículo 32 de la Ley de Contratos del Sector Público </w:t>
      </w:r>
    </w:p>
    <w:p w:rsidR="00DA121A" w:rsidRDefault="00904DD6">
      <w:pPr>
        <w:spacing w:after="445"/>
        <w:ind w:left="279" w:right="144"/>
      </w:pPr>
      <w:r>
        <w:rPr>
          <w:b/>
        </w:rPr>
        <w:t>que expresamente dispone:</w:t>
      </w:r>
      <w:r>
        <w:rPr>
          <w:rFonts w:ascii="Times New Roman" w:eastAsia="Times New Roman" w:hAnsi="Times New Roman" w:cs="Times New Roman"/>
          <w:sz w:val="24"/>
        </w:rPr>
        <w:t xml:space="preserve"> </w:t>
      </w:r>
    </w:p>
    <w:p w:rsidR="00DA121A" w:rsidRDefault="00904DD6">
      <w:pPr>
        <w:spacing w:after="298"/>
        <w:ind w:left="279" w:right="144"/>
      </w:pPr>
      <w:r>
        <w:rPr>
          <w:b/>
        </w:rPr>
        <w:t>Artículo 32. Encargos de los poderes adjudicadores a medios propios personificados.</w:t>
      </w:r>
      <w:r>
        <w:rPr>
          <w:rFonts w:ascii="Times New Roman" w:eastAsia="Times New Roman" w:hAnsi="Times New Roman" w:cs="Times New Roman"/>
          <w:sz w:val="24"/>
        </w:rPr>
        <w:t xml:space="preserve"> </w:t>
      </w:r>
    </w:p>
    <w:p w:rsidR="00DA121A" w:rsidRDefault="00904DD6">
      <w:pPr>
        <w:numPr>
          <w:ilvl w:val="0"/>
          <w:numId w:val="55"/>
        </w:numPr>
        <w:spacing w:after="351"/>
        <w:ind w:right="146" w:firstLine="350"/>
      </w:pPr>
      <w:r>
        <w:t>Los poderes adjudicadores podrán organi</w:t>
      </w:r>
      <w:r>
        <w:t xml:space="preserve">zarse ejecutando de manera directa prestaciones propias de los contratos de obras, suministros, servicios, concesión de obras y concesión de servicios, a cambio de una compensación tarifaria, valiéndose de otra persona jurídica distinta a ellos, ya sea de </w:t>
      </w:r>
      <w:r>
        <w:t>derecho público o de derecho privado, previo encargo a esta, con sujeción a lo dispuesto en este artículo, siempre y cuando la persona jurídica que utilicen merezca la calificación jurídica de medio propio personificado respecto de ellos de conformidad con</w:t>
      </w:r>
      <w:r>
        <w:t xml:space="preserve"> lo dispuesto en los tres apartados siguientes, y sin perjuicio de los requisitos establecidos para los medios propios del ámbito estatal en la Ley 40/2015, de 1 de octubre, de Régimen Jurídico del Sector Público. </w:t>
      </w:r>
    </w:p>
    <w:p w:rsidR="00DA121A" w:rsidRDefault="00904DD6">
      <w:pPr>
        <w:ind w:left="654" w:right="146"/>
      </w:pPr>
      <w:r>
        <w:t>El encargo que cumpla dichos requisitos n</w:t>
      </w:r>
      <w:r>
        <w:t xml:space="preserve">o tendrá la consideración de contrato. </w:t>
      </w:r>
    </w:p>
    <w:p w:rsidR="00DA121A" w:rsidRDefault="00904DD6">
      <w:pPr>
        <w:numPr>
          <w:ilvl w:val="0"/>
          <w:numId w:val="55"/>
        </w:numPr>
        <w:spacing w:after="520"/>
        <w:ind w:right="146" w:firstLine="350"/>
      </w:pPr>
      <w:r>
        <w:t>Tendrán la consideración de medio propio personificado respecto de una única entidad concreta del sector público aquellas personas jurídicas, de derecho público o de derecho privado, que cumplan todos y cada uno de los requisitos que se establecen a contin</w:t>
      </w:r>
      <w:r>
        <w:t xml:space="preserve">uación: </w:t>
      </w:r>
    </w:p>
    <w:p w:rsidR="00DA121A" w:rsidRDefault="00904DD6">
      <w:pPr>
        <w:numPr>
          <w:ilvl w:val="0"/>
          <w:numId w:val="56"/>
        </w:numPr>
        <w:spacing w:after="360"/>
        <w:ind w:right="146" w:firstLine="350"/>
      </w:pPr>
      <w:r>
        <w:t xml:space="preserve">Que el poder adjudicador que pueda conferirle encargos ejerza sobre el ente destinatario de los mismos un control, directo o indirecto, análogo al que ostentaría sobre sus propios servicios o unidades, de manera que el primero pueda ejercer sobre </w:t>
      </w:r>
      <w:r>
        <w:t xml:space="preserve">el segundo una influencia decisiva sobre sus objetivos estratégicos y decisiones significativas. </w:t>
      </w:r>
    </w:p>
    <w:p w:rsidR="00DA121A" w:rsidRDefault="00904DD6">
      <w:pPr>
        <w:ind w:left="288" w:right="146"/>
      </w:pPr>
      <w:r>
        <w:t>En todo caso se entenderá que el poder adjudicador que puede conferirle encargos ostenta sobre el ente destinatario del mismo un control análogo al que ejerce</w:t>
      </w:r>
      <w:r>
        <w:t xml:space="preserve"> sobre sus propios servicios o unidades cuando él mismo o bien otro u otros poderes adjudicadores o personas jurídicas controlados del mismo modo por el primero puedan conferirle encargos que sean de ejecución obligatoria para el ente destinatario del enca</w:t>
      </w:r>
      <w:r>
        <w:t xml:space="preserve">rgo por así establecerlo los estatutos o el acto de creación, de manera que exista una unidad de decisión entre ellos, de acuerdo con instrucciones fijadas unilateralmente por el ente que puede realizar el encargo. </w:t>
      </w:r>
    </w:p>
    <w:p w:rsidR="00DA121A" w:rsidRDefault="00904DD6">
      <w:pPr>
        <w:ind w:left="288" w:right="146"/>
      </w:pPr>
      <w:r>
        <w:t>La compensación se establecerá por refer</w:t>
      </w:r>
      <w:r>
        <w:t>encia a tarifas aprobadas por la entidad pública de la que depende el medio propio personificado para las actividades objeto de encargo realizadas por el medio propio directamente y, en la forma que reglamentariamente se determine, atendiendo al coste efec</w:t>
      </w:r>
      <w:r>
        <w:t xml:space="preserve">tivo soportado por el medio propio para las actividades objeto del encargo que se subcontraten con empresarios particulares en los casos en que este coste sea inferior al resultante de aplicar las tarifas a las actividades subcontratadas. </w:t>
      </w:r>
    </w:p>
    <w:p w:rsidR="00DA121A" w:rsidRDefault="00904DD6">
      <w:pPr>
        <w:ind w:left="288" w:right="146"/>
      </w:pPr>
      <w:r>
        <w:t xml:space="preserve">Dichas tarifas se calcularán de manera que representen los costes reales de realización de las unidades producidas directamente por el medio propio. </w:t>
      </w:r>
    </w:p>
    <w:p w:rsidR="00DA121A" w:rsidRDefault="00904DD6">
      <w:pPr>
        <w:numPr>
          <w:ilvl w:val="0"/>
          <w:numId w:val="56"/>
        </w:numPr>
        <w:spacing w:line="250" w:lineRule="auto"/>
        <w:ind w:right="146" w:firstLine="350"/>
      </w:pPr>
      <w:r>
        <w:t xml:space="preserve">Que más del 80 por ciento de las actividades del ente destinatario del encargo se lleven a </w:t>
      </w:r>
    </w:p>
    <w:p w:rsidR="00DA121A" w:rsidRDefault="00904DD6">
      <w:pPr>
        <w:spacing w:after="351"/>
        <w:ind w:left="288" w:right="146"/>
      </w:pPr>
      <w:r>
        <w:t>cabo en el eje</w:t>
      </w:r>
      <w:r>
        <w:t xml:space="preserve">rcicio de los cometidos que le han sido confiados por el poder adjudicador que hace el encargo y que lo controla o por otras personas jurídicas controladas del mismo modo por la entidad que hace el encargo. </w:t>
      </w:r>
    </w:p>
    <w:p w:rsidR="00DA121A" w:rsidRDefault="00904DD6">
      <w:pPr>
        <w:ind w:left="288" w:right="146"/>
      </w:pPr>
      <w:r>
        <w:t xml:space="preserve">A estos efectos, para calcular el 80 por ciento </w:t>
      </w:r>
      <w:r>
        <w:t>de las actividades del ente destinatario del encargo se tomarán en consideración el promedio del volumen global de negocios, los gastos soportados por los servicios prestados al poder adjudicador en relación con la totalidad de los gastos en que haya incur</w:t>
      </w:r>
      <w:r>
        <w:t xml:space="preserve">rido el medio propio por razón de las prestaciones que haya realizado a cualquier entidad, u otro indicador alternativo de actividad que sea fiable, y todo ello referido a los tres ejercicios anteriores al de formalización del encargo. </w:t>
      </w:r>
    </w:p>
    <w:p w:rsidR="00DA121A" w:rsidRDefault="00904DD6">
      <w:pPr>
        <w:ind w:left="288" w:right="146"/>
      </w:pPr>
      <w:r>
        <w:t xml:space="preserve">Cuando debido a la </w:t>
      </w:r>
      <w:r>
        <w:t>fecha de creación o de inicio de actividad del poder adjudicador que hace el encargo, o debido a la reorganización de las actividades de este, el volumen global de negocios, u otro indicador alternativo de actividad, de acuerdo con lo establecido en el pár</w:t>
      </w:r>
      <w:r>
        <w:t>rafo anterior, no estuvieran disponibles respecto de los tres ejercicios anteriores a la formalización del encargo o hubieran perdido su vigencia, será suficiente con justificar que el cálculo del nivel de actividad se corresponde con la realidad, en espec</w:t>
      </w:r>
      <w:r>
        <w:t xml:space="preserve">ial mediante proyecciones de negocio. </w:t>
      </w:r>
    </w:p>
    <w:p w:rsidR="00DA121A" w:rsidRDefault="00904DD6">
      <w:pPr>
        <w:numPr>
          <w:ilvl w:val="0"/>
          <w:numId w:val="57"/>
        </w:numPr>
        <w:ind w:right="146" w:firstLine="350"/>
      </w:pPr>
      <w:r>
        <w:t xml:space="preserve">Cuando el ente destinatario del encargo sea un ente de personificación jurídico- </w:t>
      </w:r>
    </w:p>
    <w:p w:rsidR="00DA121A" w:rsidRDefault="00904DD6">
      <w:pPr>
        <w:ind w:left="288" w:right="146"/>
      </w:pPr>
      <w:r>
        <w:t xml:space="preserve">privada, además, la totalidad de su capital o patrimonio tendrá que ser de titularidad o aportación pública. </w:t>
      </w:r>
    </w:p>
    <w:p w:rsidR="00DA121A" w:rsidRDefault="00904DD6">
      <w:pPr>
        <w:numPr>
          <w:ilvl w:val="0"/>
          <w:numId w:val="57"/>
        </w:numPr>
        <w:spacing w:after="531"/>
        <w:ind w:right="146" w:firstLine="350"/>
      </w:pPr>
      <w:r>
        <w:t>La condición de medio pro</w:t>
      </w:r>
      <w:r>
        <w:t xml:space="preserve">pio personificado de la entidad destinataria del encargo respecto del concreto poder adjudicador que hace el encargo deberá reconocerse expresamente en sus estatutos o actos de creación, previo cumplimiento de los siguientes requisitos: </w:t>
      </w:r>
    </w:p>
    <w:p w:rsidR="00DA121A" w:rsidRDefault="00904DD6">
      <w:pPr>
        <w:ind w:left="288" w:right="146"/>
      </w:pPr>
      <w:r>
        <w:t xml:space="preserve">1.º Conformidad o </w:t>
      </w:r>
      <w:r>
        <w:t xml:space="preserve">autorización expresa del poder adjudicador respecto del que vaya a ser medio propio. </w:t>
      </w:r>
    </w:p>
    <w:p w:rsidR="00DA121A" w:rsidRDefault="00904DD6">
      <w:pPr>
        <w:ind w:left="288" w:right="146"/>
      </w:pPr>
      <w:r>
        <w:t>2.º Verificación por la entidad pública de que dependa el ente que vaya a ser medio propio, de que cuenta con medios personales y materiales apropiados para la realizació</w:t>
      </w:r>
      <w:r>
        <w:t xml:space="preserve">n de los encargos de conformidad con su objeto social. </w:t>
      </w:r>
    </w:p>
    <w:p w:rsidR="00DA121A" w:rsidRDefault="00904DD6">
      <w:pPr>
        <w:ind w:left="288" w:right="146"/>
      </w:pPr>
      <w:r>
        <w:t>Los estatutos o acto de creación del ente destinatario del encargo deberá determinar: el poder adjudicador respecto del cual tiene esa condición; precisar el régimen jurídico y administrativo de los e</w:t>
      </w:r>
      <w:r>
        <w:t>ncargos que se les puedan conferir; y establecer la imposibilidad de que participen en licitaciones públicas convocadas por el poder adjudicador del que sean medio propio personificado, sin perjuicio de que, cuando no concurra ningún licitador, pueda encar</w:t>
      </w:r>
      <w:r>
        <w:t xml:space="preserve">gárseles la ejecución de la prestación objeto de las mismas. </w:t>
      </w:r>
    </w:p>
    <w:p w:rsidR="00DA121A" w:rsidRDefault="00904DD6">
      <w:pPr>
        <w:spacing w:after="0" w:line="259" w:lineRule="auto"/>
        <w:ind w:left="269" w:firstLine="0"/>
        <w:jc w:val="left"/>
      </w:pPr>
      <w:r>
        <w:t xml:space="preserve"> </w:t>
      </w:r>
    </w:p>
    <w:p w:rsidR="00DA121A" w:rsidRDefault="00904DD6">
      <w:pPr>
        <w:spacing w:after="0" w:line="259" w:lineRule="auto"/>
        <w:ind w:left="269" w:firstLine="0"/>
        <w:jc w:val="left"/>
      </w:pPr>
      <w:r>
        <w:t xml:space="preserve"> </w:t>
      </w:r>
    </w:p>
    <w:p w:rsidR="00DA121A" w:rsidRDefault="00904DD6">
      <w:pPr>
        <w:ind w:left="288" w:right="146"/>
      </w:pPr>
      <w:r>
        <w:t xml:space="preserve">En todo caso, se presumirá que cumple el requisito establecido en el número 2.º de la presente letra cuando haya obtenido la correspondiente clasificación respecto a los grupos, subgrupos y categorías que ostente. </w:t>
      </w:r>
    </w:p>
    <w:p w:rsidR="00DA121A" w:rsidRDefault="00904DD6">
      <w:pPr>
        <w:spacing w:after="0" w:line="259" w:lineRule="auto"/>
        <w:ind w:left="269" w:firstLine="0"/>
        <w:jc w:val="left"/>
      </w:pPr>
      <w:r>
        <w:t xml:space="preserve"> </w:t>
      </w:r>
    </w:p>
    <w:p w:rsidR="00DA121A" w:rsidRDefault="00904DD6">
      <w:pPr>
        <w:numPr>
          <w:ilvl w:val="0"/>
          <w:numId w:val="58"/>
        </w:numPr>
        <w:spacing w:after="340"/>
        <w:ind w:right="146" w:firstLine="350"/>
      </w:pPr>
      <w:r>
        <w:t>El apartado 2 del presente artículo tam</w:t>
      </w:r>
      <w:r>
        <w:t>bién se aplicará en los casos en que la persona jurídica controlada, siendo un poder adjudicador, realice un encargo al poder adjudicador que la controla o a otra persona jurídica controlada, directa o indirectamente, por el mismo poder adjudicador, siempr</w:t>
      </w:r>
      <w:r>
        <w:t xml:space="preserve">e que no exista participación directa de capital privado en la persona jurídica a la que se realice el encargo. </w:t>
      </w:r>
    </w:p>
    <w:p w:rsidR="00DA121A" w:rsidRDefault="00904DD6">
      <w:pPr>
        <w:numPr>
          <w:ilvl w:val="0"/>
          <w:numId w:val="58"/>
        </w:numPr>
        <w:spacing w:after="531"/>
        <w:ind w:right="146" w:firstLine="350"/>
      </w:pPr>
      <w:r>
        <w:t>Tendrán la consideración de medio propio personificado respecto de dos o más poderes adjudicadores que sean independientes entre sí aquellas pe</w:t>
      </w:r>
      <w:r>
        <w:t xml:space="preserve">rsonas jurídicas, de derecho público o de derecho privado, que cumplan todos y cada uno de los requisitos que se establecen a continuación: </w:t>
      </w:r>
    </w:p>
    <w:p w:rsidR="00DA121A" w:rsidRDefault="00904DD6">
      <w:pPr>
        <w:ind w:left="288" w:right="146"/>
      </w:pPr>
      <w:r>
        <w:t>a) Que los poderes adjudicadores que puedan conferirle encargos ejerzan sobre el ente destinatario del mismo un con</w:t>
      </w:r>
      <w:r>
        <w:t xml:space="preserve">trol conjunto análogo al que ostentarían sobre sus propios servicios o unidades. </w:t>
      </w:r>
    </w:p>
    <w:p w:rsidR="00DA121A" w:rsidRDefault="00904DD6">
      <w:pPr>
        <w:ind w:left="288" w:right="146"/>
      </w:pPr>
      <w:r>
        <w:t xml:space="preserve">Se entenderá que existe control conjunto cuando se cumplan todas las condiciones siguientes: </w:t>
      </w:r>
    </w:p>
    <w:p w:rsidR="00DA121A" w:rsidRDefault="00904DD6">
      <w:pPr>
        <w:spacing w:after="2" w:line="242" w:lineRule="auto"/>
        <w:ind w:left="279" w:right="99"/>
        <w:jc w:val="left"/>
      </w:pPr>
      <w:r>
        <w:t>1.º Que en los órganos decisorios del ente destinatario del encargo estén repres</w:t>
      </w:r>
      <w:r>
        <w:t xml:space="preserve">entados todos los entes que puedan conferirle encargos, pudiendo cada representante representar a varios de estos últimos o a la totalidad de ellos. </w:t>
      </w:r>
    </w:p>
    <w:p w:rsidR="00DA121A" w:rsidRDefault="00904DD6">
      <w:pPr>
        <w:ind w:left="288" w:right="146"/>
      </w:pPr>
      <w:r>
        <w:t>2.º Que estos últimos puedan ejercer directa y conjuntamente una influencia decisiva sobre los objetivos e</w:t>
      </w:r>
      <w:r>
        <w:t xml:space="preserve">stratégicos y sobre las decisiones significativas del ente destinatario del encargo. </w:t>
      </w:r>
    </w:p>
    <w:p w:rsidR="00DA121A" w:rsidRDefault="00904DD6">
      <w:pPr>
        <w:spacing w:after="534"/>
        <w:ind w:left="288" w:right="146"/>
      </w:pPr>
      <w:r>
        <w:t xml:space="preserve">3.º Que el ente destinatario del encargo no persiga intereses contrarios a los intereses de los entes que puedan conferirle encargos. </w:t>
      </w:r>
    </w:p>
    <w:p w:rsidR="00DA121A" w:rsidRDefault="00904DD6">
      <w:pPr>
        <w:ind w:left="288" w:right="146"/>
      </w:pPr>
      <w:r>
        <w:t>La compensación se establecerá, por</w:t>
      </w:r>
      <w:r>
        <w:t xml:space="preserve"> referencia a tarifas aprobadas por la entidad pública de la que depende el medio propio personificado para las actividades objeto de encargo realizadas por el medio propio directamente y, en la forma que reglamentariamente se determine, atendiendo al cost</w:t>
      </w:r>
      <w:r>
        <w:t xml:space="preserve">e efectivo soportado por el medio propio para las actividades objeto del encargo que se subcontraten con empresarios particulares en los casos en que este coste sea inferior al resultante de aplicar las tarifas a las actividades subcontratadas. </w:t>
      </w:r>
    </w:p>
    <w:p w:rsidR="00DA121A" w:rsidRDefault="00904DD6">
      <w:pPr>
        <w:ind w:left="288" w:right="146"/>
      </w:pPr>
      <w:r>
        <w:t>Dichas tar</w:t>
      </w:r>
      <w:r>
        <w:t xml:space="preserve">ifas se calcularán de manera que representen los costes reales de realización de las unidades producidas directamente por el medio propio. </w:t>
      </w:r>
    </w:p>
    <w:p w:rsidR="00DA121A" w:rsidRDefault="00904DD6">
      <w:pPr>
        <w:numPr>
          <w:ilvl w:val="0"/>
          <w:numId w:val="59"/>
        </w:numPr>
        <w:ind w:right="262" w:firstLine="350"/>
      </w:pPr>
      <w:r>
        <w:t>Que más del 80 por ciento de las actividades del ente destinatario del encargo se lleven a cabo en el ejercicio de l</w:t>
      </w:r>
      <w:r>
        <w:t>os cometidos que le han sido confiados por los poderes adjudicadores que lo controlan o por otras personas jurídicas controladas por los mismos poderes adjudicadores. El cálculo del 80 por ciento se hará de acuerdo con lo establecido en la letra b) del apa</w:t>
      </w:r>
      <w:r>
        <w:t xml:space="preserve">rtado 2 de este artículo. </w:t>
      </w:r>
    </w:p>
    <w:p w:rsidR="00DA121A" w:rsidRDefault="00904DD6">
      <w:pPr>
        <w:numPr>
          <w:ilvl w:val="0"/>
          <w:numId w:val="59"/>
        </w:numPr>
        <w:spacing w:after="524" w:line="259" w:lineRule="auto"/>
        <w:ind w:right="262" w:firstLine="350"/>
      </w:pPr>
      <w:r>
        <w:t xml:space="preserve">Que cumplan los requisitos que establece este artículo en su apartado 2 letras c) y d). </w:t>
      </w:r>
    </w:p>
    <w:p w:rsidR="00DA121A" w:rsidRDefault="00904DD6">
      <w:pPr>
        <w:numPr>
          <w:ilvl w:val="0"/>
          <w:numId w:val="60"/>
        </w:numPr>
        <w:spacing w:after="306"/>
        <w:ind w:right="145" w:firstLine="350"/>
      </w:pPr>
      <w:r>
        <w:rPr>
          <w:b/>
        </w:rPr>
        <w:t>(Suprimido)</w:t>
      </w:r>
      <w:r>
        <w:rPr>
          <w:rFonts w:ascii="Times New Roman" w:eastAsia="Times New Roman" w:hAnsi="Times New Roman" w:cs="Times New Roman"/>
          <w:sz w:val="24"/>
        </w:rPr>
        <w:t xml:space="preserve"> </w:t>
      </w:r>
    </w:p>
    <w:p w:rsidR="00DA121A" w:rsidRDefault="00904DD6">
      <w:pPr>
        <w:numPr>
          <w:ilvl w:val="0"/>
          <w:numId w:val="60"/>
        </w:numPr>
        <w:spacing w:after="520"/>
        <w:ind w:right="145" w:firstLine="350"/>
      </w:pPr>
      <w:r>
        <w:t>Los encargos que realicen las entidades del sector público a un ente que, de acuerdo con los apartados segundo, tercero o cuarto de este artículo, pueda ser calificado como medio propio personificado del primero o primeros, no tendrán la consideración jurí</w:t>
      </w:r>
      <w:r>
        <w:t xml:space="preserve">dica de contrato, debiendo únicamente cumplir las siguientes normas: </w:t>
      </w:r>
    </w:p>
    <w:p w:rsidR="00DA121A" w:rsidRDefault="00904DD6">
      <w:pPr>
        <w:numPr>
          <w:ilvl w:val="0"/>
          <w:numId w:val="61"/>
        </w:numPr>
        <w:spacing w:line="250" w:lineRule="auto"/>
        <w:ind w:right="146" w:firstLine="350"/>
      </w:pPr>
      <w:r>
        <w:t xml:space="preserve">El medio propio personificado deberá haber publicado en la Plataforma de Contratación </w:t>
      </w:r>
    </w:p>
    <w:p w:rsidR="00DA121A" w:rsidRDefault="00904DD6">
      <w:pPr>
        <w:spacing w:after="338"/>
        <w:ind w:left="288" w:right="146"/>
      </w:pPr>
      <w:r>
        <w:t>correspondiente su condición de tal; respecto de qué poderes adjudicadores la ostenta; y los sector</w:t>
      </w:r>
      <w:r>
        <w:t xml:space="preserve">es de actividad en los que, estando comprendidos en su objeto social, sería apto para ejecutar las prestaciones que vayan a ser objeto de encargo. </w:t>
      </w:r>
    </w:p>
    <w:p w:rsidR="00DA121A" w:rsidRDefault="00904DD6">
      <w:pPr>
        <w:numPr>
          <w:ilvl w:val="0"/>
          <w:numId w:val="61"/>
        </w:numPr>
        <w:spacing w:after="340"/>
        <w:ind w:right="146" w:firstLine="350"/>
      </w:pPr>
      <w:r>
        <w:t>El encargo deberá ser objeto de formalización en un documento que será publicado en la Plataforma de Contrat</w:t>
      </w:r>
      <w:r>
        <w:t xml:space="preserve">ación correspondiente en los supuestos previstos del artículo 63.6. El documento de formalización establecerá el plazo de duración del encargo. </w:t>
      </w:r>
    </w:p>
    <w:p w:rsidR="00DA121A" w:rsidRDefault="00904DD6">
      <w:pPr>
        <w:numPr>
          <w:ilvl w:val="0"/>
          <w:numId w:val="61"/>
        </w:numPr>
        <w:spacing w:after="533"/>
        <w:ind w:right="146" w:firstLine="350"/>
      </w:pPr>
      <w:r>
        <w:t>Los órganos de las entidades del sector público estatal que tengan la condición depoder adjudicador en virtud d</w:t>
      </w:r>
      <w:r>
        <w:t xml:space="preserve">e lo dispuesto en el artículo 3.3 de esta Ley, necesitarán autorización del Consejo de Ministros cuando el importe del gasto que se derive del encargo, sea igual o superior a doce millones de euros. </w:t>
      </w:r>
    </w:p>
    <w:p w:rsidR="00DA121A" w:rsidRDefault="00904DD6">
      <w:pPr>
        <w:ind w:left="288" w:right="146"/>
      </w:pPr>
      <w:r>
        <w:t>La autorización del Consejo de Ministros a que se refier</w:t>
      </w:r>
      <w:r>
        <w:t>e el párrafo anterior deberá obtenerse antes de la suscripción del encargo por el órgano competente. Una vez obtenida la autorización, corresponderá a los órganos competentes la aprobación del gasto y suscripción del encargo, de conformidad con lo dispuest</w:t>
      </w:r>
      <w:r>
        <w:t xml:space="preserve">o en las respectivas normas. </w:t>
      </w:r>
    </w:p>
    <w:p w:rsidR="00DA121A" w:rsidRDefault="00904DD6">
      <w:pPr>
        <w:ind w:left="288" w:right="146"/>
      </w:pPr>
      <w:r>
        <w:t xml:space="preserve">A efectos de obtener la citada autorización, los órganos competentes deberán remitir al menos los siguientes documentos: el texto del encargo; el informe del servicio jurídico; así como el certificado de existencia de crédito </w:t>
      </w:r>
      <w:r>
        <w:t xml:space="preserve">o, tratándose de poderes adjudicadores con presupuesto estimativo, los documentos equivalentes que acrediten la existencia de financiación. </w:t>
      </w:r>
    </w:p>
    <w:p w:rsidR="00DA121A" w:rsidRDefault="00904DD6">
      <w:pPr>
        <w:ind w:left="288" w:right="146"/>
      </w:pPr>
      <w:r>
        <w:t>Requerirán igualmente la previa autorización del Consejo de Ministros las modificaciones de encargos autorizados po</w:t>
      </w:r>
      <w:r>
        <w:t xml:space="preserve">r el Consejo de Ministros, cuando superen el 20 por cien del importe del encargo. </w:t>
      </w:r>
    </w:p>
    <w:p w:rsidR="00DA121A" w:rsidRDefault="00904DD6">
      <w:pPr>
        <w:ind w:left="288" w:right="146"/>
      </w:pPr>
      <w:r>
        <w:t>La autorización que otorgue el Consejo de Ministros será genérica para la suscripción del encargo, sin que en ningún caso implique una validación de los trámites realizados,</w:t>
      </w:r>
      <w:r>
        <w:t xml:space="preserve"> ni exima de la responsabilidad que corresponda a las partes respecto de la correcta tramitación y realización del encargo. </w:t>
      </w:r>
    </w:p>
    <w:p w:rsidR="00DA121A" w:rsidRDefault="00904DD6">
      <w:pPr>
        <w:spacing w:after="518"/>
        <w:ind w:left="288" w:right="146"/>
      </w:pPr>
      <w:r>
        <w:t>7. A los negocios jurídicos que los entes destinatarios del encargo celebren en ejecución del encargo recibido de conformidad con e</w:t>
      </w:r>
      <w:r>
        <w:t xml:space="preserve">l presente artículo, se le aplicarán las siguientes reglas: </w:t>
      </w:r>
    </w:p>
    <w:p w:rsidR="00DA121A" w:rsidRDefault="00904DD6">
      <w:pPr>
        <w:numPr>
          <w:ilvl w:val="0"/>
          <w:numId w:val="62"/>
        </w:numPr>
        <w:spacing w:after="335"/>
        <w:ind w:right="146" w:firstLine="350"/>
      </w:pPr>
      <w:r>
        <w:t>El contrato quedará sometido a esta Ley, en los términos que sean procedentes, de acuerdo con la naturaleza de la entidad que los celebre y el tipo y valor estimado de los mismos y, en todo caso,</w:t>
      </w:r>
      <w:r>
        <w:t xml:space="preserve"> cuando el medio propio no sea un poder adjudicador se le aplicarán las normas contenidas en el Título I del Libro Tercero de la presente Ley. </w:t>
      </w:r>
    </w:p>
    <w:p w:rsidR="00DA121A" w:rsidRDefault="00904DD6">
      <w:pPr>
        <w:numPr>
          <w:ilvl w:val="0"/>
          <w:numId w:val="62"/>
        </w:numPr>
        <w:spacing w:after="350"/>
        <w:ind w:right="146" w:firstLine="350"/>
      </w:pPr>
      <w:r>
        <w:t>El importe de las prestaciones parciales que el medio propio pueda contratar con terceros no excederá del 50 por</w:t>
      </w:r>
      <w:r>
        <w:t xml:space="preserve"> ciento de la cuantía del encargo. No se considerarán prestaciones parciales aquellas que el medio propio adquiera a otras empresas cuando se trate de suministros o servicios auxiliares o instrumentales que no constituyen una parte autónoma y diferenciable</w:t>
      </w:r>
      <w:r>
        <w:t xml:space="preserve"> de la prestación principal, aunque sean parte del proceso necesario para producir dicha prestación. </w:t>
      </w:r>
    </w:p>
    <w:p w:rsidR="00DA121A" w:rsidRDefault="00904DD6">
      <w:pPr>
        <w:ind w:left="288" w:right="146"/>
      </w:pPr>
      <w:r>
        <w:t xml:space="preserve">No será aplicable lo establecido en esta letra a los contratos de obras que celebren los medios propios a los que se les haya encargado una concesión, ya sea de obras o de servicios. Igualmente, no será de aplicación en los supuestos en los que la gestión </w:t>
      </w:r>
      <w:r>
        <w:t xml:space="preserve">del servicio público se efectúe mediante la creación de entidades de derecho público destinadas a este fin, ni a aquellos en que la misma se atribuya a una sociedad de derecho privado cuyo capital sea, en su totalidad, de titularidad pública. </w:t>
      </w:r>
    </w:p>
    <w:p w:rsidR="00DA121A" w:rsidRDefault="00904DD6">
      <w:pPr>
        <w:ind w:left="288" w:right="146"/>
      </w:pPr>
      <w:r>
        <w:t>Tampoco será</w:t>
      </w:r>
      <w:r>
        <w:t xml:space="preserve"> aplicable a los contratos que celebren los medios propios a los que se les haya encargado la prestación de servicios informáticos y tecnológicos a la Administración Pública con el fin de garantizar la compatibilidad, la comunicabilidad y la seguridad de r</w:t>
      </w:r>
      <w:r>
        <w:t xml:space="preserve">edes y sistemas, la integridad, fiabilidad y confidencialidad de la información, así como a los que celebren los medios propios cuyas funciones sean el fomento de las telecomunicaciones, el desarrollo de la sociedad de la información y sociedad digital. </w:t>
      </w:r>
    </w:p>
    <w:p w:rsidR="00DA121A" w:rsidRDefault="00904DD6">
      <w:pPr>
        <w:spacing w:after="529"/>
        <w:ind w:left="288" w:right="146"/>
      </w:pPr>
      <w:r>
        <w:t>E</w:t>
      </w:r>
      <w:r>
        <w:t>xcepcionalmente podrá superarse dicho porcentaje de contratación siempre que el encargo al medio propio se base en razones de seguridad, en la naturaleza de la prestación que requiera un mayor control en la ejecución de la misma, o en razones de urgencia q</w:t>
      </w:r>
      <w:r>
        <w:t xml:space="preserve">ue demanden una mayor celeridad en su ejecución. La justificación de que concurren estas circunstancias se acompañará al documento de formalización del encargo y se publicará en la Plataforma de Contratación correspondiente conjuntamente con éste. </w:t>
      </w:r>
    </w:p>
    <w:p w:rsidR="00DA121A" w:rsidRDefault="00904DD6">
      <w:pPr>
        <w:spacing w:after="335"/>
        <w:ind w:left="288" w:right="146"/>
      </w:pPr>
      <w:r>
        <w:t>Es de a</w:t>
      </w:r>
      <w:r>
        <w:t xml:space="preserve">plicación el artículo 47 de la Ley de Bases del Régimen local: </w:t>
      </w:r>
    </w:p>
    <w:p w:rsidR="00DA121A" w:rsidRDefault="00904DD6">
      <w:pPr>
        <w:numPr>
          <w:ilvl w:val="0"/>
          <w:numId w:val="63"/>
        </w:numPr>
        <w:spacing w:after="339"/>
        <w:ind w:right="146" w:firstLine="350"/>
      </w:pPr>
      <w:r>
        <w:t>Los acuerdos de las corporaciones locales se adoptan, como regla general, por mayoría simple de los miembros presentes. Existe mayoría simple cuando los votos afirmativos son más que los negat</w:t>
      </w:r>
      <w:r>
        <w:t xml:space="preserve">ivos. </w:t>
      </w:r>
    </w:p>
    <w:p w:rsidR="00DA121A" w:rsidRDefault="00904DD6">
      <w:pPr>
        <w:numPr>
          <w:ilvl w:val="0"/>
          <w:numId w:val="63"/>
        </w:numPr>
        <w:spacing w:after="353"/>
        <w:ind w:right="146" w:firstLine="350"/>
      </w:pPr>
      <w:r>
        <w:t xml:space="preserve">Se requiere el voto favorable de la mayoría absoluta del número legal de miembros de las corporaciones para la adopción de acuerdos en las siguientes materias: </w:t>
      </w:r>
    </w:p>
    <w:p w:rsidR="00DA121A" w:rsidRDefault="00904DD6">
      <w:pPr>
        <w:spacing w:after="545"/>
        <w:ind w:left="1014" w:right="146"/>
      </w:pPr>
      <w:r>
        <w:rPr>
          <w:rFonts w:ascii="Calibri" w:eastAsia="Calibri" w:hAnsi="Calibri" w:cs="Calibri"/>
          <w:i/>
        </w:rPr>
        <w:t>e)</w:t>
      </w:r>
      <w:r>
        <w:rPr>
          <w:i/>
        </w:rPr>
        <w:t xml:space="preserve"> </w:t>
      </w:r>
      <w:r>
        <w:t xml:space="preserve">Transferencia de funciones o actividades a otras Administraciones públicas, así como la aceptación de las delegaciones o encomiendas de gestión realizadas por otras administraciones, salvo que por ley se impongan obligatoriamente. </w:t>
      </w:r>
    </w:p>
    <w:p w:rsidR="00DA121A" w:rsidRDefault="00904DD6">
      <w:pPr>
        <w:spacing w:after="0" w:line="259" w:lineRule="auto"/>
        <w:ind w:left="284" w:firstLine="0"/>
        <w:jc w:val="left"/>
      </w:pPr>
      <w:r>
        <w:t xml:space="preserve"> </w:t>
      </w:r>
    </w:p>
    <w:p w:rsidR="00DA121A" w:rsidRDefault="00904DD6">
      <w:pPr>
        <w:spacing w:after="0" w:line="262" w:lineRule="auto"/>
        <w:ind w:left="1228" w:right="445"/>
        <w:jc w:val="center"/>
      </w:pPr>
      <w:r>
        <w:rPr>
          <w:b/>
        </w:rPr>
        <w:t xml:space="preserve">PROPUESTA DE ACUERDO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pStyle w:val="Ttulo2"/>
        <w:ind w:left="125" w:right="0"/>
      </w:pPr>
      <w:r>
        <w:t xml:space="preserve">Primero. - Encomendar a la entidad “Gestión y Planeamiento Territorial y Medioambiental, SA (GESPLAN), adscrita a la Consejería de Transición Ecológica, Lucha contra el Cambio </w:t>
      </w:r>
    </w:p>
    <w:p w:rsidR="00DA121A" w:rsidRDefault="00904DD6">
      <w:pPr>
        <w:spacing w:after="4"/>
        <w:ind w:left="279" w:right="144"/>
      </w:pPr>
      <w:r>
        <w:rPr>
          <w:b/>
        </w:rPr>
        <w:t xml:space="preserve">Climático y Planificación Territorial del Gobierno de Canarias, la redacción </w:t>
      </w:r>
      <w:r>
        <w:rPr>
          <w:b/>
        </w:rPr>
        <w:t>del proyecto del Plan Especial del Parque Periurbano de Pasacola con unos plazos de ejecución de la redacción del proyecto y del presupuesto del contrato de servicios que son los siguientes:</w:t>
      </w:r>
      <w:r>
        <w:rPr>
          <w:rFonts w:ascii="Times New Roman" w:eastAsia="Times New Roman" w:hAnsi="Times New Roman" w:cs="Times New Roman"/>
          <w:sz w:val="24"/>
        </w:rPr>
        <w:t xml:space="preserve"> </w:t>
      </w:r>
    </w:p>
    <w:p w:rsidR="00DA121A" w:rsidRDefault="00904DD6">
      <w:pPr>
        <w:spacing w:after="92" w:line="259" w:lineRule="auto"/>
        <w:ind w:left="269" w:firstLine="0"/>
        <w:jc w:val="left"/>
      </w:pPr>
      <w:r>
        <w:t xml:space="preserve"> </w:t>
      </w:r>
    </w:p>
    <w:p w:rsidR="00DA121A" w:rsidRDefault="00904DD6">
      <w:pPr>
        <w:spacing w:after="69"/>
        <w:ind w:left="279" w:right="144"/>
      </w:pPr>
      <w:r>
        <w:rPr>
          <w:b/>
        </w:rPr>
        <w:t>PLAZO DE EJECUCIÓN</w:t>
      </w:r>
      <w:r>
        <w:rPr>
          <w:rFonts w:ascii="Times New Roman" w:eastAsia="Times New Roman" w:hAnsi="Times New Roman" w:cs="Times New Roman"/>
          <w:sz w:val="24"/>
        </w:rPr>
        <w:t xml:space="preserve"> </w:t>
      </w:r>
    </w:p>
    <w:p w:rsidR="00DA121A" w:rsidRDefault="00904DD6">
      <w:pPr>
        <w:spacing w:after="87"/>
        <w:ind w:left="279" w:right="144"/>
      </w:pPr>
      <w:r>
        <w:rPr>
          <w:b/>
        </w:rPr>
        <w:t xml:space="preserve">FASE 1- </w:t>
      </w:r>
      <w:r>
        <w:rPr>
          <w:b/>
        </w:rPr>
        <w:t>DOCUMENTO BORRADOR Y DOCUMENTO INICIAL ESTRATÉGICO Plazo estimado de redacción: 4 meses</w:t>
      </w:r>
      <w:r>
        <w:rPr>
          <w:rFonts w:ascii="Times New Roman" w:eastAsia="Times New Roman" w:hAnsi="Times New Roman" w:cs="Times New Roman"/>
          <w:sz w:val="24"/>
        </w:rPr>
        <w:t xml:space="preserve"> </w:t>
      </w:r>
    </w:p>
    <w:p w:rsidR="00DA121A" w:rsidRDefault="00904DD6">
      <w:pPr>
        <w:spacing w:after="86"/>
        <w:ind w:left="279" w:right="144"/>
      </w:pPr>
      <w:r>
        <w:rPr>
          <w:b/>
        </w:rPr>
        <w:t xml:space="preserve"> FASE 2 – DOCUMENTO PARA APROBACIÓN INICIAL Y ESTUDIO AMBIENTAL </w:t>
      </w:r>
      <w:r>
        <w:rPr>
          <w:rFonts w:ascii="Times New Roman" w:eastAsia="Times New Roman" w:hAnsi="Times New Roman" w:cs="Times New Roman"/>
          <w:sz w:val="24"/>
        </w:rPr>
        <w:t xml:space="preserve"> </w:t>
      </w:r>
      <w:r>
        <w:rPr>
          <w:b/>
        </w:rPr>
        <w:t xml:space="preserve">ESTRATÉGICO Plazo estimado de redacción: 3 meses </w:t>
      </w:r>
      <w:r>
        <w:rPr>
          <w:rFonts w:ascii="Times New Roman" w:eastAsia="Times New Roman" w:hAnsi="Times New Roman" w:cs="Times New Roman"/>
          <w:sz w:val="24"/>
        </w:rPr>
        <w:t xml:space="preserve"> </w:t>
      </w:r>
    </w:p>
    <w:p w:rsidR="00DA121A" w:rsidRDefault="00904DD6">
      <w:pPr>
        <w:spacing w:after="29" w:line="284" w:lineRule="auto"/>
        <w:ind w:left="269" w:right="1615" w:firstLine="0"/>
        <w:jc w:val="left"/>
      </w:pPr>
      <w:r>
        <w:rPr>
          <w:b/>
        </w:rPr>
        <w:t>FASE 3 – DOCUMENTO VERSION DEFINITIVA DEL PLAN PARA</w:t>
      </w:r>
      <w:r>
        <w:rPr>
          <w:b/>
        </w:rPr>
        <w:t xml:space="preserve"> APROBACIÓN </w:t>
      </w:r>
      <w:r>
        <w:rPr>
          <w:rFonts w:ascii="Times New Roman" w:eastAsia="Times New Roman" w:hAnsi="Times New Roman" w:cs="Times New Roman"/>
          <w:sz w:val="24"/>
        </w:rPr>
        <w:t xml:space="preserve"> </w:t>
      </w:r>
      <w:r>
        <w:rPr>
          <w:b/>
        </w:rPr>
        <w:t>DEFINITIVA Plazo estimado de redacción: 2 meses</w:t>
      </w:r>
      <w:r>
        <w:rPr>
          <w:rFonts w:ascii="Times New Roman" w:eastAsia="Times New Roman" w:hAnsi="Times New Roman" w:cs="Times New Roman"/>
          <w:sz w:val="24"/>
        </w:rPr>
        <w:t xml:space="preserve"> </w:t>
      </w:r>
      <w:r>
        <w:rPr>
          <w:b/>
        </w:rPr>
        <w:t>PRESUPUESTO:</w:t>
      </w:r>
      <w:r>
        <w:rPr>
          <w:rFonts w:ascii="Times New Roman" w:eastAsia="Times New Roman" w:hAnsi="Times New Roman" w:cs="Times New Roman"/>
          <w:sz w:val="24"/>
        </w:rPr>
        <w:t xml:space="preserve"> </w:t>
      </w:r>
    </w:p>
    <w:p w:rsidR="00DA121A" w:rsidRDefault="00904DD6">
      <w:pPr>
        <w:spacing w:after="29"/>
        <w:ind w:left="279" w:right="144"/>
      </w:pPr>
      <w:r>
        <w:rPr>
          <w:b/>
        </w:rPr>
        <w:t xml:space="preserve">El importe total de la propuesta asciende a la cantidad de CUARENTA Y UN MIL EUROS CIENTO CINCUENTA Y TRES MIL EUROS Y CINCUENTA Y TRES CÉNTIMOS (41.153,53 </w:t>
      </w:r>
      <w:r>
        <w:rPr>
          <w:rFonts w:ascii="Times New Roman" w:eastAsia="Times New Roman" w:hAnsi="Times New Roman" w:cs="Times New Roman"/>
          <w:sz w:val="24"/>
        </w:rPr>
        <w:t xml:space="preserve"> </w:t>
      </w:r>
    </w:p>
    <w:p w:rsidR="00DA121A" w:rsidRDefault="00904DD6">
      <w:pPr>
        <w:spacing w:after="68"/>
        <w:ind w:left="279" w:right="144"/>
      </w:pPr>
      <w:r>
        <w:rPr>
          <w:b/>
        </w:rPr>
        <w:t>€).</w:t>
      </w:r>
      <w:r>
        <w:rPr>
          <w:rFonts w:ascii="Times New Roman" w:eastAsia="Times New Roman" w:hAnsi="Times New Roman" w:cs="Times New Roman"/>
          <w:sz w:val="24"/>
        </w:rPr>
        <w:t xml:space="preserve"> </w:t>
      </w:r>
    </w:p>
    <w:p w:rsidR="00DA121A" w:rsidRDefault="00904DD6">
      <w:pPr>
        <w:spacing w:after="14" w:line="259" w:lineRule="auto"/>
        <w:ind w:left="284" w:firstLine="0"/>
        <w:jc w:val="left"/>
      </w:pPr>
      <w:r>
        <w:rPr>
          <w:b/>
        </w:rPr>
        <w:t xml:space="preserve"> </w:t>
      </w:r>
    </w:p>
    <w:p w:rsidR="00DA121A" w:rsidRDefault="00904DD6">
      <w:pPr>
        <w:spacing w:after="4"/>
        <w:ind w:left="279" w:right="144"/>
      </w:pPr>
      <w:r>
        <w:rPr>
          <w:b/>
        </w:rPr>
        <w:t>Segundo. - Notif</w:t>
      </w:r>
      <w:r>
        <w:rPr>
          <w:b/>
        </w:rPr>
        <w:t>icar el presente acuerdo a la entidad “Gestión y Planeamiento Territorial y Medioambiental, SA (GESPLAN).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Esta Alcaldía-Presidencia eleve al Pleno de la Corporación eleva al Pleno de la Corporación el siguiente,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62" w:lineRule="auto"/>
        <w:ind w:left="1228" w:right="1095"/>
        <w:jc w:val="center"/>
      </w:pPr>
      <w:r>
        <w:rPr>
          <w:b/>
        </w:rPr>
        <w:t xml:space="preserve">ACUERDO: </w:t>
      </w:r>
    </w:p>
    <w:p w:rsidR="00DA121A" w:rsidRDefault="00904DD6">
      <w:pPr>
        <w:spacing w:after="12" w:line="259" w:lineRule="auto"/>
        <w:ind w:left="284" w:firstLine="0"/>
        <w:jc w:val="left"/>
      </w:pPr>
      <w:r>
        <w:rPr>
          <w:b/>
        </w:rPr>
        <w:t xml:space="preserve"> </w:t>
      </w:r>
    </w:p>
    <w:p w:rsidR="00DA121A" w:rsidRDefault="00904DD6">
      <w:pPr>
        <w:spacing w:after="4"/>
        <w:ind w:left="279" w:right="144"/>
      </w:pPr>
      <w:r>
        <w:rPr>
          <w:b/>
        </w:rPr>
        <w:t xml:space="preserve">         Primero. - </w:t>
      </w:r>
      <w:r>
        <w:rPr>
          <w:b/>
        </w:rPr>
        <w:t>Encomendar a la entidad “Gestión y Planeamiento Territorial y Medioambiental, SA (GESPLAN), adscrita a la Consejería de Transición Ecológica, Lucha contra el Cambio Climático y Planificación Territorial del Gobierno de Canarias, la redacción del proyecto d</w:t>
      </w:r>
      <w:r>
        <w:rPr>
          <w:b/>
        </w:rPr>
        <w:t xml:space="preserve">el Plan Especial del Parque Periurbano de Pasacola con unos plazos de ejecución de la redacción del proyecto y del presupuesto del contrato de servicios que son los siguientes: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PLAZO DE EJECUCIÓN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FAS</w:t>
      </w:r>
      <w:r>
        <w:rPr>
          <w:b/>
        </w:rPr>
        <w:t xml:space="preserve">E 1- DOCUMENTO BORRADOR Y DOCUMENTO INICIAL ESTRATÉGICO Plazo estimado de redacción: 4 meses  </w:t>
      </w:r>
    </w:p>
    <w:p w:rsidR="00DA121A" w:rsidRDefault="00904DD6">
      <w:pPr>
        <w:spacing w:after="4"/>
        <w:ind w:left="279" w:right="144"/>
      </w:pPr>
      <w:r>
        <w:rPr>
          <w:b/>
        </w:rPr>
        <w:t xml:space="preserve">FASE 2 – DOCUMENTO PARA APROBACIÓN INICIAL Y ESTUDIO AMBIENTAL </w:t>
      </w:r>
    </w:p>
    <w:p w:rsidR="00DA121A" w:rsidRDefault="00904DD6">
      <w:pPr>
        <w:spacing w:after="4"/>
        <w:ind w:left="279" w:right="144"/>
      </w:pPr>
      <w:r>
        <w:rPr>
          <w:b/>
        </w:rPr>
        <w:t xml:space="preserve">ESTRATÉGICO Plazo estimado de redacción: 3 meses  </w:t>
      </w:r>
    </w:p>
    <w:p w:rsidR="00DA121A" w:rsidRDefault="00904DD6">
      <w:pPr>
        <w:spacing w:after="4"/>
        <w:ind w:left="279" w:right="144"/>
      </w:pPr>
      <w:r>
        <w:rPr>
          <w:b/>
        </w:rPr>
        <w:t>FASE 3 – DOCUMENTO VERSION DEFINITIVA DEL PLAN</w:t>
      </w:r>
      <w:r>
        <w:rPr>
          <w:b/>
        </w:rPr>
        <w:t xml:space="preserve"> PARA APROBACIÓN DEFINITIVA Plazo estimado de redacción: 2 meses  </w:t>
      </w:r>
    </w:p>
    <w:p w:rsidR="00DA121A" w:rsidRDefault="00904DD6">
      <w:pPr>
        <w:spacing w:after="0" w:line="259" w:lineRule="auto"/>
        <w:ind w:left="284" w:firstLine="0"/>
        <w:jc w:val="left"/>
      </w:pPr>
      <w:r>
        <w:rPr>
          <w:b/>
        </w:rPr>
        <w:t xml:space="preserve"> </w:t>
      </w:r>
    </w:p>
    <w:p w:rsidR="00DA121A" w:rsidRDefault="00904DD6">
      <w:pPr>
        <w:spacing w:after="0" w:line="262" w:lineRule="auto"/>
        <w:ind w:left="1228" w:right="1097"/>
        <w:jc w:val="center"/>
      </w:pPr>
      <w:r>
        <w:rPr>
          <w:b/>
        </w:rPr>
        <w:t xml:space="preserve">PRESUPUESTO: </w:t>
      </w:r>
    </w:p>
    <w:p w:rsidR="00DA121A" w:rsidRDefault="00904DD6">
      <w:pPr>
        <w:spacing w:after="4"/>
        <w:ind w:left="279" w:right="144"/>
      </w:pPr>
      <w:r>
        <w:rPr>
          <w:b/>
        </w:rPr>
        <w:t xml:space="preserve">El importe total de la propuesta asciende a la cantidad de CUARENTA Y UN MIL EUROS CIENTO CINCUENTA Y TRES MIL EUROS Y CINCUENTA Y TRES CÉNTIMOS (41.153,53 €).  </w:t>
      </w:r>
    </w:p>
    <w:p w:rsidR="00DA121A" w:rsidRDefault="00904DD6">
      <w:pPr>
        <w:spacing w:after="14" w:line="259" w:lineRule="auto"/>
        <w:ind w:left="284" w:firstLine="0"/>
        <w:jc w:val="left"/>
      </w:pPr>
      <w:r>
        <w:rPr>
          <w:b/>
        </w:rPr>
        <w:t xml:space="preserve"> </w:t>
      </w:r>
    </w:p>
    <w:p w:rsidR="00DA121A" w:rsidRDefault="00904DD6">
      <w:pPr>
        <w:spacing w:after="9421"/>
        <w:ind w:left="279" w:right="144"/>
      </w:pPr>
      <w:r>
        <w:rPr>
          <w:b/>
        </w:rPr>
        <w:t xml:space="preserve">Segundo. </w:t>
      </w:r>
      <w:r>
        <w:rPr>
          <w:b/>
        </w:rPr>
        <w:t xml:space="preserve">- Notificar el presente acuerdo a la entidad “Gestión y Planeamiento Territorial y Medioambiental, SA (GESPLAN). </w:t>
      </w:r>
    </w:p>
    <w:p w:rsidR="00DA121A" w:rsidRDefault="00904DD6">
      <w:pPr>
        <w:spacing w:after="0" w:line="259" w:lineRule="auto"/>
        <w:ind w:left="269" w:firstLine="0"/>
        <w:jc w:val="left"/>
      </w:pPr>
      <w:r>
        <w:rPr>
          <w:b/>
        </w:rPr>
        <w:t xml:space="preserve"> </w:t>
      </w:r>
    </w:p>
    <w:p w:rsidR="00DA121A" w:rsidRDefault="00904DD6">
      <w:pPr>
        <w:spacing w:after="9423"/>
        <w:ind w:left="279" w:right="144"/>
      </w:pPr>
      <w:r>
        <w:rPr>
          <w:b/>
        </w:rPr>
        <w:t xml:space="preserve">DICTAMEN FAVORABLE DE LA COMISIÓN INFORMATIVA DE P.G. URBANÍSTICA Y AMBIENTAL, OBRAS y SERVICIOS PÚBLICOS DE 27 DE MARZO DE 2023.  </w:t>
      </w:r>
    </w:p>
    <w:p w:rsidR="00DA121A" w:rsidRDefault="00904DD6">
      <w:pPr>
        <w:ind w:left="288" w:right="146"/>
      </w:pPr>
      <w:r>
        <w:t>Votos a favor: 4.</w:t>
      </w:r>
      <w:r>
        <w:rPr>
          <w:b/>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Los 4 concejales del Grupo Socialista:  Don Reinaldo José Triviño Blanco, Doña Hilaria Cecilia </w:t>
      </w:r>
    </w:p>
    <w:p w:rsidR="00DA121A" w:rsidRDefault="00904DD6">
      <w:pPr>
        <w:tabs>
          <w:tab w:val="center" w:pos="578"/>
          <w:tab w:val="center" w:pos="2003"/>
          <w:tab w:val="center" w:pos="3404"/>
          <w:tab w:val="center" w:pos="4771"/>
          <w:tab w:val="center" w:pos="6064"/>
          <w:tab w:val="center" w:pos="7289"/>
          <w:tab w:val="center" w:pos="8714"/>
          <w:tab w:val="right" w:pos="10005"/>
        </w:tabs>
        <w:ind w:left="0" w:firstLine="0"/>
        <w:jc w:val="left"/>
      </w:pPr>
      <w:r>
        <w:rPr>
          <w:rFonts w:ascii="Calibri" w:eastAsia="Calibri" w:hAnsi="Calibri" w:cs="Calibri"/>
        </w:rPr>
        <w:tab/>
      </w:r>
      <w:r>
        <w:t xml:space="preserve">Otazo </w:t>
      </w:r>
      <w:r>
        <w:tab/>
        <w:t xml:space="preserve">González, </w:t>
      </w:r>
      <w:r>
        <w:tab/>
        <w:t xml:space="preserve">Doña </w:t>
      </w:r>
      <w:r>
        <w:tab/>
        <w:t xml:space="preserve">Margarita </w:t>
      </w:r>
      <w:r>
        <w:tab/>
        <w:t xml:space="preserve">Eva </w:t>
      </w:r>
      <w:r>
        <w:tab/>
        <w:t xml:space="preserve">Tendero </w:t>
      </w:r>
      <w:r>
        <w:tab/>
        <w:t xml:space="preserve">Barroso </w:t>
      </w:r>
      <w:r>
        <w:tab/>
        <w:t xml:space="preserve">y  </w:t>
      </w:r>
    </w:p>
    <w:p w:rsidR="00DA121A" w:rsidRDefault="00904DD6">
      <w:pPr>
        <w:ind w:left="288" w:right="146"/>
      </w:pPr>
      <w:r>
        <w:t xml:space="preserve">Don Jorge Baute Delgado. </w:t>
      </w:r>
    </w:p>
    <w:p w:rsidR="00DA121A" w:rsidRDefault="00904DD6">
      <w:pPr>
        <w:spacing w:after="0" w:line="259" w:lineRule="auto"/>
        <w:ind w:left="284" w:firstLine="0"/>
        <w:jc w:val="left"/>
      </w:pPr>
      <w:r>
        <w:t xml:space="preserve"> </w:t>
      </w:r>
    </w:p>
    <w:p w:rsidR="00DA121A" w:rsidRDefault="00904DD6">
      <w:pPr>
        <w:ind w:left="288" w:right="146"/>
      </w:pPr>
      <w:r>
        <w:t xml:space="preserve">Votos en contra: 0. </w:t>
      </w:r>
    </w:p>
    <w:p w:rsidR="00DA121A" w:rsidRDefault="00904DD6">
      <w:pPr>
        <w:spacing w:after="0" w:line="259" w:lineRule="auto"/>
        <w:ind w:left="284" w:firstLine="0"/>
        <w:jc w:val="left"/>
      </w:pPr>
      <w:r>
        <w:t xml:space="preserve"> </w:t>
      </w:r>
    </w:p>
    <w:p w:rsidR="00DA121A" w:rsidRDefault="00904DD6">
      <w:pPr>
        <w:ind w:left="288" w:right="146"/>
      </w:pPr>
      <w:r>
        <w:t xml:space="preserve">Abstenciones: 3. </w:t>
      </w:r>
    </w:p>
    <w:p w:rsidR="00DA121A" w:rsidRDefault="00904DD6">
      <w:pPr>
        <w:spacing w:after="0" w:line="259" w:lineRule="auto"/>
        <w:ind w:left="284" w:firstLine="0"/>
        <w:jc w:val="left"/>
      </w:pPr>
      <w:r>
        <w:t xml:space="preserve"> </w:t>
      </w:r>
    </w:p>
    <w:p w:rsidR="00DA121A" w:rsidRDefault="00904DD6">
      <w:pPr>
        <w:ind w:left="288" w:right="146"/>
      </w:pPr>
      <w:r>
        <w:t>El co</w:t>
      </w:r>
      <w:r>
        <w:t xml:space="preserve">ncejal del Grupo Popular, Don Jacobo López Fariña. </w:t>
      </w:r>
    </w:p>
    <w:p w:rsidR="00DA121A" w:rsidRDefault="00904DD6">
      <w:pPr>
        <w:spacing w:after="0" w:line="259" w:lineRule="auto"/>
        <w:ind w:left="284" w:firstLine="0"/>
        <w:jc w:val="left"/>
      </w:pPr>
      <w:r>
        <w:t xml:space="preserve"> </w:t>
      </w:r>
    </w:p>
    <w:p w:rsidR="00DA121A" w:rsidRDefault="00904DD6">
      <w:pPr>
        <w:ind w:left="288" w:right="146"/>
      </w:pPr>
      <w:r>
        <w:t>La concejal del Grupo Mixto (SSP), Doña Lourdes del Carmen Mondéjar Rondón.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La concejal del Grupo Mixto (CC-PNC): Doña Ángela Cruz Perera.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3464"/>
      </w:pPr>
      <w:r>
        <w:rPr>
          <w:b/>
        </w:rPr>
        <w:t xml:space="preserve">JUNTA DE PORTAVOCES DE 27 DE MARZO DE 2023  </w:t>
      </w:r>
      <w:r>
        <w:t xml:space="preserve">Quedó oída.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VOTACIÓN EN EL PLENO DE 30 DE MARZO DE 2023 </w:t>
      </w:r>
    </w:p>
    <w:p w:rsidR="00DA121A" w:rsidRDefault="00904DD6">
      <w:pPr>
        <w:spacing w:after="0" w:line="259" w:lineRule="auto"/>
        <w:ind w:left="186" w:firstLine="0"/>
        <w:jc w:val="center"/>
      </w:pPr>
      <w:r>
        <w:rPr>
          <w:b/>
        </w:rPr>
        <w:t xml:space="preserve"> </w:t>
      </w:r>
    </w:p>
    <w:p w:rsidR="00DA121A" w:rsidRDefault="00904DD6">
      <w:pPr>
        <w:tabs>
          <w:tab w:val="center" w:pos="284"/>
          <w:tab w:val="center" w:pos="3285"/>
        </w:tabs>
        <w:ind w:left="0" w:firstLine="0"/>
        <w:jc w:val="left"/>
      </w:pPr>
      <w:r>
        <w:rPr>
          <w:rFonts w:ascii="Calibri" w:eastAsia="Calibri" w:hAnsi="Calibri" w:cs="Calibri"/>
        </w:rPr>
        <w:tab/>
      </w:r>
      <w:r>
        <w:t xml:space="preserve"> </w:t>
      </w:r>
      <w:r>
        <w:tab/>
        <w:t xml:space="preserve">La unanimidad de los 18 concejales presentes: </w:t>
      </w:r>
    </w:p>
    <w:p w:rsidR="00DA121A" w:rsidRDefault="00904DD6">
      <w:pPr>
        <w:ind w:left="288" w:right="146"/>
      </w:pPr>
      <w:r>
        <w:t>11 concejales del Grupo Socialista: Doña María Concepción Brito Núñez, Doña Don Jorge Baute Delgado, Doña Olivia Concepción Pérez Díaz, Don Jos</w:t>
      </w:r>
      <w:r>
        <w:t>é Francisco Pinto Ramos, Doña Hilaria Cecilia Otazo González, Don Airam Pérez Chinea, Doña Margarita Eva Tendero Barroso, Don Manuel Alberto González Pestano, Doña María del Carmen Clemente Díaz, Don Olegario Francisco Alonso Bello y Don Reinaldo José Triv</w:t>
      </w:r>
      <w:r>
        <w:t xml:space="preserve">iño Blanco.  </w:t>
      </w:r>
    </w:p>
    <w:p w:rsidR="00DA121A" w:rsidRDefault="00904DD6">
      <w:pPr>
        <w:spacing w:after="0" w:line="259" w:lineRule="auto"/>
        <w:ind w:left="284" w:firstLine="0"/>
        <w:jc w:val="left"/>
      </w:pPr>
      <w:r>
        <w:t xml:space="preserve"> </w:t>
      </w:r>
    </w:p>
    <w:p w:rsidR="00DA121A" w:rsidRDefault="00904DD6">
      <w:pPr>
        <w:ind w:left="288" w:right="146"/>
      </w:pPr>
      <w:r>
        <w:t>3 concejales del Grupo Popular: Don Jacobo López Fariña, Doña Raquel Martín Castro y Don David Crego Cháves.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2 de los concejales del Grupo Mixto (CC-PNC): Doña Ángela Cruz Perera y Don Emilio Jesús Atiénzar Armas. </w:t>
      </w:r>
    </w:p>
    <w:p w:rsidR="00DA121A" w:rsidRDefault="00904DD6">
      <w:pPr>
        <w:spacing w:after="0" w:line="259" w:lineRule="auto"/>
        <w:ind w:left="284" w:firstLine="0"/>
        <w:jc w:val="left"/>
      </w:pPr>
      <w:r>
        <w:t xml:space="preserve"> </w:t>
      </w:r>
    </w:p>
    <w:p w:rsidR="00DA121A" w:rsidRDefault="00904DD6">
      <w:pPr>
        <w:ind w:left="288" w:right="146"/>
      </w:pPr>
      <w:r>
        <w:t>1 de la concejal del</w:t>
      </w:r>
      <w:r>
        <w:t xml:space="preserve"> Grupo Mixto (Cs), Doña Marta Plasencia Gutiérrez.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(VxC): Doña Alicia Mercedes Marrero Meneses.  </w:t>
      </w:r>
    </w:p>
    <w:p w:rsidR="00DA121A" w:rsidRDefault="00904DD6">
      <w:pPr>
        <w:spacing w:after="0" w:line="259" w:lineRule="auto"/>
        <w:ind w:left="284" w:firstLine="0"/>
        <w:jc w:val="left"/>
      </w:pPr>
      <w:r>
        <w:rPr>
          <w:b/>
        </w:rPr>
        <w:t xml:space="preserve"> </w:t>
      </w:r>
    </w:p>
    <w:p w:rsidR="00DA121A" w:rsidRDefault="00904DD6">
      <w:pPr>
        <w:spacing w:after="218" w:line="259" w:lineRule="auto"/>
        <w:ind w:left="186" w:firstLine="0"/>
        <w:jc w:val="center"/>
      </w:pPr>
      <w:r>
        <w:rPr>
          <w:b/>
        </w:rPr>
        <w:t xml:space="preserve"> </w:t>
      </w:r>
    </w:p>
    <w:p w:rsidR="00DA121A" w:rsidRDefault="00904DD6">
      <w:pPr>
        <w:spacing w:after="218" w:line="259" w:lineRule="auto"/>
        <w:ind w:left="186" w:firstLine="0"/>
        <w:jc w:val="center"/>
      </w:pPr>
      <w:r>
        <w:rPr>
          <w:b/>
        </w:rPr>
        <w:t xml:space="preserve"> </w:t>
      </w:r>
    </w:p>
    <w:p w:rsidR="00DA121A" w:rsidRDefault="00904DD6">
      <w:pPr>
        <w:spacing w:after="218" w:line="259" w:lineRule="auto"/>
        <w:ind w:left="186" w:firstLine="0"/>
        <w:jc w:val="center"/>
      </w:pPr>
      <w:r>
        <w:rPr>
          <w:b/>
        </w:rPr>
        <w:t xml:space="preserve"> </w:t>
      </w:r>
    </w:p>
    <w:p w:rsidR="00DA121A" w:rsidRDefault="00904DD6">
      <w:pPr>
        <w:spacing w:after="218" w:line="259" w:lineRule="auto"/>
        <w:ind w:left="186" w:firstLine="0"/>
        <w:jc w:val="center"/>
      </w:pPr>
      <w:r>
        <w:rPr>
          <w:b/>
        </w:rPr>
        <w:t xml:space="preserve"> </w:t>
      </w:r>
    </w:p>
    <w:p w:rsidR="00DA121A" w:rsidRDefault="00904DD6">
      <w:pPr>
        <w:spacing w:after="218" w:line="259" w:lineRule="auto"/>
        <w:ind w:left="186" w:firstLine="0"/>
        <w:jc w:val="center"/>
      </w:pPr>
      <w:r>
        <w:rPr>
          <w:b/>
        </w:rPr>
        <w:t xml:space="preserve"> </w:t>
      </w:r>
    </w:p>
    <w:p w:rsidR="00DA121A" w:rsidRDefault="00904DD6">
      <w:pPr>
        <w:spacing w:after="0" w:line="259" w:lineRule="auto"/>
        <w:ind w:left="186" w:firstLine="0"/>
        <w:jc w:val="center"/>
      </w:pPr>
      <w:r>
        <w:rPr>
          <w:b/>
        </w:rPr>
        <w:t xml:space="preserve"> </w:t>
      </w:r>
    </w:p>
    <w:p w:rsidR="00DA121A" w:rsidRDefault="00904DD6">
      <w:pPr>
        <w:spacing w:after="226" w:line="262" w:lineRule="auto"/>
        <w:ind w:left="1228" w:right="1095"/>
        <w:jc w:val="center"/>
      </w:pPr>
      <w:r>
        <w:rPr>
          <w:b/>
        </w:rPr>
        <w:t>ACUERDO DEL PLENO DE 30 DE MARZO DE 2023.</w:t>
      </w:r>
      <w:r>
        <w:rPr>
          <w:rFonts w:ascii="Times New Roman" w:eastAsia="Times New Roman" w:hAnsi="Times New Roman" w:cs="Times New Roman"/>
          <w:sz w:val="24"/>
        </w:rPr>
        <w:t xml:space="preserve"> </w:t>
      </w:r>
    </w:p>
    <w:p w:rsidR="00DA121A" w:rsidRDefault="00904DD6">
      <w:pPr>
        <w:spacing w:after="4"/>
        <w:ind w:left="279" w:right="144"/>
      </w:pPr>
      <w:r>
        <w:rPr>
          <w:b/>
        </w:rPr>
        <w:t xml:space="preserve">         Primero. - </w:t>
      </w:r>
      <w:r>
        <w:rPr>
          <w:b/>
        </w:rPr>
        <w:t>Encomendar a la entidad “Gestión y Planeamiento Territorial y Medioambiental, SA (GESPLAN), adscrita a la Consejería de Transición Ecológica, Lucha contra el Cambio Climático y Planificación Territorial del Gobierno de Canarias, la redacción del proyecto d</w:t>
      </w:r>
      <w:r>
        <w:rPr>
          <w:b/>
        </w:rPr>
        <w:t xml:space="preserve">el Plan Especial del Parque Periurbano de Pasacola con unos plazos de ejecución de la redacción del proyecto y del presupuesto del contrato de servicios que son los siguientes: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                                                 PLAZO DE EJECUCIÓN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FAS</w:t>
      </w:r>
      <w:r>
        <w:rPr>
          <w:b/>
        </w:rPr>
        <w:t xml:space="preserve">E 1- DOCUMENTO BORRADOR Y DOCUMENTO INICIAL ESTRATÉGICO Plazo estimado de redacción: 4 meses.  </w:t>
      </w:r>
    </w:p>
    <w:p w:rsidR="00DA121A" w:rsidRDefault="00904DD6">
      <w:pPr>
        <w:spacing w:after="4"/>
        <w:ind w:left="279" w:right="144"/>
      </w:pPr>
      <w:r>
        <w:rPr>
          <w:b/>
        </w:rPr>
        <w:t xml:space="preserve">FASE 2 – DOCUMENTO PARA APROBACIÓN INICIAL Y ESTUDIO AMBIENTAL </w:t>
      </w:r>
    </w:p>
    <w:p w:rsidR="00DA121A" w:rsidRDefault="00904DD6">
      <w:pPr>
        <w:spacing w:after="4"/>
        <w:ind w:left="279" w:right="144"/>
      </w:pPr>
      <w:r>
        <w:rPr>
          <w:b/>
        </w:rPr>
        <w:t xml:space="preserve">ESTRATÉGICO Plazo estimado de redacción: 3 meses.  </w:t>
      </w:r>
    </w:p>
    <w:p w:rsidR="00DA121A" w:rsidRDefault="00904DD6">
      <w:pPr>
        <w:spacing w:after="4"/>
        <w:ind w:left="279" w:right="144"/>
      </w:pPr>
      <w:r>
        <w:rPr>
          <w:b/>
        </w:rPr>
        <w:t>FASE 3 – DOCUMENTO VERSION DEFINITIVA DEL PL</w:t>
      </w:r>
      <w:r>
        <w:rPr>
          <w:b/>
        </w:rPr>
        <w:t xml:space="preserve">AN PARA APROBACIÓN DEFINITIVA Plazo estimado de redacción: 2 meses.  </w:t>
      </w:r>
    </w:p>
    <w:p w:rsidR="00DA121A" w:rsidRDefault="00904DD6">
      <w:pPr>
        <w:spacing w:after="0" w:line="259" w:lineRule="auto"/>
        <w:ind w:left="284" w:firstLine="0"/>
        <w:jc w:val="left"/>
      </w:pPr>
      <w:r>
        <w:rPr>
          <w:b/>
        </w:rPr>
        <w:t xml:space="preserve"> </w:t>
      </w:r>
    </w:p>
    <w:p w:rsidR="00DA121A" w:rsidRDefault="00904DD6">
      <w:pPr>
        <w:spacing w:after="0" w:line="262" w:lineRule="auto"/>
        <w:ind w:left="1228" w:right="1097"/>
        <w:jc w:val="center"/>
      </w:pPr>
      <w:r>
        <w:rPr>
          <w:b/>
        </w:rPr>
        <w:t xml:space="preserve">PRESUPUESTO: </w:t>
      </w:r>
    </w:p>
    <w:p w:rsidR="00DA121A" w:rsidRDefault="00904DD6">
      <w:pPr>
        <w:spacing w:after="0" w:line="259" w:lineRule="auto"/>
        <w:ind w:left="186" w:firstLine="0"/>
        <w:jc w:val="center"/>
      </w:pPr>
      <w:r>
        <w:rPr>
          <w:b/>
        </w:rPr>
        <w:t xml:space="preserve"> </w:t>
      </w:r>
    </w:p>
    <w:p w:rsidR="00DA121A" w:rsidRDefault="00904DD6">
      <w:pPr>
        <w:spacing w:after="25"/>
        <w:ind w:left="279" w:right="144"/>
      </w:pPr>
      <w:r>
        <w:rPr>
          <w:b/>
        </w:rPr>
        <w:t xml:space="preserve">El importe total de la propuesta asciende a la cantidad de CUARENTA Y UN MIL EUROS CIENTO CINCUENTA Y TRES MIL EUROS Y CINCUENTA Y TRES CÉNTIMOS (41.153,53 €).  </w:t>
      </w:r>
    </w:p>
    <w:p w:rsidR="00DA121A" w:rsidRDefault="00904DD6">
      <w:pPr>
        <w:spacing w:after="1" w:line="259" w:lineRule="auto"/>
        <w:ind w:left="284" w:firstLine="0"/>
        <w:jc w:val="left"/>
      </w:pPr>
      <w:r>
        <w:rPr>
          <w:b/>
        </w:rPr>
        <w:t xml:space="preserve"> </w:t>
      </w:r>
    </w:p>
    <w:p w:rsidR="00DA121A" w:rsidRDefault="00904DD6">
      <w:pPr>
        <w:spacing w:after="4"/>
        <w:ind w:left="279" w:right="144"/>
      </w:pPr>
      <w:r>
        <w:rPr>
          <w:b/>
        </w:rPr>
        <w:t xml:space="preserve">Segundo. - Notificar el presente acuerdo a la entidad “Gestión y Planeamiento Territorial y Medioambiental, SA (GESPLAN).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90" w:line="250" w:lineRule="auto"/>
        <w:ind w:left="279" w:right="149"/>
      </w:pPr>
      <w:r>
        <w:rPr>
          <w:b/>
          <w:sz w:val="24"/>
        </w:rPr>
        <w:t>10- Expediente 3110/2023. Propuesta de la Alcaldesa-</w:t>
      </w:r>
      <w:r>
        <w:rPr>
          <w:b/>
          <w:sz w:val="24"/>
        </w:rPr>
        <w:t>Presidenta de fecha 22 de marzo de 2023 de encomendar a la entidad “Gestión y Planeamiento Territorial y Medioambiental, SA (GESPLAN)", adscrita a la Consejería de Transición Ecológica, Lucha contra el Cambio Climático y Planificación Territorial del Gobie</w:t>
      </w:r>
      <w:r>
        <w:rPr>
          <w:b/>
          <w:sz w:val="24"/>
        </w:rPr>
        <w:t>rno de Canarias la redacción del proyecto del Plan Especial de Reforma Interior de la Jiménez por importe de 81.050,36 euros.</w:t>
      </w:r>
      <w:r>
        <w:t xml:space="preserve"> </w:t>
      </w:r>
    </w:p>
    <w:p w:rsidR="00DA121A" w:rsidRDefault="00904DD6">
      <w:pPr>
        <w:spacing w:after="98" w:line="259" w:lineRule="auto"/>
        <w:ind w:left="284" w:firstLine="0"/>
        <w:jc w:val="left"/>
      </w:pPr>
      <w:r>
        <w:rPr>
          <w:b/>
        </w:rPr>
        <w:t xml:space="preserve"> </w:t>
      </w:r>
    </w:p>
    <w:p w:rsidR="00DA121A" w:rsidRDefault="00904DD6">
      <w:pPr>
        <w:spacing w:after="114"/>
        <w:ind w:left="279" w:right="144"/>
      </w:pPr>
      <w:r>
        <w:rPr>
          <w:b/>
        </w:rPr>
        <w:t>Consta en el expediente Informe Jurídico emitido por Doña Mª del Pilar Chico Delgado, que desempeña el puesto de Técnico de Adm</w:t>
      </w:r>
      <w:r>
        <w:rPr>
          <w:b/>
        </w:rPr>
        <w:t>inistración General, conformado por D. Octavio Manuel Fernández Hernández, Secretario General, de 22 de marzo de 2023, del siguiente tenor literal:</w:t>
      </w:r>
      <w:r>
        <w:t xml:space="preserve"> </w:t>
      </w:r>
    </w:p>
    <w:p w:rsidR="00DA121A" w:rsidRDefault="00904DD6">
      <w:pPr>
        <w:spacing w:after="98" w:line="259" w:lineRule="auto"/>
        <w:ind w:left="284" w:firstLine="0"/>
        <w:jc w:val="left"/>
      </w:pPr>
      <w:r>
        <w:rPr>
          <w:b/>
        </w:rPr>
        <w:t xml:space="preserve"> </w:t>
      </w:r>
    </w:p>
    <w:p w:rsidR="00DA121A" w:rsidRDefault="00904DD6">
      <w:pPr>
        <w:spacing w:after="104" w:line="259" w:lineRule="auto"/>
        <w:ind w:left="284" w:firstLine="0"/>
        <w:jc w:val="left"/>
      </w:pPr>
      <w:r>
        <w:rPr>
          <w:b/>
        </w:rPr>
        <w:t xml:space="preserve"> </w:t>
      </w:r>
    </w:p>
    <w:p w:rsidR="00DA121A" w:rsidRDefault="00904DD6">
      <w:pPr>
        <w:spacing w:after="112"/>
        <w:ind w:left="1971" w:right="144"/>
      </w:pPr>
      <w:r>
        <w:rPr>
          <w:b/>
        </w:rPr>
        <w:t xml:space="preserve">        “INFORME JURÍDICO DE SECRETARÍA GENERAL                             </w:t>
      </w:r>
    </w:p>
    <w:p w:rsidR="00DA121A" w:rsidRDefault="00904DD6">
      <w:pPr>
        <w:spacing w:after="4"/>
        <w:ind w:left="1426" w:right="144"/>
      </w:pPr>
      <w:r>
        <w:rPr>
          <w:b/>
        </w:rPr>
        <w:t xml:space="preserve">Visto el expediente antedicho se emite el siguiente informe sobre la encomienda </w:t>
      </w:r>
    </w:p>
    <w:p w:rsidR="00DA121A" w:rsidRDefault="00904DD6">
      <w:pPr>
        <w:spacing w:after="114"/>
        <w:ind w:left="279" w:right="144"/>
      </w:pPr>
      <w:r>
        <w:rPr>
          <w:b/>
        </w:rPr>
        <w:t xml:space="preserve">a GESPLAN, de la redacción del Plan Especial de Reforma Interior de la Jiménez del término municipal de Candelaria, se emite el siguiente informe jurídico: </w:t>
      </w:r>
    </w:p>
    <w:p w:rsidR="00DA121A" w:rsidRDefault="00904DD6">
      <w:pPr>
        <w:spacing w:after="95" w:line="259" w:lineRule="auto"/>
        <w:ind w:left="284" w:firstLine="0"/>
        <w:jc w:val="left"/>
      </w:pPr>
      <w:r>
        <w:t xml:space="preserve">  </w:t>
      </w:r>
    </w:p>
    <w:p w:rsidR="00DA121A" w:rsidRDefault="00904DD6">
      <w:pPr>
        <w:pStyle w:val="Ttulo2"/>
        <w:spacing w:after="98"/>
        <w:ind w:right="1095"/>
      </w:pPr>
      <w:r>
        <w:t xml:space="preserve">ANTECEDENTES DE HECHO </w:t>
      </w:r>
    </w:p>
    <w:p w:rsidR="00DA121A" w:rsidRDefault="00904DD6">
      <w:pPr>
        <w:spacing w:after="109"/>
        <w:ind w:left="1426" w:right="146"/>
      </w:pPr>
      <w:r>
        <w:rPr>
          <w:b/>
        </w:rPr>
        <w:t xml:space="preserve">Primero. - </w:t>
      </w:r>
      <w:r>
        <w:t xml:space="preserve">Consta en el expediente memoria de la Alcaldía-Presidencia. </w:t>
      </w:r>
    </w:p>
    <w:p w:rsidR="00DA121A" w:rsidRDefault="00904DD6">
      <w:pPr>
        <w:spacing w:after="109"/>
        <w:ind w:left="278" w:right="146" w:firstLine="1133"/>
      </w:pPr>
      <w:r>
        <w:rPr>
          <w:b/>
        </w:rPr>
        <w:t xml:space="preserve">Segundo. - </w:t>
      </w:r>
      <w:r>
        <w:t xml:space="preserve">Consta en el expediente Propuesta económica de Gesplan del Plan Especial de Reforma Interior de la Jiménez del término municipal de Candelaria. </w:t>
      </w:r>
    </w:p>
    <w:p w:rsidR="00DA121A" w:rsidRDefault="00904DD6">
      <w:pPr>
        <w:ind w:left="1426" w:right="146"/>
      </w:pPr>
      <w:r>
        <w:rPr>
          <w:b/>
        </w:rPr>
        <w:t>Terce</w:t>
      </w:r>
      <w:r>
        <w:rPr>
          <w:b/>
        </w:rPr>
        <w:t xml:space="preserve">ro. - </w:t>
      </w:r>
      <w:r>
        <w:t xml:space="preserve">Consta en el expediente certificado del acuerdo del pleno de fecha 24 de </w:t>
      </w:r>
    </w:p>
    <w:p w:rsidR="00DA121A" w:rsidRDefault="00904DD6">
      <w:pPr>
        <w:spacing w:after="109"/>
        <w:ind w:left="288" w:right="146"/>
      </w:pPr>
      <w:r>
        <w:t xml:space="preserve">junio de 2021 en el que en su parte dispositiva dispone en su punto primero: </w:t>
      </w:r>
    </w:p>
    <w:p w:rsidR="00DA121A" w:rsidRDefault="00904DD6">
      <w:pPr>
        <w:spacing w:after="0" w:line="248" w:lineRule="auto"/>
        <w:ind w:left="278" w:right="145" w:firstLine="1133"/>
      </w:pPr>
      <w:r>
        <w:rPr>
          <w:i/>
        </w:rPr>
        <w:t xml:space="preserve">1º.- Otorgar la conformidad expresa de esta Corporación a la declaración de la entidad “Gestión y </w:t>
      </w:r>
      <w:r>
        <w:rPr>
          <w:i/>
        </w:rPr>
        <w:t xml:space="preserve">Planeamiento Territorial y Medioambiental, SA (GESPLAN), adscrita a la Consejería de Transición Ecológica, Lucha contra el Cambio Climático y Planificación Territorial del Gobierno de </w:t>
      </w:r>
    </w:p>
    <w:p w:rsidR="00DA121A" w:rsidRDefault="00904DD6">
      <w:pPr>
        <w:spacing w:after="11" w:line="248" w:lineRule="auto"/>
        <w:ind w:left="288" w:right="145"/>
      </w:pPr>
      <w:r>
        <w:rPr>
          <w:i/>
        </w:rPr>
        <w:t xml:space="preserve">Canarias, como medio personificado del mismo, a los efectos dispuestos </w:t>
      </w:r>
      <w:r>
        <w:rPr>
          <w:i/>
        </w:rPr>
        <w:t xml:space="preserve">en el artículo 32.2 de la </w:t>
      </w:r>
    </w:p>
    <w:p w:rsidR="00DA121A" w:rsidRDefault="00904DD6">
      <w:pPr>
        <w:spacing w:after="111" w:line="248" w:lineRule="auto"/>
        <w:ind w:left="288" w:right="145"/>
      </w:pPr>
      <w:r>
        <w:rPr>
          <w:i/>
        </w:rPr>
        <w:t xml:space="preserve">Ley 4/2012, de 25 de junio, de medidas administrativas y fiscales, en relación con el art. 32.4 de la LCSP. </w:t>
      </w:r>
    </w:p>
    <w:p w:rsidR="00DA121A" w:rsidRDefault="00904DD6">
      <w:pPr>
        <w:spacing w:after="98" w:line="259" w:lineRule="auto"/>
        <w:ind w:left="1416" w:firstLine="0"/>
        <w:jc w:val="left"/>
      </w:pPr>
      <w:r>
        <w:t xml:space="preserve"> </w:t>
      </w:r>
    </w:p>
    <w:p w:rsidR="00DA121A" w:rsidRDefault="00904DD6">
      <w:pPr>
        <w:spacing w:after="109"/>
        <w:ind w:left="2562" w:right="144"/>
      </w:pPr>
      <w:r>
        <w:t xml:space="preserve">        </w:t>
      </w:r>
      <w:r>
        <w:rPr>
          <w:b/>
        </w:rPr>
        <w:t>FUNDAMENTOS DE DERECHO</w:t>
      </w:r>
      <w:r>
        <w:t xml:space="preserve"> </w:t>
      </w:r>
    </w:p>
    <w:p w:rsidR="00DA121A" w:rsidRDefault="00904DD6">
      <w:pPr>
        <w:spacing w:after="114"/>
        <w:ind w:left="269" w:right="144" w:firstLine="1133"/>
      </w:pPr>
      <w:r>
        <w:rPr>
          <w:b/>
        </w:rPr>
        <w:t xml:space="preserve">Primero. -  Es de aplicación el artículo 32 de la Ley de Contratos del Sector Público </w:t>
      </w:r>
      <w:r>
        <w:rPr>
          <w:b/>
        </w:rPr>
        <w:t xml:space="preserve">que expresamente dispone: </w:t>
      </w:r>
    </w:p>
    <w:p w:rsidR="00DA121A" w:rsidRDefault="00904DD6">
      <w:pPr>
        <w:spacing w:after="172" w:line="248" w:lineRule="auto"/>
        <w:ind w:left="1426" w:right="145"/>
      </w:pPr>
      <w:r>
        <w:rPr>
          <w:i/>
        </w:rPr>
        <w:t>Artículo 32. Encargos de los poderes adjudicadores a medios propios personificados.</w:t>
      </w:r>
      <w:r>
        <w:t xml:space="preserve"> </w:t>
      </w:r>
    </w:p>
    <w:p w:rsidR="00DA121A" w:rsidRDefault="00904DD6">
      <w:pPr>
        <w:numPr>
          <w:ilvl w:val="0"/>
          <w:numId w:val="64"/>
        </w:numPr>
        <w:spacing w:after="172" w:line="248" w:lineRule="auto"/>
        <w:ind w:right="72" w:firstLine="355"/>
        <w:jc w:val="left"/>
      </w:pPr>
      <w:r>
        <w:rPr>
          <w:i/>
        </w:rPr>
        <w:t>Los poderes adjudicadores podrán organizarse ejecutando de manera directa prestaciones propias de los contratos de obras, suministros, servicios, concesión de obras y concesión de servicios, a cambio de una compensación tarifaria, valiéndose de otra person</w:t>
      </w:r>
      <w:r>
        <w:rPr>
          <w:i/>
        </w:rPr>
        <w:t>a jurídica distinta a ellos, ya sea de derecho público o de derecho privado, previo encargo a esta, con sujeción a lo dispuesto en este artículo, siempre y cuando la persona jurídica que utilicen merezca la calificación jurídica de medio propio personifica</w:t>
      </w:r>
      <w:r>
        <w:rPr>
          <w:i/>
        </w:rPr>
        <w:t xml:space="preserve">do respecto de ellos de conformidad con lo dispuesto en los tres apartados siguientes, y sin perjuicio de los requisitos establecidos para los medios propios del ámbito estatal en la Ley 40/2015, de 1 de octubre, de Régimen Jurídico del Sector Público. </w:t>
      </w:r>
    </w:p>
    <w:p w:rsidR="00DA121A" w:rsidRDefault="00904DD6">
      <w:pPr>
        <w:spacing w:after="137" w:line="259" w:lineRule="auto"/>
        <w:ind w:left="654" w:right="176"/>
        <w:jc w:val="left"/>
      </w:pPr>
      <w:r>
        <w:rPr>
          <w:u w:val="single" w:color="000000"/>
        </w:rPr>
        <w:t>El</w:t>
      </w:r>
      <w:r>
        <w:rPr>
          <w:u w:val="single" w:color="000000"/>
        </w:rPr>
        <w:t xml:space="preserve"> encargo que cumpla dichos requisitos no tendrá la consideración de contrato</w:t>
      </w:r>
      <w:r>
        <w:rPr>
          <w:i/>
        </w:rPr>
        <w:t>.</w:t>
      </w:r>
      <w:r>
        <w:rPr>
          <w:rFonts w:ascii="Times New Roman" w:eastAsia="Times New Roman" w:hAnsi="Times New Roman" w:cs="Times New Roman"/>
          <w:sz w:val="24"/>
        </w:rPr>
        <w:t xml:space="preserve"> </w:t>
      </w:r>
    </w:p>
    <w:p w:rsidR="00DA121A" w:rsidRDefault="00904DD6">
      <w:pPr>
        <w:numPr>
          <w:ilvl w:val="0"/>
          <w:numId w:val="64"/>
        </w:numPr>
        <w:spacing w:after="359" w:line="238" w:lineRule="auto"/>
        <w:ind w:right="72" w:firstLine="355"/>
        <w:jc w:val="left"/>
      </w:pPr>
      <w:r>
        <w:rPr>
          <w:i/>
        </w:rPr>
        <w:t>Tendrán la consideración de medio propio personificado respecto de una única entidad concreta del sector público aquellas personas jurídicas, de derecho público o de derecho pri</w:t>
      </w:r>
      <w:r>
        <w:rPr>
          <w:i/>
        </w:rPr>
        <w:t xml:space="preserve">vado, que cumplan todos y cada uno de los requisitos que se establecen a continuación: </w:t>
      </w:r>
    </w:p>
    <w:p w:rsidR="00DA121A" w:rsidRDefault="00904DD6">
      <w:pPr>
        <w:numPr>
          <w:ilvl w:val="0"/>
          <w:numId w:val="65"/>
        </w:numPr>
        <w:spacing w:after="172" w:line="248" w:lineRule="auto"/>
        <w:ind w:right="145" w:firstLine="360"/>
      </w:pPr>
      <w:r>
        <w:rPr>
          <w:i/>
        </w:rPr>
        <w:t xml:space="preserve">Que el poder adjudicador que pueda conferirle encargos ejerza sobre el ente destinatario de los mismos un control, directo o indirecto, análogo al que ostentaría sobre </w:t>
      </w:r>
      <w:r>
        <w:rPr>
          <w:i/>
        </w:rPr>
        <w:t xml:space="preserve">sus propios servicios o unidades, de manera que el primero pueda ejercer sobre el segundo una influencia decisiva sobre sus objetivos estratégicos y decisiones significativas. </w:t>
      </w:r>
    </w:p>
    <w:p w:rsidR="00DA121A" w:rsidRDefault="00904DD6">
      <w:pPr>
        <w:spacing w:after="172" w:line="248" w:lineRule="auto"/>
        <w:ind w:left="278" w:right="145" w:firstLine="360"/>
      </w:pPr>
      <w:r>
        <w:rPr>
          <w:i/>
        </w:rPr>
        <w:t>En todo caso se entenderá que el poder adjudicador que puede conferirle encargo</w:t>
      </w:r>
      <w:r>
        <w:rPr>
          <w:i/>
        </w:rPr>
        <w:t>s ostenta sobre el ente destinatario del mismo un control análogo al que ejerce sobre sus propios servicios o unidades cuando él mismo o bien otro u otros poderes adjudicadores o personas jurídicas controlados del mismo modo por el primero puedan conferirl</w:t>
      </w:r>
      <w:r>
        <w:rPr>
          <w:i/>
        </w:rPr>
        <w:t>e encargos que sean de ejecución obligatoria para el ente destinatario del encargo por así establecerlo los estatutos o el acto de creación, de manera que exista una unidad de decisión entre ellos, de acuerdo con instrucciones fijadas unilateralmente por e</w:t>
      </w:r>
      <w:r>
        <w:rPr>
          <w:i/>
        </w:rPr>
        <w:t xml:space="preserve">l ente que puede realizar el encargo. </w:t>
      </w:r>
    </w:p>
    <w:p w:rsidR="00DA121A" w:rsidRDefault="00904DD6">
      <w:pPr>
        <w:spacing w:after="172" w:line="248" w:lineRule="auto"/>
        <w:ind w:left="278" w:right="145" w:firstLine="360"/>
      </w:pPr>
      <w:r>
        <w:rPr>
          <w:i/>
        </w:rPr>
        <w:t>La compensación se establecerá por referencia a tarifas aprobadas por la entidad pública de la que depende el medio propio personificado para las actividades objeto de encargo realizadas por el medio propio directamen</w:t>
      </w:r>
      <w:r>
        <w:rPr>
          <w:i/>
        </w:rPr>
        <w:t>te y, en la forma que reglamentariamente se determine, atendiendo al coste efectivo soportado por el medio propio para las actividades objeto del encargo que se subcontraten con empresarios particulares en los casos en que este coste sea inferior al result</w:t>
      </w:r>
      <w:r>
        <w:rPr>
          <w:i/>
        </w:rPr>
        <w:t xml:space="preserve">ante de aplicar las tarifas a las actividades subcontratadas. </w:t>
      </w:r>
    </w:p>
    <w:p w:rsidR="00DA121A" w:rsidRDefault="00904DD6">
      <w:pPr>
        <w:spacing w:after="172" w:line="248" w:lineRule="auto"/>
        <w:ind w:left="278" w:right="145" w:firstLine="360"/>
      </w:pPr>
      <w:r>
        <w:rPr>
          <w:i/>
        </w:rPr>
        <w:t xml:space="preserve">Dichas tarifas se calcularán de manera que representen los costes reales de realización de las unidades producidas directamente por el medio propio. </w:t>
      </w:r>
    </w:p>
    <w:p w:rsidR="00DA121A" w:rsidRDefault="00904DD6">
      <w:pPr>
        <w:numPr>
          <w:ilvl w:val="0"/>
          <w:numId w:val="65"/>
        </w:numPr>
        <w:spacing w:after="172" w:line="248" w:lineRule="auto"/>
        <w:ind w:right="145" w:firstLine="360"/>
      </w:pPr>
      <w:r>
        <w:rPr>
          <w:i/>
        </w:rPr>
        <w:t>Que más del 80 por ciento de las actividade</w:t>
      </w:r>
      <w:r>
        <w:rPr>
          <w:i/>
        </w:rPr>
        <w:t>s del ente destinatario del encargo se lleven a cabo en el ejercicio de los cometidos que le han sido confiados por el poder adjudicador que hace el encargo y que lo controla o por otras personas jurídicas controladas del mismo modo por la entidad que hace</w:t>
      </w:r>
      <w:r>
        <w:rPr>
          <w:i/>
        </w:rPr>
        <w:t xml:space="preserve"> el encargo. </w:t>
      </w:r>
    </w:p>
    <w:p w:rsidR="00DA121A" w:rsidRDefault="00904DD6">
      <w:pPr>
        <w:spacing w:after="172" w:line="248" w:lineRule="auto"/>
        <w:ind w:left="278" w:right="145" w:firstLine="360"/>
      </w:pPr>
      <w:r>
        <w:rPr>
          <w:i/>
        </w:rPr>
        <w:t>A estos efectos, para calcular el 80 por ciento de las actividades del ente destinatario del encargo se tomarán en consideración el promedio del volumen global de negocios, los gastos soportados por los servicios prestados al poder adjudicado</w:t>
      </w:r>
      <w:r>
        <w:rPr>
          <w:i/>
        </w:rPr>
        <w:t>r en relación con la totalidad de los gastos en que haya incurrido el medio propio por razón de las prestaciones que haya realizado a cualquier entidad, u otro indicador alternativo de actividad que sea fiable, y todo ello referido a los tres ejercicios an</w:t>
      </w:r>
      <w:r>
        <w:rPr>
          <w:i/>
        </w:rPr>
        <w:t xml:space="preserve">teriores al de formalización del encargo. </w:t>
      </w:r>
    </w:p>
    <w:p w:rsidR="00DA121A" w:rsidRDefault="00904DD6">
      <w:pPr>
        <w:spacing w:after="172" w:line="248" w:lineRule="auto"/>
        <w:ind w:left="278" w:right="145" w:firstLine="360"/>
      </w:pPr>
      <w:r>
        <w:rPr>
          <w:i/>
        </w:rPr>
        <w:t>Cuando debido a la fecha de creación o de inicio de actividad del poder adjudicador que hace el encargo, o debido a la reorganización de las actividades de este, el volumen global de negocios, u otro indicador alt</w:t>
      </w:r>
      <w:r>
        <w:rPr>
          <w:i/>
        </w:rPr>
        <w:t>ernativo de actividad, de acuerdo con lo establecido en el párrafo anterior, no estuvieran disponibles respecto de los tres ejercicios anteriores a la formalización del encargo o hubieran perdido su vigencia, será suficiente con justificar que el cálculo d</w:t>
      </w:r>
      <w:r>
        <w:rPr>
          <w:i/>
        </w:rPr>
        <w:t xml:space="preserve">el nivel de actividad se corresponde con la realidad, en especial mediante proyecciones de negocio. </w:t>
      </w:r>
    </w:p>
    <w:p w:rsidR="00DA121A" w:rsidRDefault="00904DD6">
      <w:pPr>
        <w:numPr>
          <w:ilvl w:val="0"/>
          <w:numId w:val="66"/>
        </w:numPr>
        <w:spacing w:after="9" w:line="249" w:lineRule="auto"/>
        <w:ind w:right="146" w:firstLine="360"/>
      </w:pPr>
      <w:r>
        <w:rPr>
          <w:i/>
        </w:rPr>
        <w:t>Cuando el ente destinatario del encargo sea un ente de personificación jurídico-privada, ade-</w:t>
      </w:r>
    </w:p>
    <w:p w:rsidR="00DA121A" w:rsidRDefault="00904DD6">
      <w:pPr>
        <w:spacing w:after="172" w:line="248" w:lineRule="auto"/>
        <w:ind w:left="288" w:right="145"/>
      </w:pPr>
      <w:r>
        <w:rPr>
          <w:i/>
        </w:rPr>
        <w:t xml:space="preserve">más, la totalidad de su capital o patrimonio tendrá que ser de titularidad o aportación pública. </w:t>
      </w:r>
    </w:p>
    <w:p w:rsidR="00DA121A" w:rsidRDefault="00904DD6">
      <w:pPr>
        <w:numPr>
          <w:ilvl w:val="0"/>
          <w:numId w:val="66"/>
        </w:numPr>
        <w:spacing w:after="351" w:line="248" w:lineRule="auto"/>
        <w:ind w:right="146" w:firstLine="360"/>
      </w:pPr>
      <w:r>
        <w:rPr>
          <w:i/>
        </w:rPr>
        <w:t>La condición de medio propio personificado de la entidad destinataria del encargo respecto del concreto poder adjudicador que hace el encargo deberá reconocer</w:t>
      </w:r>
      <w:r>
        <w:rPr>
          <w:i/>
        </w:rPr>
        <w:t xml:space="preserve">se expresamente en sus estatutos o actos de creación, previo cumplimiento de los siguientes requisitos: </w:t>
      </w:r>
    </w:p>
    <w:p w:rsidR="00DA121A" w:rsidRDefault="00904DD6">
      <w:pPr>
        <w:spacing w:after="172" w:line="248" w:lineRule="auto"/>
        <w:ind w:left="278" w:right="145" w:firstLine="360"/>
      </w:pPr>
      <w:r>
        <w:rPr>
          <w:i/>
        </w:rPr>
        <w:t xml:space="preserve">1.º Conformidad o autorización expresa del poder adjudicador respecto del que vaya a ser medio propio. </w:t>
      </w:r>
    </w:p>
    <w:p w:rsidR="00DA121A" w:rsidRDefault="00904DD6">
      <w:pPr>
        <w:spacing w:after="359" w:line="238" w:lineRule="auto"/>
        <w:ind w:left="269" w:firstLine="350"/>
        <w:jc w:val="left"/>
      </w:pPr>
      <w:r>
        <w:rPr>
          <w:i/>
        </w:rPr>
        <w:t xml:space="preserve">2.º Verificación por la entidad pública de que </w:t>
      </w:r>
      <w:r>
        <w:rPr>
          <w:i/>
        </w:rPr>
        <w:t xml:space="preserve">dependa el ente que vaya a ser medio propio, de que cuenta con medios personales y materiales apropiados para la realización de los encargos de conformidad con su objeto social. </w:t>
      </w:r>
    </w:p>
    <w:p w:rsidR="00DA121A" w:rsidRDefault="00904DD6">
      <w:pPr>
        <w:spacing w:after="172" w:line="248" w:lineRule="auto"/>
        <w:ind w:left="278" w:right="145" w:firstLine="360"/>
      </w:pPr>
      <w:r>
        <w:rPr>
          <w:i/>
        </w:rPr>
        <w:t>Los estatutos o acto de creación del ente destinatario del encargo deberá det</w:t>
      </w:r>
      <w:r>
        <w:rPr>
          <w:i/>
        </w:rPr>
        <w:t xml:space="preserve">erminar: el poder adjudicador respecto del cual tiene esa condición; precisar el régimen jurídico y administrativo de los encargos que se les puedan conferir; y establecer la imposibilidad de que participen en licitaciones públicas convocadas por el poder </w:t>
      </w:r>
      <w:r>
        <w:rPr>
          <w:i/>
        </w:rPr>
        <w:t xml:space="preserve">adjudicador del que sean medio propio personificado, sin perjuicio de que, cuando no concurra ningún licitador, pueda encargárseles la ejecución de la prestación objeto de las mismas. </w:t>
      </w:r>
    </w:p>
    <w:p w:rsidR="00DA121A" w:rsidRDefault="00904DD6">
      <w:pPr>
        <w:spacing w:after="172" w:line="248" w:lineRule="auto"/>
        <w:ind w:left="278" w:right="145" w:firstLine="360"/>
      </w:pPr>
      <w:r>
        <w:rPr>
          <w:i/>
        </w:rPr>
        <w:t>En todo caso, se presumirá que cumple el requisito establecido en el nú</w:t>
      </w:r>
      <w:r>
        <w:rPr>
          <w:i/>
        </w:rPr>
        <w:t xml:space="preserve">mero 2.º de la presente letra cuando haya obtenido la correspondiente clasificación respecto a los grupos, subgrupos y categorías que ostente. </w:t>
      </w:r>
    </w:p>
    <w:p w:rsidR="00DA121A" w:rsidRDefault="00904DD6">
      <w:pPr>
        <w:numPr>
          <w:ilvl w:val="0"/>
          <w:numId w:val="67"/>
        </w:numPr>
        <w:spacing w:after="172" w:line="248" w:lineRule="auto"/>
        <w:ind w:right="145" w:firstLine="360"/>
      </w:pPr>
      <w:r>
        <w:rPr>
          <w:i/>
        </w:rPr>
        <w:t>El apartado 2 del presente artículo también se aplicará en los casos en que la persona jurídica controlada, sien</w:t>
      </w:r>
      <w:r>
        <w:rPr>
          <w:i/>
        </w:rPr>
        <w:t>do un poder adjudicador, realice un encargo al poder adjudicador que la controla o a otra persona jurídica controlada, directa o indirectamente, por el mismo poder adjudicador, siempre que no exista participación directa de capital privado en la persona ju</w:t>
      </w:r>
      <w:r>
        <w:rPr>
          <w:i/>
        </w:rPr>
        <w:t xml:space="preserve">rídica a la que se realice el encargo. </w:t>
      </w:r>
    </w:p>
    <w:p w:rsidR="00DA121A" w:rsidRDefault="00904DD6">
      <w:pPr>
        <w:numPr>
          <w:ilvl w:val="0"/>
          <w:numId w:val="67"/>
        </w:numPr>
        <w:spacing w:after="351" w:line="248" w:lineRule="auto"/>
        <w:ind w:right="145" w:firstLine="360"/>
      </w:pPr>
      <w:r>
        <w:rPr>
          <w:i/>
        </w:rPr>
        <w:t>Tendrán la consideración de medio propio personificado respecto de dos o más poderes adjudicadores que sean independientes entre sí aquellas personas jurídicas, de derecho público o de derecho privado, que cumplan to</w:t>
      </w:r>
      <w:r>
        <w:rPr>
          <w:i/>
        </w:rPr>
        <w:t xml:space="preserve">dos y cada uno de los requisitos que se establecen a continuación: </w:t>
      </w:r>
    </w:p>
    <w:p w:rsidR="00DA121A" w:rsidRDefault="00904DD6">
      <w:pPr>
        <w:spacing w:after="9" w:line="249" w:lineRule="auto"/>
        <w:ind w:left="10" w:right="146"/>
        <w:jc w:val="right"/>
      </w:pPr>
      <w:r>
        <w:rPr>
          <w:i/>
        </w:rPr>
        <w:t>a) Que los poderes adjudicadores que puedan conferirle encargos ejerzan sobre el ente desti-</w:t>
      </w:r>
    </w:p>
    <w:p w:rsidR="00DA121A" w:rsidRDefault="00904DD6">
      <w:pPr>
        <w:spacing w:after="172" w:line="248" w:lineRule="auto"/>
        <w:ind w:left="288" w:right="145"/>
      </w:pPr>
      <w:r>
        <w:rPr>
          <w:i/>
        </w:rPr>
        <w:t xml:space="preserve">natario del mismo un control conjunto análogo al que ostentarían sobre sus propios servicios o unidades. </w:t>
      </w:r>
    </w:p>
    <w:p w:rsidR="00DA121A" w:rsidRDefault="00904DD6">
      <w:pPr>
        <w:spacing w:after="347" w:line="249" w:lineRule="auto"/>
        <w:ind w:left="10" w:right="146"/>
        <w:jc w:val="right"/>
      </w:pPr>
      <w:r>
        <w:rPr>
          <w:i/>
        </w:rPr>
        <w:t xml:space="preserve">Se entenderá que existe control conjunto cuando se cumplan todas las condiciones siguientes: </w:t>
      </w:r>
    </w:p>
    <w:p w:rsidR="00DA121A" w:rsidRDefault="00904DD6">
      <w:pPr>
        <w:spacing w:after="172" w:line="248" w:lineRule="auto"/>
        <w:ind w:left="278" w:right="145" w:firstLine="360"/>
      </w:pPr>
      <w:r>
        <w:rPr>
          <w:i/>
        </w:rPr>
        <w:t xml:space="preserve">1.º Que en los órganos decisorios del ente destinatario </w:t>
      </w:r>
      <w:r>
        <w:rPr>
          <w:i/>
        </w:rPr>
        <w:t xml:space="preserve">del encargo estén representados todos los entes que puedan conferirle encargos, pudiendo cada representante representar a varios de estos últimos o a la totalidad de ellos. </w:t>
      </w:r>
    </w:p>
    <w:p w:rsidR="00DA121A" w:rsidRDefault="00904DD6">
      <w:pPr>
        <w:spacing w:after="172" w:line="248" w:lineRule="auto"/>
        <w:ind w:left="278" w:right="145" w:firstLine="360"/>
      </w:pPr>
      <w:r>
        <w:rPr>
          <w:i/>
        </w:rPr>
        <w:t>2.º Que estos últimos puedan ejercer directa y conjuntamente una influencia decisi</w:t>
      </w:r>
      <w:r>
        <w:rPr>
          <w:i/>
        </w:rPr>
        <w:t xml:space="preserve">va sobre los objetivos estratégicos y sobre las decisiones significativas del ente destinatario del encargo. </w:t>
      </w:r>
    </w:p>
    <w:p w:rsidR="00DA121A" w:rsidRDefault="00904DD6">
      <w:pPr>
        <w:spacing w:after="354" w:line="248" w:lineRule="auto"/>
        <w:ind w:left="278" w:right="145" w:firstLine="360"/>
      </w:pPr>
      <w:r>
        <w:rPr>
          <w:i/>
        </w:rPr>
        <w:t xml:space="preserve">3.º Que el ente destinatario del encargo no persiga intereses contrarios a los intereses de los entes que puedan conferirle encargos. </w:t>
      </w:r>
    </w:p>
    <w:p w:rsidR="00DA121A" w:rsidRDefault="00904DD6">
      <w:pPr>
        <w:spacing w:after="172" w:line="248" w:lineRule="auto"/>
        <w:ind w:left="278" w:right="145" w:firstLine="360"/>
      </w:pPr>
      <w:r>
        <w:rPr>
          <w:i/>
        </w:rPr>
        <w:t>La compensación se establecerá, por referencia a tarifas aprobadas por la entidad pública de la que depende el medio propio personificado para las actividades objeto de encargo realizadas por el medio propio directamente y, en la forma que reglamentariamen</w:t>
      </w:r>
      <w:r>
        <w:rPr>
          <w:i/>
        </w:rPr>
        <w:t>te se determine, atendiendo al coste efectivo soportado por el medio propio para las actividades objeto del encargo que se subcontraten con empresarios particulares en los casos en que este coste sea inferior al resultante de aplicar las tarifas a las acti</w:t>
      </w:r>
      <w:r>
        <w:rPr>
          <w:i/>
        </w:rPr>
        <w:t xml:space="preserve">vidades subcontratadas. </w:t>
      </w:r>
    </w:p>
    <w:p w:rsidR="00DA121A" w:rsidRDefault="00904DD6">
      <w:pPr>
        <w:spacing w:after="172" w:line="248" w:lineRule="auto"/>
        <w:ind w:left="278" w:right="145" w:firstLine="360"/>
      </w:pPr>
      <w:r>
        <w:rPr>
          <w:i/>
        </w:rPr>
        <w:t xml:space="preserve">Dichas tarifas se calcularán de manera que representen los costes reales de realización de las unidades producidas directamente por el medio propio. </w:t>
      </w:r>
    </w:p>
    <w:p w:rsidR="00DA121A" w:rsidRDefault="00904DD6">
      <w:pPr>
        <w:numPr>
          <w:ilvl w:val="0"/>
          <w:numId w:val="68"/>
        </w:numPr>
        <w:spacing w:after="172" w:line="248" w:lineRule="auto"/>
        <w:ind w:right="145" w:firstLine="360"/>
      </w:pPr>
      <w:r>
        <w:rPr>
          <w:i/>
        </w:rPr>
        <w:t>Que más del 80 por ciento de las actividades del ente destinatario del encargo se</w:t>
      </w:r>
      <w:r>
        <w:rPr>
          <w:i/>
        </w:rPr>
        <w:t xml:space="preserve"> lleven a cabo en el ejercicio de los cometidos que le han sido confiados por los poderes adjudicadores que lo controlan o por otras personas jurídicas controladas por los mismos poderes adjudicadores. El cálculo del 80 por ciento se hará de acuerdo con lo</w:t>
      </w:r>
      <w:r>
        <w:rPr>
          <w:i/>
        </w:rPr>
        <w:t xml:space="preserve"> establecido en la letra b) del apartado 2 de este artículo. </w:t>
      </w:r>
    </w:p>
    <w:p w:rsidR="00DA121A" w:rsidRDefault="00904DD6">
      <w:pPr>
        <w:numPr>
          <w:ilvl w:val="0"/>
          <w:numId w:val="68"/>
        </w:numPr>
        <w:spacing w:after="364" w:line="248" w:lineRule="auto"/>
        <w:ind w:right="145" w:firstLine="360"/>
      </w:pPr>
      <w:r>
        <w:rPr>
          <w:i/>
        </w:rPr>
        <w:t xml:space="preserve">Que cumplan los requisitos que establece este artículo en su apartado 2 letras c) y d). </w:t>
      </w:r>
    </w:p>
    <w:p w:rsidR="00DA121A" w:rsidRDefault="00904DD6">
      <w:pPr>
        <w:numPr>
          <w:ilvl w:val="0"/>
          <w:numId w:val="69"/>
        </w:numPr>
        <w:spacing w:after="148" w:line="248" w:lineRule="auto"/>
        <w:ind w:right="285" w:firstLine="360"/>
      </w:pPr>
      <w:r>
        <w:rPr>
          <w:b/>
          <w:i/>
        </w:rPr>
        <w:t>(Suprimido)</w:t>
      </w:r>
      <w:r>
        <w:rPr>
          <w:rFonts w:ascii="Times New Roman" w:eastAsia="Times New Roman" w:hAnsi="Times New Roman" w:cs="Times New Roman"/>
          <w:sz w:val="24"/>
        </w:rPr>
        <w:t xml:space="preserve"> </w:t>
      </w:r>
    </w:p>
    <w:p w:rsidR="00DA121A" w:rsidRDefault="00904DD6">
      <w:pPr>
        <w:numPr>
          <w:ilvl w:val="0"/>
          <w:numId w:val="69"/>
        </w:numPr>
        <w:spacing w:after="354" w:line="248" w:lineRule="auto"/>
        <w:ind w:right="285" w:firstLine="360"/>
      </w:pPr>
      <w:r>
        <w:rPr>
          <w:i/>
        </w:rPr>
        <w:t>Los encargos que realicen las entidades del sector público a un ente que, de acuerdo con los</w:t>
      </w:r>
      <w:r>
        <w:rPr>
          <w:i/>
        </w:rPr>
        <w:t xml:space="preserve"> apartados segundo, tercero o cuarto de este artículo, pueda ser calificado como medio propio personificado del primero o primeros, no tendrán la consideración jurídica de contrato, debiendo únicamente cumplir las siguientes normas: </w:t>
      </w:r>
    </w:p>
    <w:p w:rsidR="00DA121A" w:rsidRDefault="00904DD6">
      <w:pPr>
        <w:numPr>
          <w:ilvl w:val="0"/>
          <w:numId w:val="70"/>
        </w:numPr>
        <w:spacing w:after="9" w:line="249" w:lineRule="auto"/>
        <w:ind w:right="145" w:firstLine="360"/>
      </w:pPr>
      <w:r>
        <w:rPr>
          <w:i/>
        </w:rPr>
        <w:t>El medio propio person</w:t>
      </w:r>
      <w:r>
        <w:rPr>
          <w:i/>
        </w:rPr>
        <w:t>ificado deberá haber publicado en la Plataforma de Contratación co-</w:t>
      </w:r>
    </w:p>
    <w:p w:rsidR="00DA121A" w:rsidRDefault="00904DD6">
      <w:pPr>
        <w:spacing w:after="172" w:line="248" w:lineRule="auto"/>
        <w:ind w:left="288" w:right="145"/>
      </w:pPr>
      <w:r>
        <w:rPr>
          <w:i/>
        </w:rPr>
        <w:t>rrespondiente su condición de tal; respecto de qué poderes adjudicadores la ostenta; y los sectores de actividad en los que, estando comprendidos en su objeto social, sería apto para ejecu</w:t>
      </w:r>
      <w:r>
        <w:rPr>
          <w:i/>
        </w:rPr>
        <w:t xml:space="preserve">tar las prestaciones que vayan a ser objeto de encargo. </w:t>
      </w:r>
    </w:p>
    <w:p w:rsidR="00DA121A" w:rsidRDefault="00904DD6">
      <w:pPr>
        <w:numPr>
          <w:ilvl w:val="0"/>
          <w:numId w:val="70"/>
        </w:numPr>
        <w:spacing w:after="172" w:line="248" w:lineRule="auto"/>
        <w:ind w:right="145" w:firstLine="360"/>
      </w:pPr>
      <w:r>
        <w:rPr>
          <w:i/>
        </w:rPr>
        <w:t>El encargo deberá ser objeto de formalización en un documento que será publicado en la Plataforma de Contratación correspondiente en los supuestos previstos del artículo 63.6. El documento de formali</w:t>
      </w:r>
      <w:r>
        <w:rPr>
          <w:i/>
        </w:rPr>
        <w:t xml:space="preserve">zación establecerá el plazo de duración del encargo. </w:t>
      </w:r>
    </w:p>
    <w:p w:rsidR="00DA121A" w:rsidRDefault="00904DD6">
      <w:pPr>
        <w:numPr>
          <w:ilvl w:val="0"/>
          <w:numId w:val="70"/>
        </w:numPr>
        <w:spacing w:after="351" w:line="248" w:lineRule="auto"/>
        <w:ind w:right="145" w:firstLine="360"/>
      </w:pPr>
      <w:r>
        <w:rPr>
          <w:i/>
        </w:rPr>
        <w:t xml:space="preserve">Los órganos de las entidades del sector público estatal que tengan la condición de poder adjudicador en virtud de lo dispuesto en el artículo </w:t>
      </w:r>
      <w:r>
        <w:rPr>
          <w:i/>
        </w:rPr>
        <w:t xml:space="preserve">3.3 de esta Ley, necesitarán autorización del Consejo de Ministros cuando el importe del gasto que se derive del encargo, sea igual o superior a doce millones de euros. </w:t>
      </w:r>
    </w:p>
    <w:p w:rsidR="00DA121A" w:rsidRDefault="00904DD6">
      <w:pPr>
        <w:spacing w:after="172" w:line="248" w:lineRule="auto"/>
        <w:ind w:left="278" w:right="145" w:firstLine="360"/>
      </w:pPr>
      <w:r>
        <w:rPr>
          <w:i/>
        </w:rPr>
        <w:t>La autorización del Consejo de Ministros a que se refiere el párrafo anterior deberá o</w:t>
      </w:r>
      <w:r>
        <w:rPr>
          <w:i/>
        </w:rPr>
        <w:t xml:space="preserve">btenerse antes de la suscripción del encargo por el órgano competente. Una vez obtenida la autorización, corresponderá a los órganos competentes la aprobación del gasto y suscripción del encargo, de conformidad con lo dispuesto en las respectivas normas. </w:t>
      </w:r>
    </w:p>
    <w:p w:rsidR="00DA121A" w:rsidRDefault="00904DD6">
      <w:pPr>
        <w:spacing w:after="183" w:line="238" w:lineRule="auto"/>
        <w:ind w:left="269" w:firstLine="350"/>
        <w:jc w:val="left"/>
      </w:pPr>
      <w:r>
        <w:rPr>
          <w:i/>
        </w:rPr>
        <w:t>A efectos de obtener la citada autorización, los órganos competentes deberán remitir al menos los siguientes documentos: el texto del encargo; el informe del servicio jurídico; así como el certificado de existencia de crédito o, tratándose de poderes adjud</w:t>
      </w:r>
      <w:r>
        <w:rPr>
          <w:i/>
        </w:rPr>
        <w:t xml:space="preserve">icadores con presupuesto estimativo, los documentos equivalentes que acrediten la existencia de financiación. </w:t>
      </w:r>
    </w:p>
    <w:p w:rsidR="00DA121A" w:rsidRDefault="00904DD6">
      <w:pPr>
        <w:spacing w:after="172" w:line="248" w:lineRule="auto"/>
        <w:ind w:left="278" w:right="145" w:firstLine="360"/>
      </w:pPr>
      <w:r>
        <w:rPr>
          <w:i/>
        </w:rPr>
        <w:t>Requerirán igualmente la previa autorización del Consejo de Ministros las modificaciones de encargos autorizados por el Consejo de Ministros, cua</w:t>
      </w:r>
      <w:r>
        <w:rPr>
          <w:i/>
        </w:rPr>
        <w:t xml:space="preserve">ndo superen el 20 por cien del importe del encargo. </w:t>
      </w:r>
    </w:p>
    <w:p w:rsidR="00DA121A" w:rsidRDefault="00904DD6">
      <w:pPr>
        <w:spacing w:after="172" w:line="248" w:lineRule="auto"/>
        <w:ind w:left="278" w:right="145" w:firstLine="360"/>
      </w:pPr>
      <w:r>
        <w:rPr>
          <w:i/>
        </w:rPr>
        <w:t>La autorización que otorgue el Consejo de Ministros será genérica para la suscripción del encargo, sin que en ningún caso implique una validación de los trámites realizados, ni exima de la responsabilida</w:t>
      </w:r>
      <w:r>
        <w:rPr>
          <w:i/>
        </w:rPr>
        <w:t xml:space="preserve">d que corresponda a las partes respecto de la correcta tramitación y realización del encargo. </w:t>
      </w:r>
    </w:p>
    <w:p w:rsidR="00DA121A" w:rsidRDefault="00904DD6">
      <w:pPr>
        <w:spacing w:after="354" w:line="248" w:lineRule="auto"/>
        <w:ind w:left="278" w:right="145" w:firstLine="360"/>
      </w:pPr>
      <w:r>
        <w:rPr>
          <w:i/>
        </w:rPr>
        <w:t>7. A los negocios jurídicos que los entes destinatarios del encargo celebren en ejecución del encargo recibido de conformidad con el presente artículo, se le apl</w:t>
      </w:r>
      <w:r>
        <w:rPr>
          <w:i/>
        </w:rPr>
        <w:t xml:space="preserve">icarán las siguientes reglas: </w:t>
      </w:r>
    </w:p>
    <w:p w:rsidR="00DA121A" w:rsidRDefault="00904DD6">
      <w:pPr>
        <w:numPr>
          <w:ilvl w:val="0"/>
          <w:numId w:val="71"/>
        </w:numPr>
        <w:spacing w:after="172" w:line="248" w:lineRule="auto"/>
        <w:ind w:right="146" w:firstLine="360"/>
      </w:pPr>
      <w:r>
        <w:rPr>
          <w:i/>
        </w:rPr>
        <w:t>El contrato quedará sometido a esta Ley, en los términos que sean procedentes, de acuerdo con la naturaleza de la entidad que los celebre y el tipo y valor estimado de los mismos y, en todo caso, cuando el medio propio no sea</w:t>
      </w:r>
      <w:r>
        <w:rPr>
          <w:i/>
        </w:rPr>
        <w:t xml:space="preserve"> un poder adjudicador se le aplicarán las normas contenidas en el Título I del Libro Tercero de la presente Ley. </w:t>
      </w:r>
    </w:p>
    <w:p w:rsidR="00DA121A" w:rsidRDefault="00904DD6">
      <w:pPr>
        <w:numPr>
          <w:ilvl w:val="0"/>
          <w:numId w:val="71"/>
        </w:numPr>
        <w:spacing w:after="9" w:line="249" w:lineRule="auto"/>
        <w:ind w:right="146" w:firstLine="360"/>
      </w:pPr>
      <w:r>
        <w:rPr>
          <w:i/>
        </w:rPr>
        <w:t xml:space="preserve">El importe de las prestaciones parciales que el medio propio pueda contratar con terceros </w:t>
      </w:r>
    </w:p>
    <w:p w:rsidR="00DA121A" w:rsidRDefault="00904DD6">
      <w:pPr>
        <w:spacing w:after="172" w:line="248" w:lineRule="auto"/>
        <w:ind w:left="288" w:right="145"/>
      </w:pPr>
      <w:r>
        <w:rPr>
          <w:i/>
        </w:rPr>
        <w:t>no excederá del 50 por ciento de la cuantía del enc</w:t>
      </w:r>
      <w:r>
        <w:rPr>
          <w:i/>
        </w:rPr>
        <w:t xml:space="preserve">argo. No se considerarán prestaciones parciales aquellas que el medio propio adquiera a otras empresas cuando se trate de suministros o servicios auxiliares o instrumentales que no constituyen una parte autónoma y diferenciable de la prestación principal, </w:t>
      </w:r>
      <w:r>
        <w:rPr>
          <w:i/>
        </w:rPr>
        <w:t xml:space="preserve">aunque sean parte del proceso necesario para producir dicha prestación. </w:t>
      </w:r>
    </w:p>
    <w:p w:rsidR="00DA121A" w:rsidRDefault="00904DD6">
      <w:pPr>
        <w:spacing w:after="172" w:line="248" w:lineRule="auto"/>
        <w:ind w:left="278" w:right="145" w:firstLine="360"/>
      </w:pPr>
      <w:r>
        <w:rPr>
          <w:i/>
        </w:rPr>
        <w:t xml:space="preserve">No será aplicable lo establecido en esta letra a los contratos de obras que celebren los medios propios a los que se les haya encargado una concesión, ya sea de obras o de servicios. </w:t>
      </w:r>
      <w:r>
        <w:rPr>
          <w:i/>
        </w:rPr>
        <w:t xml:space="preserve">Igualmente no será de aplicación en los supuestos en los que la gestión del servicio público se efectúe mediante la creación de entidades de derecho público destinadas a este fin, ni a aquellos en que la misma se atribuya a una sociedad de derecho privado </w:t>
      </w:r>
      <w:r>
        <w:rPr>
          <w:i/>
        </w:rPr>
        <w:t xml:space="preserve">cuyo capital sea, en su totalidad, de titularidad pública. </w:t>
      </w:r>
    </w:p>
    <w:p w:rsidR="00DA121A" w:rsidRDefault="00904DD6">
      <w:pPr>
        <w:spacing w:after="172" w:line="248" w:lineRule="auto"/>
        <w:ind w:left="278" w:right="145" w:firstLine="360"/>
      </w:pPr>
      <w:r>
        <w:rPr>
          <w:i/>
        </w:rPr>
        <w:t>Tampoco será aplicable a los contratos que celebren los medios propios a los que se les haya encargado la prestación de servicios informáticos y tecnológicos a la Administración Pública con el fin</w:t>
      </w:r>
      <w:r>
        <w:rPr>
          <w:i/>
        </w:rPr>
        <w:t xml:space="preserve"> de garantizar la compatibilidad, la comunicabilidad y la seguridad de redes y sistemas, la integridad, fiabilidad y confidencialidad de la información, así como a los que celebren los medios propios cuyas funciones sean el fomento de las telecomunicacione</w:t>
      </w:r>
      <w:r>
        <w:rPr>
          <w:i/>
        </w:rPr>
        <w:t xml:space="preserve">s, el desarrollo de la sociedad de la información y sociedad digital. </w:t>
      </w:r>
    </w:p>
    <w:p w:rsidR="00DA121A" w:rsidRDefault="00904DD6">
      <w:pPr>
        <w:spacing w:after="172" w:line="248" w:lineRule="auto"/>
        <w:ind w:left="278" w:right="145" w:firstLine="360"/>
      </w:pPr>
      <w:r>
        <w:rPr>
          <w:i/>
        </w:rPr>
        <w:t xml:space="preserve">Excepcionalmente podrá superarse dicho porcentaje de contratación siempre que el encargo al medio propio se base en razones de seguridad, en la naturaleza de la prestación que requiera </w:t>
      </w:r>
      <w:r>
        <w:rPr>
          <w:i/>
        </w:rPr>
        <w:t>un mayor control en la ejecución de la misma, o en razones de urgencia que demanden una mayor celeridad en su ejecución. La justificación de que concurren estas circunstancias se acompañará al documento de formalización del encargo y se publicará en la Pla</w:t>
      </w:r>
      <w:r>
        <w:rPr>
          <w:i/>
        </w:rPr>
        <w:t xml:space="preserve">taforma de Contratación correspondiente conjuntamente con éste. </w:t>
      </w:r>
    </w:p>
    <w:p w:rsidR="00DA121A" w:rsidRDefault="00904DD6">
      <w:pPr>
        <w:spacing w:after="0" w:line="259" w:lineRule="auto"/>
        <w:ind w:left="644" w:firstLine="0"/>
        <w:jc w:val="left"/>
      </w:pPr>
      <w:r>
        <w:rPr>
          <w:b/>
        </w:rPr>
        <w:t xml:space="preserve"> </w:t>
      </w:r>
    </w:p>
    <w:p w:rsidR="00DA121A" w:rsidRDefault="00904DD6">
      <w:pPr>
        <w:spacing w:after="174"/>
        <w:ind w:left="654" w:right="144"/>
      </w:pPr>
      <w:r>
        <w:rPr>
          <w:b/>
        </w:rPr>
        <w:t xml:space="preserve">Es de aplicación el artículo 47 de la Ley de Bases del Régimen local: </w:t>
      </w:r>
    </w:p>
    <w:p w:rsidR="00DA121A" w:rsidRDefault="00904DD6">
      <w:pPr>
        <w:numPr>
          <w:ilvl w:val="0"/>
          <w:numId w:val="72"/>
        </w:numPr>
        <w:spacing w:after="172" w:line="248" w:lineRule="auto"/>
        <w:ind w:right="145" w:firstLine="360"/>
      </w:pPr>
      <w:r>
        <w:rPr>
          <w:i/>
        </w:rPr>
        <w:t xml:space="preserve">Los acuerdos de las corporaciones locales se adoptan, como regla general, por mayoría simple de los miembros presentes. Existe mayoría simple cuando los votos afirmativos son más que los negativos. </w:t>
      </w:r>
    </w:p>
    <w:p w:rsidR="00DA121A" w:rsidRDefault="00904DD6">
      <w:pPr>
        <w:numPr>
          <w:ilvl w:val="0"/>
          <w:numId w:val="72"/>
        </w:numPr>
        <w:spacing w:after="172" w:line="248" w:lineRule="auto"/>
        <w:ind w:right="145" w:firstLine="360"/>
      </w:pPr>
      <w:r>
        <w:rPr>
          <w:i/>
        </w:rPr>
        <w:t xml:space="preserve">Se requiere el voto favorable de la mayoría absoluta del </w:t>
      </w:r>
      <w:r>
        <w:rPr>
          <w:i/>
        </w:rPr>
        <w:t xml:space="preserve">número legal de miembros de las corporaciones para la adopción de acuerdos en las siguientes materias: </w:t>
      </w:r>
    </w:p>
    <w:p w:rsidR="00DA121A" w:rsidRDefault="00904DD6">
      <w:pPr>
        <w:spacing w:after="172" w:line="248" w:lineRule="auto"/>
        <w:ind w:left="278" w:right="145" w:firstLine="360"/>
      </w:pPr>
      <w:r>
        <w:rPr>
          <w:i/>
        </w:rPr>
        <w:t>h) Transferencia de funciones o actividades a otras Administraciones públicas, así como la aceptación de las delegaciones o encomiendas de gestión reali</w:t>
      </w:r>
      <w:r>
        <w:rPr>
          <w:i/>
        </w:rPr>
        <w:t>zadas por otras administraciones, salvo que por ley se impongan obligatoriamente.</w:t>
      </w:r>
      <w:r>
        <w:rPr>
          <w:rFonts w:ascii="Times New Roman" w:eastAsia="Times New Roman" w:hAnsi="Times New Roman" w:cs="Times New Roman"/>
          <w:sz w:val="24"/>
        </w:rPr>
        <w:t xml:space="preserve"> </w:t>
      </w:r>
    </w:p>
    <w:p w:rsidR="00DA121A" w:rsidRDefault="00904DD6">
      <w:pPr>
        <w:spacing w:after="98" w:line="259" w:lineRule="auto"/>
        <w:ind w:left="644" w:firstLine="0"/>
        <w:jc w:val="left"/>
      </w:pPr>
      <w:r>
        <w:rPr>
          <w:b/>
        </w:rPr>
        <w:t xml:space="preserve"> </w:t>
      </w:r>
    </w:p>
    <w:p w:rsidR="00DA121A" w:rsidRDefault="00904DD6">
      <w:pPr>
        <w:spacing w:after="127"/>
        <w:ind w:left="3131" w:right="144"/>
      </w:pPr>
      <w:r>
        <w:rPr>
          <w:b/>
        </w:rPr>
        <w:t xml:space="preserve">PROPUESTA DE ACUERDO </w:t>
      </w:r>
    </w:p>
    <w:p w:rsidR="00DA121A" w:rsidRDefault="00904DD6">
      <w:pPr>
        <w:spacing w:after="114"/>
        <w:ind w:left="279" w:right="144"/>
      </w:pPr>
      <w:r>
        <w:rPr>
          <w:b/>
        </w:rPr>
        <w:t>Primero. - Encomendar a la entidad “Gestión y Planeamiento Territorial y Medioambiental, SA (GESPLAN), adscrita a la Consejería de Transición Ecológi</w:t>
      </w:r>
      <w:r>
        <w:rPr>
          <w:b/>
        </w:rPr>
        <w:t xml:space="preserve">ca, Lucha contra el Cambio Climático y Planificación Territorial del Gobierno de Canarias, la redacción con unos plazos de ejecución de la redacción del proyecto y del presupuesto del contrato de servicios que son los siguientes: </w:t>
      </w:r>
    </w:p>
    <w:p w:rsidR="00DA121A" w:rsidRDefault="00904DD6">
      <w:pPr>
        <w:spacing w:after="111"/>
        <w:ind w:left="279" w:right="144"/>
      </w:pPr>
      <w:r>
        <w:rPr>
          <w:b/>
        </w:rPr>
        <w:t xml:space="preserve">Plan Especial de Reforma </w:t>
      </w:r>
      <w:r>
        <w:rPr>
          <w:b/>
        </w:rPr>
        <w:t xml:space="preserve">Interior de la Jiménez: </w:t>
      </w:r>
    </w:p>
    <w:p w:rsidR="00DA121A" w:rsidRDefault="00904DD6">
      <w:pPr>
        <w:spacing w:after="111"/>
        <w:ind w:left="288" w:right="146"/>
      </w:pPr>
      <w:r>
        <w:t xml:space="preserve">FASE 1- DOCUMENTO BORRADOR Y DOCUMENTO INICIAL ESTRATÉGICO:  </w:t>
      </w:r>
    </w:p>
    <w:p w:rsidR="00DA121A" w:rsidRDefault="00904DD6">
      <w:pPr>
        <w:spacing w:after="109"/>
        <w:ind w:left="288" w:right="146"/>
      </w:pPr>
      <w:r>
        <w:t xml:space="preserve">Plazo estimado de redacción: 5 meses.  </w:t>
      </w:r>
    </w:p>
    <w:p w:rsidR="00DA121A" w:rsidRDefault="00904DD6">
      <w:pPr>
        <w:spacing w:after="109"/>
        <w:ind w:left="288" w:right="146"/>
      </w:pPr>
      <w:r>
        <w:t xml:space="preserve">FASE 2 – DOCUMENTO PARA APROBACIÓN INICIAL Y ESTUDIO AMBIENTAL ESTRATÉGICO:  </w:t>
      </w:r>
    </w:p>
    <w:p w:rsidR="00DA121A" w:rsidRDefault="00904DD6">
      <w:pPr>
        <w:spacing w:after="112"/>
        <w:ind w:left="288" w:right="146"/>
      </w:pPr>
      <w:r>
        <w:t xml:space="preserve">Plazo estimado de redacción: 4 meses. </w:t>
      </w:r>
    </w:p>
    <w:p w:rsidR="00DA121A" w:rsidRDefault="00904DD6">
      <w:pPr>
        <w:spacing w:after="109"/>
        <w:ind w:left="288" w:right="146"/>
      </w:pPr>
      <w:r>
        <w:t xml:space="preserve">FASE 3 – </w:t>
      </w:r>
      <w:r>
        <w:t xml:space="preserve">DOCUMENTO VERSION DEFINITIVA DEL PLAN PARA APROBACIÓN DEFINITIVA: </w:t>
      </w:r>
    </w:p>
    <w:p w:rsidR="00DA121A" w:rsidRDefault="00904DD6">
      <w:pPr>
        <w:spacing w:after="111"/>
        <w:ind w:left="288" w:right="146"/>
      </w:pPr>
      <w:r>
        <w:t xml:space="preserve">Plazo estimado de redacción: 2 meses.  </w:t>
      </w:r>
    </w:p>
    <w:p w:rsidR="00DA121A" w:rsidRDefault="00904DD6">
      <w:pPr>
        <w:spacing w:after="114"/>
        <w:ind w:left="288" w:right="146"/>
      </w:pPr>
      <w:r>
        <w:t xml:space="preserve">Los plazos necesarios de tramitación quedan fuera del plazo ofertado para la entrega de los documentos por parte de Gesplan. La propuesta de plazos y económica se realiza en el supuesto de una única información pública tras la aprobación inicial.  </w:t>
      </w:r>
    </w:p>
    <w:p w:rsidR="00DA121A" w:rsidRDefault="00904DD6">
      <w:pPr>
        <w:spacing w:after="107"/>
        <w:ind w:left="288" w:right="146"/>
      </w:pPr>
      <w:r>
        <w:t>6. Prop</w:t>
      </w:r>
      <w:r>
        <w:t xml:space="preserve">uesta económica El importe total de la propuesta asciende a la cantidad de OCHENTA Y UN MIL CINCUENTA EUROS Y TREINTA Y SEIS CÉNTIMOS (81.050,36 €)  </w:t>
      </w:r>
    </w:p>
    <w:p w:rsidR="00DA121A" w:rsidRDefault="00904DD6">
      <w:pPr>
        <w:spacing w:after="132" w:line="259" w:lineRule="auto"/>
        <w:ind w:left="284" w:firstLine="0"/>
        <w:jc w:val="left"/>
      </w:pPr>
      <w:r>
        <w:rPr>
          <w:b/>
        </w:rPr>
        <w:t xml:space="preserve"> </w:t>
      </w:r>
    </w:p>
    <w:p w:rsidR="00DA121A" w:rsidRDefault="00904DD6">
      <w:pPr>
        <w:spacing w:after="109"/>
        <w:ind w:left="279" w:right="144"/>
      </w:pPr>
      <w:r>
        <w:rPr>
          <w:b/>
        </w:rPr>
        <w:t>Segundo. - Notificar el presente acuerdo a la entidad “Gestión y Planeamiento Territorial y Medioambient</w:t>
      </w:r>
      <w:r>
        <w:rPr>
          <w:b/>
        </w:rPr>
        <w:t xml:space="preserve">al, SA (GESPLAN).” </w:t>
      </w:r>
    </w:p>
    <w:p w:rsidR="00DA121A" w:rsidRDefault="00904DD6">
      <w:pPr>
        <w:spacing w:after="117" w:line="259" w:lineRule="auto"/>
        <w:ind w:left="284" w:firstLine="0"/>
        <w:jc w:val="left"/>
      </w:pPr>
      <w:r>
        <w:rPr>
          <w:b/>
        </w:rPr>
        <w:t xml:space="preserve"> </w:t>
      </w:r>
    </w:p>
    <w:p w:rsidR="00DA121A" w:rsidRDefault="00904DD6">
      <w:pPr>
        <w:spacing w:after="0" w:line="249" w:lineRule="auto"/>
        <w:ind w:left="279"/>
        <w:jc w:val="left"/>
      </w:pPr>
      <w:r>
        <w:rPr>
          <w:rFonts w:ascii="Times New Roman" w:eastAsia="Times New Roman" w:hAnsi="Times New Roman" w:cs="Times New Roman"/>
          <w:b/>
          <w:sz w:val="24"/>
        </w:rPr>
        <w:t xml:space="preserve">    Consta en el expediente propuesta de la Alcaldesa-Presidenta, de fecha 22 de marzo de 2023, cuyo tenor literal es el siguiente: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pStyle w:val="Ttulo2"/>
        <w:spacing w:after="98"/>
        <w:ind w:right="1199"/>
      </w:pPr>
      <w:r>
        <w:t xml:space="preserve">“PROPUESTA DE LA ALCALDÍA-PRESIDENCIA  </w:t>
      </w:r>
    </w:p>
    <w:p w:rsidR="00DA121A" w:rsidRDefault="00904DD6">
      <w:pPr>
        <w:spacing w:after="4"/>
        <w:ind w:left="1426" w:right="144"/>
      </w:pPr>
      <w:r>
        <w:rPr>
          <w:b/>
        </w:rPr>
        <w:t xml:space="preserve">Visto el informe de la Secretaría General que transcrito literalmente dispone: </w:t>
      </w:r>
    </w:p>
    <w:p w:rsidR="00DA121A" w:rsidRDefault="00904DD6">
      <w:pPr>
        <w:spacing w:after="112"/>
        <w:ind w:left="278" w:right="146" w:firstLine="1133"/>
      </w:pPr>
      <w:r>
        <w:t>Visto el expediente antedicho se emite el siguiente informe sobre la encomienda a GESPLAN, de la redacción del Plan Especial de Reforma Interior de la Jiménez del término munic</w:t>
      </w:r>
      <w:r>
        <w:t xml:space="preserve">ipal de Candelaria y se emite el siguiente informe jurídico: </w:t>
      </w:r>
    </w:p>
    <w:p w:rsidR="00DA121A" w:rsidRDefault="00904DD6">
      <w:pPr>
        <w:spacing w:after="100" w:line="259" w:lineRule="auto"/>
        <w:ind w:left="284" w:firstLine="0"/>
        <w:jc w:val="left"/>
      </w:pPr>
      <w:r>
        <w:t xml:space="preserve">  </w:t>
      </w:r>
    </w:p>
    <w:p w:rsidR="00DA121A" w:rsidRDefault="00904DD6">
      <w:pPr>
        <w:spacing w:after="98" w:line="259" w:lineRule="auto"/>
        <w:ind w:left="568" w:right="433"/>
        <w:jc w:val="center"/>
      </w:pPr>
      <w:r>
        <w:t xml:space="preserve">ANTECEDENTES DE HECHO </w:t>
      </w:r>
    </w:p>
    <w:p w:rsidR="00DA121A" w:rsidRDefault="00904DD6">
      <w:pPr>
        <w:spacing w:after="112"/>
        <w:ind w:left="1426" w:right="146"/>
      </w:pPr>
      <w:r>
        <w:t xml:space="preserve">Primero. - Consta en el expediente memoria de la Alcaldía-Presidencia. </w:t>
      </w:r>
    </w:p>
    <w:p w:rsidR="00DA121A" w:rsidRDefault="00904DD6">
      <w:pPr>
        <w:spacing w:after="114"/>
        <w:ind w:left="278" w:right="146" w:firstLine="1133"/>
      </w:pPr>
      <w:r>
        <w:t>Segundo. - Consta en el expediente Propuesta económica de Gesplan del Plan Especial de Reforma I</w:t>
      </w:r>
      <w:r>
        <w:t xml:space="preserve">nterior de la Jiménez del término municipal de Candelaria. </w:t>
      </w:r>
    </w:p>
    <w:p w:rsidR="00DA121A" w:rsidRDefault="00904DD6">
      <w:pPr>
        <w:ind w:left="1426" w:right="146"/>
      </w:pPr>
      <w:r>
        <w:t xml:space="preserve">Tercero. - Consta en el expediente certificado del acuerdo del pleno de fecha 24 de </w:t>
      </w:r>
    </w:p>
    <w:p w:rsidR="00DA121A" w:rsidRDefault="00904DD6">
      <w:pPr>
        <w:spacing w:after="109"/>
        <w:ind w:left="288" w:right="146"/>
      </w:pPr>
      <w:r>
        <w:t xml:space="preserve">junio de 2021 en el que en su parte dispositiva dispone en su punto primero: </w:t>
      </w:r>
    </w:p>
    <w:p w:rsidR="00DA121A" w:rsidRDefault="00904DD6">
      <w:pPr>
        <w:spacing w:after="113" w:line="248" w:lineRule="auto"/>
        <w:ind w:left="278" w:right="145" w:firstLine="1133"/>
      </w:pPr>
      <w:r>
        <w:rPr>
          <w:i/>
        </w:rPr>
        <w:t>1º.- Otorgar la conformidad expre</w:t>
      </w:r>
      <w:r>
        <w:rPr>
          <w:i/>
        </w:rPr>
        <w:t>sa de esta Corporación a la declaración de la entidad “Gestión y Planeamiento Territorial y Medioambiental, SA (GESPLAN), adscrita a la Consejería de Transición Ecológica, Lucha contra el Cambio Climático y Planificación Territorial del Gobierno de Canaria</w:t>
      </w:r>
      <w:r>
        <w:rPr>
          <w:i/>
        </w:rPr>
        <w:t xml:space="preserve">s, como medio personificado del mismo, a los efectos dispuestos en el artículo 32.2 de la Ley 4/2012, de 25 de junio, de medidas administrativas y fiscales, en relación con el art. 32.4 de la LCSP. </w:t>
      </w:r>
    </w:p>
    <w:p w:rsidR="00DA121A" w:rsidRDefault="00904DD6">
      <w:pPr>
        <w:spacing w:after="98" w:line="259" w:lineRule="auto"/>
        <w:ind w:left="1416" w:firstLine="0"/>
        <w:jc w:val="left"/>
      </w:pPr>
      <w:r>
        <w:t xml:space="preserve"> </w:t>
      </w:r>
    </w:p>
    <w:p w:rsidR="00DA121A" w:rsidRDefault="00904DD6">
      <w:pPr>
        <w:spacing w:after="111"/>
        <w:ind w:left="2562" w:right="146"/>
      </w:pPr>
      <w:r>
        <w:t xml:space="preserve">      FUNDAMENTOS DE DERECHO </w:t>
      </w:r>
    </w:p>
    <w:p w:rsidR="00DA121A" w:rsidRDefault="00904DD6">
      <w:pPr>
        <w:ind w:left="1426" w:right="146"/>
      </w:pPr>
      <w:r>
        <w:t xml:space="preserve">Primero. -  </w:t>
      </w:r>
      <w:r>
        <w:t xml:space="preserve">Es de aplicación el artículo 32 de la Ley de Contratos del Sector Público que </w:t>
      </w:r>
    </w:p>
    <w:p w:rsidR="00DA121A" w:rsidRDefault="00904DD6">
      <w:pPr>
        <w:spacing w:after="109"/>
        <w:ind w:left="288" w:right="146"/>
      </w:pPr>
      <w:r>
        <w:t xml:space="preserve">expresamente dispone: </w:t>
      </w:r>
    </w:p>
    <w:p w:rsidR="00DA121A" w:rsidRDefault="00904DD6">
      <w:pPr>
        <w:spacing w:after="172" w:line="248" w:lineRule="auto"/>
        <w:ind w:left="1426" w:right="145"/>
      </w:pPr>
      <w:r>
        <w:rPr>
          <w:i/>
        </w:rPr>
        <w:t>Artículo 32. Encargos de los poderes adjudicadores a medios propios personificados.</w:t>
      </w:r>
      <w:r>
        <w:t xml:space="preserve"> </w:t>
      </w:r>
    </w:p>
    <w:p w:rsidR="00DA121A" w:rsidRDefault="00904DD6">
      <w:pPr>
        <w:numPr>
          <w:ilvl w:val="0"/>
          <w:numId w:val="73"/>
        </w:numPr>
        <w:spacing w:after="172" w:line="248" w:lineRule="auto"/>
        <w:ind w:right="72" w:firstLine="355"/>
        <w:jc w:val="left"/>
      </w:pPr>
      <w:r>
        <w:rPr>
          <w:i/>
        </w:rPr>
        <w:t>Los poderes adjudicadores podrán organizarse ejecutando de manera dir</w:t>
      </w:r>
      <w:r>
        <w:rPr>
          <w:i/>
        </w:rPr>
        <w:t>ecta prestaciones propias de los contratos de obras, suministros, servicios, concesión de obras y concesión de servicios, a cambio de una compensación tarifaria, valiéndose de otra persona jurídica distinta a ellos, ya sea de derecho público o de derecho p</w:t>
      </w:r>
      <w:r>
        <w:rPr>
          <w:i/>
        </w:rPr>
        <w:t>rivado, previo encargo a esta, con sujeción a lo dispuesto en este artículo, siempre y cuando la persona jurídica que utilicen merezca la calificación jurídica de medio propio personificado respecto de ellos de conformidad con lo dispuesto en los tres apar</w:t>
      </w:r>
      <w:r>
        <w:rPr>
          <w:i/>
        </w:rPr>
        <w:t xml:space="preserve">tados siguientes, y sin perjuicio de los requisitos establecidos para los medios propios del ámbito estatal en la Ley 40/2015, de 1 de octubre, de Régimen Jurídico del Sector Público. </w:t>
      </w:r>
    </w:p>
    <w:p w:rsidR="00DA121A" w:rsidRDefault="00904DD6">
      <w:pPr>
        <w:spacing w:after="172" w:line="259" w:lineRule="auto"/>
        <w:ind w:left="644" w:firstLine="0"/>
        <w:jc w:val="left"/>
      </w:pPr>
      <w:r>
        <w:t xml:space="preserve"> </w:t>
      </w:r>
    </w:p>
    <w:p w:rsidR="00DA121A" w:rsidRDefault="00904DD6">
      <w:pPr>
        <w:spacing w:after="140" w:line="259" w:lineRule="auto"/>
        <w:ind w:left="654" w:right="176"/>
        <w:jc w:val="left"/>
      </w:pPr>
      <w:r>
        <w:rPr>
          <w:u w:val="single" w:color="000000"/>
        </w:rPr>
        <w:t>El encargo que cumpla dichos requisitos no tendrá la consideración de</w:t>
      </w:r>
      <w:r>
        <w:rPr>
          <w:u w:val="single" w:color="000000"/>
        </w:rPr>
        <w:t xml:space="preserve"> contrato</w:t>
      </w:r>
      <w:r>
        <w:rPr>
          <w:i/>
        </w:rPr>
        <w:t>.</w:t>
      </w:r>
      <w:r>
        <w:rPr>
          <w:rFonts w:ascii="Times New Roman" w:eastAsia="Times New Roman" w:hAnsi="Times New Roman" w:cs="Times New Roman"/>
          <w:sz w:val="24"/>
        </w:rPr>
        <w:t xml:space="preserve"> </w:t>
      </w:r>
    </w:p>
    <w:p w:rsidR="00DA121A" w:rsidRDefault="00904DD6">
      <w:pPr>
        <w:numPr>
          <w:ilvl w:val="0"/>
          <w:numId w:val="73"/>
        </w:numPr>
        <w:spacing w:after="359" w:line="238" w:lineRule="auto"/>
        <w:ind w:right="72" w:firstLine="355"/>
        <w:jc w:val="left"/>
      </w:pPr>
      <w:r>
        <w:rPr>
          <w:i/>
        </w:rPr>
        <w:t>Tendrán la consideración de medio propio personificado respecto de una única entidad concreta del sector público aquellas personas jurídicas, de derecho público o de derecho privado, que cumplan todos y cada uno de los requisitos que se estable</w:t>
      </w:r>
      <w:r>
        <w:rPr>
          <w:i/>
        </w:rPr>
        <w:t xml:space="preserve">cen a continuación: </w:t>
      </w:r>
    </w:p>
    <w:p w:rsidR="00DA121A" w:rsidRDefault="00904DD6">
      <w:pPr>
        <w:numPr>
          <w:ilvl w:val="0"/>
          <w:numId w:val="74"/>
        </w:numPr>
        <w:spacing w:after="172" w:line="248" w:lineRule="auto"/>
        <w:ind w:right="145" w:firstLine="360"/>
      </w:pPr>
      <w:r>
        <w:rPr>
          <w:i/>
        </w:rPr>
        <w:t>Que el poder adjudicador que pueda conferirle encargos ejerza sobre el ente destinatario de los mismos un control, directo o indirecto, análogo al que ostentaría sobre sus propios servicios o unidades, de manera que el primero pueda ej</w:t>
      </w:r>
      <w:r>
        <w:rPr>
          <w:i/>
        </w:rPr>
        <w:t xml:space="preserve">ercer sobre el segundo una influencia decisiva sobre sus objetivos estratégicos y decisiones significativas. </w:t>
      </w:r>
    </w:p>
    <w:p w:rsidR="00DA121A" w:rsidRDefault="00904DD6">
      <w:pPr>
        <w:spacing w:after="172" w:line="248" w:lineRule="auto"/>
        <w:ind w:left="278" w:right="145" w:firstLine="360"/>
      </w:pPr>
      <w:r>
        <w:rPr>
          <w:i/>
        </w:rPr>
        <w:t>En todo caso se entenderá que el poder adjudicador que puede conferirle encargos ostenta sobre el ente destinatario del mismo un control análogo a</w:t>
      </w:r>
      <w:r>
        <w:rPr>
          <w:i/>
        </w:rPr>
        <w:t>l que ejerce sobre sus propios servicios o unidades cuando él mismo o bien otro u otros poderes adjudicadores o personas jurídicas controlados del mismo modo por el primero puedan conferirle encargos que sean de ejecución obligatoria para el ente destinata</w:t>
      </w:r>
      <w:r>
        <w:rPr>
          <w:i/>
        </w:rPr>
        <w:t xml:space="preserve">rio del encargo por así establecerlo los estatutos o el acto de creación, de manera que exista una unidad de decisión entre ellos, de acuerdo con instrucciones fijadas unilateralmente por el ente que puede realizar el encargo. </w:t>
      </w:r>
    </w:p>
    <w:p w:rsidR="00DA121A" w:rsidRDefault="00904DD6">
      <w:pPr>
        <w:spacing w:after="172" w:line="248" w:lineRule="auto"/>
        <w:ind w:left="278" w:right="145" w:firstLine="360"/>
      </w:pPr>
      <w:r>
        <w:rPr>
          <w:i/>
        </w:rPr>
        <w:t>La compensación se establecerá por referencia a tarifas aprobadas por la entidad pública de la que depende el medio propio personificado para las actividades objeto de encargo realizadas por el medio propio directamente y, en la forma que reglamentariament</w:t>
      </w:r>
      <w:r>
        <w:rPr>
          <w:i/>
        </w:rPr>
        <w:t>e se determine, atendiendo al coste efectivo soportado por el medio propio para las actividades objeto del encargo que se subcontraten con empresarios particulares en los casos en que este coste sea inferior al resultante de aplicar las tarifas a las activ</w:t>
      </w:r>
      <w:r>
        <w:rPr>
          <w:i/>
        </w:rPr>
        <w:t xml:space="preserve">idades subcontratadas. </w:t>
      </w:r>
    </w:p>
    <w:p w:rsidR="00DA121A" w:rsidRDefault="00904DD6">
      <w:pPr>
        <w:spacing w:after="172" w:line="248" w:lineRule="auto"/>
        <w:ind w:left="278" w:right="145" w:firstLine="360"/>
      </w:pPr>
      <w:r>
        <w:rPr>
          <w:i/>
        </w:rPr>
        <w:t xml:space="preserve">Dichas tarifas se calcularán de manera que representen los costes reales de realización de las unidades producidas directamente por el medio propio. </w:t>
      </w:r>
    </w:p>
    <w:p w:rsidR="00DA121A" w:rsidRDefault="00904DD6">
      <w:pPr>
        <w:numPr>
          <w:ilvl w:val="0"/>
          <w:numId w:val="74"/>
        </w:numPr>
        <w:spacing w:after="172" w:line="248" w:lineRule="auto"/>
        <w:ind w:right="145" w:firstLine="360"/>
      </w:pPr>
      <w:r>
        <w:rPr>
          <w:i/>
        </w:rPr>
        <w:t xml:space="preserve">Que más del 80 por ciento de las actividades del ente destinatario del encargo se </w:t>
      </w:r>
      <w:r>
        <w:rPr>
          <w:i/>
        </w:rPr>
        <w:t xml:space="preserve">lleven a cabo en el ejercicio de los cometidos que le han sido confiados por el poder adjudicador que hace el encargo y que lo controla o por otras personas jurídicas controladas del mismo modo por la entidad que hace el encargo. </w:t>
      </w:r>
    </w:p>
    <w:p w:rsidR="00DA121A" w:rsidRDefault="00904DD6">
      <w:pPr>
        <w:spacing w:after="172" w:line="248" w:lineRule="auto"/>
        <w:ind w:left="278" w:right="145" w:firstLine="360"/>
      </w:pPr>
      <w:r>
        <w:rPr>
          <w:i/>
        </w:rPr>
        <w:t>A estos efectos, para cal</w:t>
      </w:r>
      <w:r>
        <w:rPr>
          <w:i/>
        </w:rPr>
        <w:t>cular el 80 por ciento de las actividades del ente destinatario del encargo se tomarán en consideración el promedio del volumen global de negocios, los gastos soportados por los servicios prestados al poder adjudicador en relación con la totalidad de los g</w:t>
      </w:r>
      <w:r>
        <w:rPr>
          <w:i/>
        </w:rPr>
        <w:t>astos en que haya incurrido el medio propio por razón de las prestaciones que haya realizado a cualquier entidad, u otro indicador alternativo de actividad que sea fiable, y todo ello referido a los tres ejercicios anteriores al de formalización del encarg</w:t>
      </w:r>
      <w:r>
        <w:rPr>
          <w:i/>
        </w:rPr>
        <w:t xml:space="preserve">o. </w:t>
      </w:r>
    </w:p>
    <w:p w:rsidR="00DA121A" w:rsidRDefault="00904DD6">
      <w:pPr>
        <w:spacing w:after="172" w:line="248" w:lineRule="auto"/>
        <w:ind w:left="278" w:right="145" w:firstLine="360"/>
      </w:pPr>
      <w:r>
        <w:rPr>
          <w:i/>
        </w:rPr>
        <w:t>Cuando debido a la fecha de creación o de inicio de actividad del poder adjudicador que hace el encargo, o debido a la reorganización de las actividades de este, el volumen global de negocios, u otro indicador alternativo de actividad, de acuerdo con l</w:t>
      </w:r>
      <w:r>
        <w:rPr>
          <w:i/>
        </w:rPr>
        <w:t>o establecido en el párrafo anterior, no estuvieran disponibles respecto de los tres ejercicios anteriores a la formalización del encargo o hubieran perdido su vigencia, será suficiente con justificar que el cálculo del nivel de actividad se corresponde co</w:t>
      </w:r>
      <w:r>
        <w:rPr>
          <w:i/>
        </w:rPr>
        <w:t xml:space="preserve">n la realidad, en especial mediante proyecciones de negocio. </w:t>
      </w:r>
    </w:p>
    <w:p w:rsidR="00DA121A" w:rsidRDefault="00904DD6">
      <w:pPr>
        <w:numPr>
          <w:ilvl w:val="0"/>
          <w:numId w:val="75"/>
        </w:numPr>
        <w:spacing w:after="9" w:line="249" w:lineRule="auto"/>
        <w:ind w:right="146" w:firstLine="360"/>
      </w:pPr>
      <w:r>
        <w:rPr>
          <w:i/>
        </w:rPr>
        <w:t>Cuando el ente destinatario del encargo sea un ente de personificación jurídico-privada, ade-</w:t>
      </w:r>
    </w:p>
    <w:p w:rsidR="00DA121A" w:rsidRDefault="00904DD6">
      <w:pPr>
        <w:spacing w:after="172" w:line="248" w:lineRule="auto"/>
        <w:ind w:left="288" w:right="145"/>
      </w:pPr>
      <w:r>
        <w:rPr>
          <w:i/>
        </w:rPr>
        <w:t xml:space="preserve">más, la totalidad de su capital o patrimonio tendrá que ser de titularidad o aportación pública. </w:t>
      </w:r>
    </w:p>
    <w:p w:rsidR="00DA121A" w:rsidRDefault="00904DD6">
      <w:pPr>
        <w:numPr>
          <w:ilvl w:val="0"/>
          <w:numId w:val="75"/>
        </w:numPr>
        <w:spacing w:after="351" w:line="248" w:lineRule="auto"/>
        <w:ind w:right="146" w:firstLine="360"/>
      </w:pPr>
      <w:r>
        <w:rPr>
          <w:i/>
        </w:rPr>
        <w:t>La</w:t>
      </w:r>
      <w:r>
        <w:rPr>
          <w:i/>
        </w:rPr>
        <w:t xml:space="preserve"> condición de medio propio personificado de la entidad destinataria del encargo respecto del concreto poder adjudicador que hace el encargo deberá reconocerse expresamente en sus estatutos o actos de creación, previo cumplimiento de los siguientes requisit</w:t>
      </w:r>
      <w:r>
        <w:rPr>
          <w:i/>
        </w:rPr>
        <w:t xml:space="preserve">os: </w:t>
      </w:r>
    </w:p>
    <w:p w:rsidR="00DA121A" w:rsidRDefault="00904DD6">
      <w:pPr>
        <w:spacing w:after="172" w:line="248" w:lineRule="auto"/>
        <w:ind w:left="278" w:right="145" w:firstLine="360"/>
      </w:pPr>
      <w:r>
        <w:rPr>
          <w:i/>
        </w:rPr>
        <w:t xml:space="preserve">1.º Conformidad o autorización expresa del poder adjudicador respecto del que vaya a ser medio propio. </w:t>
      </w:r>
    </w:p>
    <w:p w:rsidR="00DA121A" w:rsidRDefault="00904DD6">
      <w:pPr>
        <w:spacing w:after="359" w:line="238" w:lineRule="auto"/>
        <w:ind w:left="269" w:firstLine="350"/>
        <w:jc w:val="left"/>
      </w:pPr>
      <w:r>
        <w:rPr>
          <w:i/>
        </w:rPr>
        <w:t xml:space="preserve">2.º Verificación por la entidad pública de que dependa el ente que vaya a ser medio propio, de que cuenta con medios personales y materiales apropiados para la realización de los encargos de conformidad con su objeto social. </w:t>
      </w:r>
    </w:p>
    <w:p w:rsidR="00DA121A" w:rsidRDefault="00904DD6">
      <w:pPr>
        <w:spacing w:after="172" w:line="248" w:lineRule="auto"/>
        <w:ind w:left="278" w:right="145" w:firstLine="360"/>
      </w:pPr>
      <w:r>
        <w:rPr>
          <w:i/>
        </w:rPr>
        <w:t>Los estatutos o acto de creaci</w:t>
      </w:r>
      <w:r>
        <w:rPr>
          <w:i/>
        </w:rPr>
        <w:t>ón del ente destinatario del encargo deberá determinar: el poder adjudicador respecto del cual tiene esa condición; precisar el régimen jurídico y administrativo de los encargos que se les puedan conferir; y establecer la imposibilidad de que participen en</w:t>
      </w:r>
      <w:r>
        <w:rPr>
          <w:i/>
        </w:rPr>
        <w:t xml:space="preserve"> licitaciones públicas convocadas por el poder adjudicador del que sean medio propio personificado, sin perjuicio de que, cuando no concurra ningún licitador, pueda encargárseles la ejecución de la prestación objeto de las mismas. </w:t>
      </w:r>
    </w:p>
    <w:p w:rsidR="00DA121A" w:rsidRDefault="00904DD6">
      <w:pPr>
        <w:spacing w:after="172" w:line="248" w:lineRule="auto"/>
        <w:ind w:left="278" w:right="145" w:firstLine="360"/>
      </w:pPr>
      <w:r>
        <w:rPr>
          <w:i/>
        </w:rPr>
        <w:t>En todo caso, se presumi</w:t>
      </w:r>
      <w:r>
        <w:rPr>
          <w:i/>
        </w:rPr>
        <w:t xml:space="preserve">rá que cumple el requisito establecido en el número 2.º de la presente letra cuando haya obtenido la correspondiente clasificación respecto a los grupos, subgrupos y categorías que ostente. </w:t>
      </w:r>
    </w:p>
    <w:p w:rsidR="00DA121A" w:rsidRDefault="00904DD6">
      <w:pPr>
        <w:numPr>
          <w:ilvl w:val="0"/>
          <w:numId w:val="76"/>
        </w:numPr>
        <w:spacing w:after="172" w:line="248" w:lineRule="auto"/>
        <w:ind w:right="145" w:firstLine="360"/>
      </w:pPr>
      <w:r>
        <w:rPr>
          <w:i/>
        </w:rPr>
        <w:t>El apartado 2 del presente artículo también se aplicará en los ca</w:t>
      </w:r>
      <w:r>
        <w:rPr>
          <w:i/>
        </w:rPr>
        <w:t>sos en que la persona jurídica controlada, siendo un poder adjudicador, realice un encargo al poder adjudicador que la controla o a otra persona jurídica controlada, directa o indirectamente, por el mismo poder adjudicador, siempre que no exista participac</w:t>
      </w:r>
      <w:r>
        <w:rPr>
          <w:i/>
        </w:rPr>
        <w:t xml:space="preserve">ión directa de capital privado en la persona jurídica a la que se realice el encargo. </w:t>
      </w:r>
    </w:p>
    <w:p w:rsidR="00DA121A" w:rsidRDefault="00904DD6">
      <w:pPr>
        <w:numPr>
          <w:ilvl w:val="0"/>
          <w:numId w:val="76"/>
        </w:numPr>
        <w:spacing w:after="354" w:line="248" w:lineRule="auto"/>
        <w:ind w:right="145" w:firstLine="360"/>
      </w:pPr>
      <w:r>
        <w:rPr>
          <w:i/>
        </w:rPr>
        <w:t xml:space="preserve">Tendrán la consideración de medio propio personificado respecto de dos o más poderes adjudicadores que sean independientes entre sí aquellas personas jurídicas, de derecho público o de derecho privado, que cumplan todos y cada uno de los requisitos que se </w:t>
      </w:r>
      <w:r>
        <w:rPr>
          <w:i/>
        </w:rPr>
        <w:t xml:space="preserve">establecen a continuación: </w:t>
      </w:r>
    </w:p>
    <w:p w:rsidR="00DA121A" w:rsidRDefault="00904DD6">
      <w:pPr>
        <w:spacing w:after="9" w:line="249" w:lineRule="auto"/>
        <w:ind w:left="10" w:right="146"/>
        <w:jc w:val="right"/>
      </w:pPr>
      <w:r>
        <w:rPr>
          <w:i/>
        </w:rPr>
        <w:t>a) Que los poderes adjudicadores que puedan conferirle encargos ejerzan sobre el ente desti-</w:t>
      </w:r>
    </w:p>
    <w:p w:rsidR="00DA121A" w:rsidRDefault="00904DD6">
      <w:pPr>
        <w:spacing w:after="172" w:line="248" w:lineRule="auto"/>
        <w:ind w:left="288" w:right="145"/>
      </w:pPr>
      <w:r>
        <w:rPr>
          <w:i/>
        </w:rPr>
        <w:t xml:space="preserve">natario del mismo un control conjunto análogo al que ostentarían sobre sus propios servicios o unidades. </w:t>
      </w:r>
    </w:p>
    <w:p w:rsidR="00DA121A" w:rsidRDefault="00904DD6">
      <w:pPr>
        <w:spacing w:after="347" w:line="249" w:lineRule="auto"/>
        <w:ind w:left="10" w:right="146"/>
        <w:jc w:val="right"/>
      </w:pPr>
      <w:r>
        <w:rPr>
          <w:i/>
        </w:rPr>
        <w:t>Se entenderá que existe contr</w:t>
      </w:r>
      <w:r>
        <w:rPr>
          <w:i/>
        </w:rPr>
        <w:t xml:space="preserve">ol conjunto cuando se cumplan todas las condiciones siguientes: </w:t>
      </w:r>
    </w:p>
    <w:p w:rsidR="00DA121A" w:rsidRDefault="00904DD6">
      <w:pPr>
        <w:spacing w:after="172" w:line="248" w:lineRule="auto"/>
        <w:ind w:left="278" w:right="145" w:firstLine="360"/>
      </w:pPr>
      <w:r>
        <w:rPr>
          <w:i/>
        </w:rPr>
        <w:t>1.º Que en los órganos decisorios del ente destinatario del encargo estén representados todos los entes que puedan conferirle encargos, pudiendo cada representante representar a varios de est</w:t>
      </w:r>
      <w:r>
        <w:rPr>
          <w:i/>
        </w:rPr>
        <w:t xml:space="preserve">os últimos o a la totalidad de ellos. </w:t>
      </w:r>
    </w:p>
    <w:p w:rsidR="00DA121A" w:rsidRDefault="00904DD6">
      <w:pPr>
        <w:spacing w:after="172" w:line="248" w:lineRule="auto"/>
        <w:ind w:left="278" w:right="145" w:firstLine="360"/>
      </w:pPr>
      <w:r>
        <w:rPr>
          <w:i/>
        </w:rPr>
        <w:t xml:space="preserve">2.º Que estos últimos puedan ejercer directa y conjuntamente una influencia decisiva sobre los objetivos estratégicos y sobre las decisiones significativas del ente destinatario del encargo. </w:t>
      </w:r>
    </w:p>
    <w:p w:rsidR="00DA121A" w:rsidRDefault="00904DD6">
      <w:pPr>
        <w:spacing w:after="351" w:line="248" w:lineRule="auto"/>
        <w:ind w:left="278" w:right="145" w:firstLine="360"/>
      </w:pPr>
      <w:r>
        <w:rPr>
          <w:i/>
        </w:rPr>
        <w:t>3.º Que el ente destinata</w:t>
      </w:r>
      <w:r>
        <w:rPr>
          <w:i/>
        </w:rPr>
        <w:t xml:space="preserve">rio del encargo no persiga intereses contrarios a los intereses de los entes que puedan conferirle encargos. </w:t>
      </w:r>
    </w:p>
    <w:p w:rsidR="00DA121A" w:rsidRDefault="00904DD6">
      <w:pPr>
        <w:spacing w:after="172" w:line="248" w:lineRule="auto"/>
        <w:ind w:left="278" w:right="145" w:firstLine="360"/>
      </w:pPr>
      <w:r>
        <w:rPr>
          <w:i/>
        </w:rPr>
        <w:t>La compensación se establecerá, por referencia a tarifas aprobadas por la entidad pública de la que depende el medio propio personificado para las</w:t>
      </w:r>
      <w:r>
        <w:rPr>
          <w:i/>
        </w:rPr>
        <w:t xml:space="preserve"> actividades objeto de encargo realizadas por el medio propio directamente y, en la forma que reglamentariamente se determine, atendiendo al coste efectivo soportado por el medio propio para las actividades objeto del encargo que se subcontraten con empres</w:t>
      </w:r>
      <w:r>
        <w:rPr>
          <w:i/>
        </w:rPr>
        <w:t xml:space="preserve">arios particulares en los casos en que este coste sea inferior al resultante de aplicar las tarifas a las actividades subcontratadas. </w:t>
      </w:r>
    </w:p>
    <w:p w:rsidR="00DA121A" w:rsidRDefault="00904DD6">
      <w:pPr>
        <w:spacing w:after="172" w:line="248" w:lineRule="auto"/>
        <w:ind w:left="278" w:right="145" w:firstLine="360"/>
      </w:pPr>
      <w:r>
        <w:rPr>
          <w:i/>
        </w:rPr>
        <w:t>Dichas tarifas se calcularán de manera que representen los costes reales de realización de las unidades producidas direct</w:t>
      </w:r>
      <w:r>
        <w:rPr>
          <w:i/>
        </w:rPr>
        <w:t xml:space="preserve">amente por el medio propio. </w:t>
      </w:r>
    </w:p>
    <w:p w:rsidR="00DA121A" w:rsidRDefault="00904DD6">
      <w:pPr>
        <w:numPr>
          <w:ilvl w:val="0"/>
          <w:numId w:val="77"/>
        </w:numPr>
        <w:spacing w:after="172" w:line="248" w:lineRule="auto"/>
        <w:ind w:right="145" w:firstLine="360"/>
      </w:pPr>
      <w:r>
        <w:rPr>
          <w:i/>
        </w:rPr>
        <w:t>Que más del 80 por ciento de las actividades del ente destinatario del encargo se lleven a cabo en el ejercicio de los cometidos que le han sido confiados por los poderes adjudicadores que lo controlan o por otras personas jurí</w:t>
      </w:r>
      <w:r>
        <w:rPr>
          <w:i/>
        </w:rPr>
        <w:t xml:space="preserve">dicas controladas por los mismos poderes adjudicadores. El cálculo del 80 por ciento se hará de acuerdo con lo establecido en la letra b) del apartado 2 de este artículo. </w:t>
      </w:r>
    </w:p>
    <w:p w:rsidR="00DA121A" w:rsidRDefault="00904DD6">
      <w:pPr>
        <w:numPr>
          <w:ilvl w:val="0"/>
          <w:numId w:val="77"/>
        </w:numPr>
        <w:spacing w:after="365" w:line="248" w:lineRule="auto"/>
        <w:ind w:right="145" w:firstLine="360"/>
      </w:pPr>
      <w:r>
        <w:rPr>
          <w:i/>
        </w:rPr>
        <w:t xml:space="preserve">Que cumplan los requisitos que establece este artículo en su apartado 2 letras c) y </w:t>
      </w:r>
      <w:r>
        <w:rPr>
          <w:i/>
        </w:rPr>
        <w:t xml:space="preserve">d). </w:t>
      </w:r>
    </w:p>
    <w:p w:rsidR="00DA121A" w:rsidRDefault="00904DD6">
      <w:pPr>
        <w:numPr>
          <w:ilvl w:val="0"/>
          <w:numId w:val="78"/>
        </w:numPr>
        <w:spacing w:after="148" w:line="248" w:lineRule="auto"/>
        <w:ind w:right="145" w:firstLine="360"/>
      </w:pPr>
      <w:r>
        <w:rPr>
          <w:i/>
        </w:rPr>
        <w:t>(Suprimido)</w:t>
      </w:r>
      <w:r>
        <w:rPr>
          <w:rFonts w:ascii="Times New Roman" w:eastAsia="Times New Roman" w:hAnsi="Times New Roman" w:cs="Times New Roman"/>
          <w:sz w:val="24"/>
        </w:rPr>
        <w:t xml:space="preserve"> </w:t>
      </w:r>
    </w:p>
    <w:p w:rsidR="00DA121A" w:rsidRDefault="00904DD6">
      <w:pPr>
        <w:numPr>
          <w:ilvl w:val="0"/>
          <w:numId w:val="78"/>
        </w:numPr>
        <w:spacing w:after="354" w:line="248" w:lineRule="auto"/>
        <w:ind w:right="145" w:firstLine="360"/>
      </w:pPr>
      <w:r>
        <w:rPr>
          <w:i/>
        </w:rPr>
        <w:t>Los encargos que realicen las entidades del sector público a un ente que, de acuerdo con los apartados segundo, tercero o cuarto de este artículo, pueda ser calificado como medio propio personificado del primero o primeros, no tendrán la consideración jurí</w:t>
      </w:r>
      <w:r>
        <w:rPr>
          <w:i/>
        </w:rPr>
        <w:t xml:space="preserve">dica de contrato, debiendo únicamente cumplir las siguientes normas: </w:t>
      </w:r>
    </w:p>
    <w:p w:rsidR="00DA121A" w:rsidRDefault="00904DD6">
      <w:pPr>
        <w:numPr>
          <w:ilvl w:val="0"/>
          <w:numId w:val="79"/>
        </w:numPr>
        <w:spacing w:after="9" w:line="249" w:lineRule="auto"/>
        <w:ind w:right="145" w:firstLine="360"/>
      </w:pPr>
      <w:r>
        <w:rPr>
          <w:i/>
        </w:rPr>
        <w:t>El medio propio personificado deberá haber publicado en la Plataforma de Contratación co-</w:t>
      </w:r>
    </w:p>
    <w:p w:rsidR="00DA121A" w:rsidRDefault="00904DD6">
      <w:pPr>
        <w:spacing w:after="172" w:line="248" w:lineRule="auto"/>
        <w:ind w:left="288" w:right="145"/>
      </w:pPr>
      <w:r>
        <w:rPr>
          <w:i/>
        </w:rPr>
        <w:t>rrespondiente su condición de tal; respecto de qué poderes adjudicadores la ostenta; y los secto</w:t>
      </w:r>
      <w:r>
        <w:rPr>
          <w:i/>
        </w:rPr>
        <w:t xml:space="preserve">res de actividad en los que, estando comprendidos en su objeto social, sería apto para ejecutar las prestaciones que vayan a ser objeto de encargo. </w:t>
      </w:r>
    </w:p>
    <w:p w:rsidR="00DA121A" w:rsidRDefault="00904DD6">
      <w:pPr>
        <w:numPr>
          <w:ilvl w:val="0"/>
          <w:numId w:val="79"/>
        </w:numPr>
        <w:spacing w:after="172" w:line="248" w:lineRule="auto"/>
        <w:ind w:right="145" w:firstLine="360"/>
      </w:pPr>
      <w:r>
        <w:rPr>
          <w:i/>
        </w:rPr>
        <w:t>El encargo deberá ser objeto de formalización en un documento que será publicado en la Plataforma de Contra</w:t>
      </w:r>
      <w:r>
        <w:rPr>
          <w:i/>
        </w:rPr>
        <w:t xml:space="preserve">tación correspondiente en los supuestos previstos del artículo 63.6. El documento de formalización establecerá el plazo de duración del encargo. </w:t>
      </w:r>
    </w:p>
    <w:p w:rsidR="00DA121A" w:rsidRDefault="00904DD6">
      <w:pPr>
        <w:numPr>
          <w:ilvl w:val="0"/>
          <w:numId w:val="79"/>
        </w:numPr>
        <w:spacing w:after="351" w:line="248" w:lineRule="auto"/>
        <w:ind w:right="145" w:firstLine="360"/>
      </w:pPr>
      <w:r>
        <w:rPr>
          <w:i/>
        </w:rPr>
        <w:t>Los órganos de las entidades del sector público estatal que tengan la condición de poder adjudicador en virtud</w:t>
      </w:r>
      <w:r>
        <w:rPr>
          <w:i/>
        </w:rPr>
        <w:t xml:space="preserve"> de lo dispuesto en el artículo 3.3 de esta Ley, necesitarán autorización del Consejo de Ministros cuando el importe del gasto que se derive del encargo, sea igual o superior a doce millones de euros. </w:t>
      </w:r>
    </w:p>
    <w:p w:rsidR="00DA121A" w:rsidRDefault="00904DD6">
      <w:pPr>
        <w:spacing w:after="172" w:line="248" w:lineRule="auto"/>
        <w:ind w:left="278" w:right="145" w:firstLine="360"/>
      </w:pPr>
      <w:r>
        <w:rPr>
          <w:i/>
        </w:rPr>
        <w:t>La autorización del Consejo de Ministros a que se refi</w:t>
      </w:r>
      <w:r>
        <w:rPr>
          <w:i/>
        </w:rPr>
        <w:t>ere el párrafo anterior deberá obtenerse antes de la suscripción del encargo por el órgano competente. Una vez obtenida la autorización, corresponderá a los órganos competentes la aprobación del gasto y suscripción del encargo, de conformidad con lo dispue</w:t>
      </w:r>
      <w:r>
        <w:rPr>
          <w:i/>
        </w:rPr>
        <w:t xml:space="preserve">sto en las respectivas normas. </w:t>
      </w:r>
    </w:p>
    <w:p w:rsidR="00DA121A" w:rsidRDefault="00904DD6">
      <w:pPr>
        <w:spacing w:after="180" w:line="238" w:lineRule="auto"/>
        <w:ind w:left="269" w:firstLine="350"/>
        <w:jc w:val="left"/>
      </w:pPr>
      <w:r>
        <w:rPr>
          <w:i/>
        </w:rPr>
        <w:t>A efectos de obtener la citada autorización, los órganos competentes deberán remitir al menos los siguientes documentos: el texto del encargo; el informe del servicio jurídico; así como el certificado de existencia de crédit</w:t>
      </w:r>
      <w:r>
        <w:rPr>
          <w:i/>
        </w:rPr>
        <w:t xml:space="preserve">o o, tratándose de poderes adjudicadores con presupuesto estimativo, los documentos equivalentes que acrediten la existencia de financiación. </w:t>
      </w:r>
    </w:p>
    <w:p w:rsidR="00DA121A" w:rsidRDefault="00904DD6">
      <w:pPr>
        <w:spacing w:after="172" w:line="248" w:lineRule="auto"/>
        <w:ind w:left="278" w:right="145" w:firstLine="360"/>
      </w:pPr>
      <w:r>
        <w:rPr>
          <w:i/>
        </w:rPr>
        <w:t xml:space="preserve">Requerirán igualmente la previa autorización del Consejo de Ministros las modificaciones de encargos autorizados </w:t>
      </w:r>
      <w:r>
        <w:rPr>
          <w:i/>
        </w:rPr>
        <w:t xml:space="preserve">por el Consejo de Ministros, cuando superen el 20 por cien del importe del encargo. </w:t>
      </w:r>
    </w:p>
    <w:p w:rsidR="00DA121A" w:rsidRDefault="00904DD6">
      <w:pPr>
        <w:spacing w:after="172" w:line="248" w:lineRule="auto"/>
        <w:ind w:left="278" w:right="145" w:firstLine="360"/>
      </w:pPr>
      <w:r>
        <w:rPr>
          <w:i/>
        </w:rPr>
        <w:t>La autorización que otorgue el Consejo de Ministros será genérica para la suscripción del encargo, sin que en ningún caso implique una validación de los trámites realizado</w:t>
      </w:r>
      <w:r>
        <w:rPr>
          <w:i/>
        </w:rPr>
        <w:t xml:space="preserve">s, ni exima de la responsabilidad que corresponda a las partes respecto de la correcta tramitación y realización del encargo. </w:t>
      </w:r>
    </w:p>
    <w:p w:rsidR="00DA121A" w:rsidRDefault="00904DD6">
      <w:pPr>
        <w:spacing w:after="351" w:line="248" w:lineRule="auto"/>
        <w:ind w:left="278" w:right="145" w:firstLine="360"/>
      </w:pPr>
      <w:r>
        <w:rPr>
          <w:i/>
        </w:rPr>
        <w:t xml:space="preserve">7. A los negocios jurídicos que los entes destinatarios del encargo celebren en ejecución del encargo recibido de conformidad con el presente artículo, se le aplicarán las siguientes reglas: </w:t>
      </w:r>
    </w:p>
    <w:p w:rsidR="00DA121A" w:rsidRDefault="00904DD6">
      <w:pPr>
        <w:numPr>
          <w:ilvl w:val="0"/>
          <w:numId w:val="80"/>
        </w:numPr>
        <w:spacing w:after="172" w:line="248" w:lineRule="auto"/>
        <w:ind w:right="145" w:firstLine="360"/>
      </w:pPr>
      <w:r>
        <w:rPr>
          <w:i/>
        </w:rPr>
        <w:t>El contrato quedará sometido a esta Ley, en los términos que sea</w:t>
      </w:r>
      <w:r>
        <w:rPr>
          <w:i/>
        </w:rPr>
        <w:t>n procedentes, de acuerdo con la naturaleza de la entidad que los celebre y el tipo y valor estimado de los mismos y, en todo caso, cuando el medio propio no sea un poder adjudicador se le aplicarán las normas contenidas en el Título I del Libro Tercero de</w:t>
      </w:r>
      <w:r>
        <w:rPr>
          <w:i/>
        </w:rPr>
        <w:t xml:space="preserve"> la presente Ley. </w:t>
      </w:r>
    </w:p>
    <w:p w:rsidR="00DA121A" w:rsidRDefault="00904DD6">
      <w:pPr>
        <w:numPr>
          <w:ilvl w:val="0"/>
          <w:numId w:val="80"/>
        </w:numPr>
        <w:spacing w:after="172" w:line="248" w:lineRule="auto"/>
        <w:ind w:right="145" w:firstLine="360"/>
      </w:pPr>
      <w:r>
        <w:rPr>
          <w:i/>
        </w:rPr>
        <w:t>El importe de las prestaciones parciales que el medio propio pueda contratar con terceros no excederá del 50 por ciento de la cuantía del encargo. No se considerarán prestaciones parciales aquellas que el medio propio adquiera a otras em</w:t>
      </w:r>
      <w:r>
        <w:rPr>
          <w:i/>
        </w:rPr>
        <w:t xml:space="preserve">presas cuando se trate de suministros o servicios auxiliares o instrumentales que no constituyen una parte autónoma y diferenciable de la prestación principal, aunque sean parte del proceso necesario para producir dicha prestación. </w:t>
      </w:r>
    </w:p>
    <w:p w:rsidR="00DA121A" w:rsidRDefault="00904DD6">
      <w:pPr>
        <w:spacing w:after="172" w:line="248" w:lineRule="auto"/>
        <w:ind w:left="278" w:right="145" w:firstLine="360"/>
      </w:pPr>
      <w:r>
        <w:rPr>
          <w:i/>
        </w:rPr>
        <w:t>No será aplicable lo es</w:t>
      </w:r>
      <w:r>
        <w:rPr>
          <w:i/>
        </w:rPr>
        <w:t>tablecido en esta letra a los contratos de obras que celebren los medios propios a los que se les haya encargado una concesión, ya sea de obras o de servicios. Igualmente, no será de aplicación en los supuestos en los que la gestión del servicio público se</w:t>
      </w:r>
      <w:r>
        <w:rPr>
          <w:i/>
        </w:rPr>
        <w:t xml:space="preserve"> efectúe mediante la creación de entidades de derecho público destinadas a este fin, ni a aquellos en que la misma se atribuya a una sociedad de derecho privado cuyo capital sea, en su totalidad, de titularidad pública. </w:t>
      </w:r>
    </w:p>
    <w:p w:rsidR="00DA121A" w:rsidRDefault="00904DD6">
      <w:pPr>
        <w:spacing w:after="172" w:line="248" w:lineRule="auto"/>
        <w:ind w:left="278" w:right="145" w:firstLine="360"/>
      </w:pPr>
      <w:r>
        <w:rPr>
          <w:i/>
        </w:rPr>
        <w:t>Tampoco será aplicable a los contra</w:t>
      </w:r>
      <w:r>
        <w:rPr>
          <w:i/>
        </w:rPr>
        <w:t>tos que celebren los medios propios a los que se les haya encargado la prestación de servicios informáticos y tecnológicos a la Administración Pública con el fin de garantizar la compatibilidad, la comunicabilidad y la seguridad de redes y sistemas, la int</w:t>
      </w:r>
      <w:r>
        <w:rPr>
          <w:i/>
        </w:rPr>
        <w:t xml:space="preserve">egridad, fiabilidad y confidencialidad de la información, así como a los que celebren los medios propios cuyas funciones sean el fomento de las telecomunicaciones, el desarrollo de la sociedad de la información y sociedad digital. </w:t>
      </w:r>
    </w:p>
    <w:p w:rsidR="00DA121A" w:rsidRDefault="00904DD6">
      <w:pPr>
        <w:spacing w:after="172" w:line="248" w:lineRule="auto"/>
        <w:ind w:left="278" w:right="145" w:firstLine="360"/>
      </w:pPr>
      <w:r>
        <w:rPr>
          <w:i/>
        </w:rPr>
        <w:t>Excepcionalmente podrá s</w:t>
      </w:r>
      <w:r>
        <w:rPr>
          <w:i/>
        </w:rPr>
        <w:t>uperarse dicho porcentaje de contratación siempre que el encargo al medio propio se base en razones de seguridad, en la naturaleza de la prestación que requiera un mayor control en la ejecución de la misma, o en razones de urgencia que demanden una mayor c</w:t>
      </w:r>
      <w:r>
        <w:rPr>
          <w:i/>
        </w:rPr>
        <w:t xml:space="preserve">eleridad en su ejecución. La justificación de que concurren estas circunstancias se acompañará al documento de formalización del encargo y se publicará en la Plataforma de Contratación correspondiente conjuntamente con éste. </w:t>
      </w:r>
    </w:p>
    <w:p w:rsidR="00DA121A" w:rsidRDefault="00904DD6">
      <w:pPr>
        <w:spacing w:after="98" w:line="259" w:lineRule="auto"/>
        <w:ind w:left="644" w:firstLine="0"/>
        <w:jc w:val="left"/>
      </w:pPr>
      <w:r>
        <w:t xml:space="preserve"> </w:t>
      </w:r>
    </w:p>
    <w:p w:rsidR="00DA121A" w:rsidRDefault="00904DD6">
      <w:pPr>
        <w:spacing w:after="171"/>
        <w:ind w:left="654" w:right="146"/>
      </w:pPr>
      <w:r>
        <w:t>Es de aplicación el artículo</w:t>
      </w:r>
      <w:r>
        <w:t xml:space="preserve"> 47 de la Ley de Bases del Régimen local: </w:t>
      </w:r>
    </w:p>
    <w:p w:rsidR="00DA121A" w:rsidRDefault="00904DD6">
      <w:pPr>
        <w:numPr>
          <w:ilvl w:val="0"/>
          <w:numId w:val="81"/>
        </w:numPr>
        <w:spacing w:after="172" w:line="248" w:lineRule="auto"/>
        <w:ind w:right="145" w:firstLine="360"/>
      </w:pPr>
      <w:r>
        <w:rPr>
          <w:i/>
        </w:rPr>
        <w:t xml:space="preserve">Los acuerdos de las corporaciones locales se adoptan, como regla general, por mayoría simple de los miembros presentes. Existe mayoría simple cuando los votos afirmativos son más que los negativos. </w:t>
      </w:r>
    </w:p>
    <w:p w:rsidR="00DA121A" w:rsidRDefault="00904DD6">
      <w:pPr>
        <w:numPr>
          <w:ilvl w:val="0"/>
          <w:numId w:val="81"/>
        </w:numPr>
        <w:spacing w:after="172" w:line="248" w:lineRule="auto"/>
        <w:ind w:right="145" w:firstLine="360"/>
      </w:pPr>
      <w:r>
        <w:rPr>
          <w:i/>
        </w:rPr>
        <w:t>Se requiere el</w:t>
      </w:r>
      <w:r>
        <w:rPr>
          <w:i/>
        </w:rPr>
        <w:t xml:space="preserve"> voto favorable de la mayoría absoluta del número legal de miembros de las corporaciones para la adopción de acuerdos en las siguientes materias: </w:t>
      </w:r>
    </w:p>
    <w:p w:rsidR="00DA121A" w:rsidRDefault="00904DD6">
      <w:pPr>
        <w:spacing w:after="172" w:line="248" w:lineRule="auto"/>
        <w:ind w:left="278" w:right="145" w:firstLine="360"/>
      </w:pPr>
      <w:r>
        <w:rPr>
          <w:i/>
        </w:rPr>
        <w:t xml:space="preserve">h) Transferencia de funciones o actividades a otras Administraciones públicas, así como la aceptación de las </w:t>
      </w:r>
      <w:r>
        <w:rPr>
          <w:i/>
        </w:rPr>
        <w:t>delegaciones o encomiendas de gestión realizadas por otras administraciones, salvo que por ley se impongan obligatoriamente.</w:t>
      </w:r>
      <w:r>
        <w:rPr>
          <w:rFonts w:ascii="Times New Roman" w:eastAsia="Times New Roman" w:hAnsi="Times New Roman" w:cs="Times New Roman"/>
          <w:sz w:val="24"/>
        </w:rPr>
        <w:t xml:space="preserve"> </w:t>
      </w:r>
    </w:p>
    <w:p w:rsidR="00DA121A" w:rsidRDefault="00904DD6">
      <w:pPr>
        <w:spacing w:after="0" w:line="259" w:lineRule="auto"/>
        <w:ind w:left="644" w:firstLine="0"/>
        <w:jc w:val="left"/>
      </w:pPr>
      <w:r>
        <w:t xml:space="preserve"> </w:t>
      </w:r>
    </w:p>
    <w:p w:rsidR="00DA121A" w:rsidRDefault="00904DD6">
      <w:pPr>
        <w:spacing w:after="135" w:line="259" w:lineRule="auto"/>
        <w:ind w:left="568" w:right="349"/>
        <w:jc w:val="center"/>
      </w:pPr>
      <w:r>
        <w:t xml:space="preserve">PROPUESTA DE ACUERDO </w:t>
      </w:r>
    </w:p>
    <w:p w:rsidR="00DA121A" w:rsidRDefault="00904DD6">
      <w:pPr>
        <w:spacing w:after="112"/>
        <w:ind w:left="288" w:right="146"/>
      </w:pPr>
      <w:r>
        <w:t xml:space="preserve">Primero. - </w:t>
      </w:r>
      <w:r>
        <w:t>Encomendar a la entidad “Gestión y Planeamiento Territorial y Medioambiental, SA (GESPLAN), adscrita a la Consejería de Transición Ecológica, Lucha contra el Cambio Climático y Planificación Territorial del Gobierno de Canarias, la redacción con unos plazo</w:t>
      </w:r>
      <w:r>
        <w:t xml:space="preserve">s de ejecución de la redacción del proyecto y del presupuesto del contrato de servicios que son los siguientes: </w:t>
      </w:r>
    </w:p>
    <w:p w:rsidR="00DA121A" w:rsidRDefault="00904DD6">
      <w:pPr>
        <w:spacing w:after="112"/>
        <w:ind w:left="288" w:right="146"/>
      </w:pPr>
      <w:r>
        <w:t xml:space="preserve">Plan Especial de Reforma Interior de la Jiménez: </w:t>
      </w:r>
    </w:p>
    <w:p w:rsidR="00DA121A" w:rsidRDefault="00904DD6">
      <w:pPr>
        <w:spacing w:after="109"/>
        <w:ind w:left="288" w:right="146"/>
      </w:pPr>
      <w:r>
        <w:t xml:space="preserve">FASE 1- DOCUMENTO BORRADOR Y DOCUMENTO INICIAL ESTRATÉGICO:  </w:t>
      </w:r>
    </w:p>
    <w:p w:rsidR="00DA121A" w:rsidRDefault="00904DD6">
      <w:pPr>
        <w:spacing w:after="112"/>
        <w:ind w:left="288" w:right="146"/>
      </w:pPr>
      <w:r>
        <w:t xml:space="preserve">Plazo estimado de redacción: 5 </w:t>
      </w:r>
      <w:r>
        <w:t xml:space="preserve">meses.  </w:t>
      </w:r>
    </w:p>
    <w:p w:rsidR="00DA121A" w:rsidRDefault="00904DD6">
      <w:pPr>
        <w:spacing w:after="109"/>
        <w:ind w:left="288" w:right="146"/>
      </w:pPr>
      <w:r>
        <w:t xml:space="preserve">FASE 2 – DOCUMENTO PARA APROBACIÓN INICIAL Y ESTUDIO AMBIENTAL ESTRATÉGICO:  </w:t>
      </w:r>
    </w:p>
    <w:p w:rsidR="00DA121A" w:rsidRDefault="00904DD6">
      <w:pPr>
        <w:spacing w:after="109"/>
        <w:ind w:left="288" w:right="146"/>
      </w:pPr>
      <w:r>
        <w:t xml:space="preserve">Plazo estimado de redacción: 4 meses. </w:t>
      </w:r>
    </w:p>
    <w:p w:rsidR="00DA121A" w:rsidRDefault="00904DD6">
      <w:pPr>
        <w:spacing w:after="112"/>
        <w:ind w:left="288" w:right="146"/>
      </w:pPr>
      <w:r>
        <w:t xml:space="preserve">FASE 3 – DOCUMENTO VERSION DEFINITIVA DEL PLAN PARA APROBACIÓN DEFINITIVA: </w:t>
      </w:r>
    </w:p>
    <w:p w:rsidR="00DA121A" w:rsidRDefault="00904DD6">
      <w:pPr>
        <w:spacing w:after="109"/>
        <w:ind w:left="288" w:right="146"/>
      </w:pPr>
      <w:r>
        <w:t xml:space="preserve">Plazo estimado de redacción: 2 meses.  </w:t>
      </w:r>
    </w:p>
    <w:p w:rsidR="00DA121A" w:rsidRDefault="00904DD6">
      <w:pPr>
        <w:spacing w:after="112"/>
        <w:ind w:left="288" w:right="146"/>
      </w:pPr>
      <w:r>
        <w:t xml:space="preserve">Los plazos necesarios de tramitación quedan fuera del plazo ofertado para la entrega de los documentos por parte de Gesplan. La propuesta de plazos y económica se realiza en el supuesto de una única información pública tras la aprobación inicial.  </w:t>
      </w:r>
    </w:p>
    <w:p w:rsidR="00DA121A" w:rsidRDefault="00904DD6">
      <w:pPr>
        <w:spacing w:after="132"/>
        <w:ind w:left="288" w:right="146"/>
      </w:pPr>
      <w:r>
        <w:t>6. Prop</w:t>
      </w:r>
      <w:r>
        <w:t xml:space="preserve">uesta económica El importe total de la propuesta asciende a la cantidad de OCHENTA Y UN MIL CINCUENTA EUROS Y TREINTA Y SEIS CÉNTIMOS (81.050,36 €)  </w:t>
      </w:r>
    </w:p>
    <w:p w:rsidR="00DA121A" w:rsidRDefault="00904DD6">
      <w:pPr>
        <w:spacing w:after="109"/>
        <w:ind w:left="288" w:right="146"/>
      </w:pPr>
      <w:r>
        <w:t>Segundo. - Notificar el presente acuerdo a la entidad “Gestión y Planeamiento Territorial y Medioambiental</w:t>
      </w:r>
      <w:r>
        <w:t xml:space="preserve">, SA (GESPLAN). </w:t>
      </w:r>
    </w:p>
    <w:p w:rsidR="00DA121A" w:rsidRDefault="00904DD6">
      <w:pPr>
        <w:spacing w:after="98" w:line="259" w:lineRule="auto"/>
        <w:ind w:left="284" w:firstLine="0"/>
        <w:jc w:val="left"/>
      </w:pPr>
      <w:r>
        <w:rPr>
          <w:b/>
        </w:rPr>
        <w:t xml:space="preserve"> </w:t>
      </w:r>
    </w:p>
    <w:p w:rsidR="00DA121A" w:rsidRDefault="00904DD6">
      <w:pPr>
        <w:spacing w:after="132"/>
        <w:ind w:left="279" w:right="144"/>
      </w:pPr>
      <w:r>
        <w:rPr>
          <w:b/>
        </w:rPr>
        <w:t xml:space="preserve">Visto el informe jurídico, esta Alcaldía-Presidencia propone al PLENO DE LA CORPORACIÓN el siguiente ACUERDO: </w:t>
      </w:r>
    </w:p>
    <w:p w:rsidR="00DA121A" w:rsidRDefault="00904DD6">
      <w:pPr>
        <w:spacing w:after="114"/>
        <w:ind w:left="279" w:right="144"/>
      </w:pPr>
      <w:r>
        <w:rPr>
          <w:b/>
        </w:rPr>
        <w:t>Primero. - Encomendar a la entidad “Gestión y Planeamiento Territorial y Medioambiental, SA (GESPLAN), adscrita a la Consejerí</w:t>
      </w:r>
      <w:r>
        <w:rPr>
          <w:b/>
        </w:rPr>
        <w:t xml:space="preserve">a de Transición Ecológica, Lucha contra el Cambio Climático y Planificación Territorial del Gobierno de Canarias, la redacción con unos plazos de ejecución de la redacción del proyecto y del presupuesto del contrato de servicios que son los siguientes: </w:t>
      </w:r>
    </w:p>
    <w:p w:rsidR="00DA121A" w:rsidRDefault="00904DD6">
      <w:pPr>
        <w:spacing w:after="111"/>
        <w:ind w:left="288" w:right="146"/>
      </w:pPr>
      <w:r>
        <w:t>Pl</w:t>
      </w:r>
      <w:r>
        <w:t xml:space="preserve">an Especial de Reforma Interior de la Jiménez: </w:t>
      </w:r>
    </w:p>
    <w:p w:rsidR="00DA121A" w:rsidRDefault="00904DD6">
      <w:pPr>
        <w:spacing w:after="109"/>
        <w:ind w:left="288" w:right="146"/>
      </w:pPr>
      <w:r>
        <w:t xml:space="preserve">FASE 1- DOCUMENTO BORRADOR Y DOCUMENTO INICIAL ESTRATÉGICO:  </w:t>
      </w:r>
    </w:p>
    <w:p w:rsidR="00DA121A" w:rsidRDefault="00904DD6">
      <w:pPr>
        <w:spacing w:after="109"/>
        <w:ind w:left="288" w:right="146"/>
      </w:pPr>
      <w:r>
        <w:t xml:space="preserve">Plazo estimado de redacción: 5 meses.  </w:t>
      </w:r>
    </w:p>
    <w:p w:rsidR="00DA121A" w:rsidRDefault="00904DD6">
      <w:pPr>
        <w:spacing w:after="112"/>
        <w:ind w:left="288" w:right="146"/>
      </w:pPr>
      <w:r>
        <w:t xml:space="preserve">FASE 2 – DOCUMENTO PARA APROBACIÓN INICIAL Y ESTUDIO AMBIENTAL ESTRATÉGICO:  </w:t>
      </w:r>
    </w:p>
    <w:p w:rsidR="00DA121A" w:rsidRDefault="00904DD6">
      <w:pPr>
        <w:spacing w:after="109"/>
        <w:ind w:left="288" w:right="146"/>
      </w:pPr>
      <w:r>
        <w:t>Plazo estimado de redacción:</w:t>
      </w:r>
      <w:r>
        <w:t xml:space="preserve"> 4 meses. </w:t>
      </w:r>
    </w:p>
    <w:p w:rsidR="00DA121A" w:rsidRDefault="00904DD6">
      <w:pPr>
        <w:spacing w:after="112"/>
        <w:ind w:left="288" w:right="146"/>
      </w:pPr>
      <w:r>
        <w:t xml:space="preserve">FASE 3 – DOCUMENTO VERSION DEFINITIVA DEL PLAN PARA APROBACIÓN DEFINITIVA: </w:t>
      </w:r>
    </w:p>
    <w:p w:rsidR="00DA121A" w:rsidRDefault="00904DD6">
      <w:pPr>
        <w:spacing w:after="109"/>
        <w:ind w:left="288" w:right="146"/>
      </w:pPr>
      <w:r>
        <w:t xml:space="preserve">Plazo estimado de redacción: 2 meses.  </w:t>
      </w:r>
    </w:p>
    <w:p w:rsidR="00DA121A" w:rsidRDefault="00904DD6">
      <w:pPr>
        <w:ind w:left="288" w:right="146"/>
      </w:pPr>
      <w:r>
        <w:t xml:space="preserve">Los plazos necesarios de tramitación quedan fuera del plazo ofertado para la entrega de los documentos por parte de Gesplan. La propuesta de plazos y económica se realiza en el supuesto de una única información pública tras la aprobación inicial.  </w:t>
      </w:r>
    </w:p>
    <w:p w:rsidR="00DA121A" w:rsidRDefault="00904DD6">
      <w:pPr>
        <w:spacing w:after="100" w:line="259" w:lineRule="auto"/>
        <w:ind w:left="284" w:firstLine="0"/>
        <w:jc w:val="left"/>
      </w:pPr>
      <w:r>
        <w:rPr>
          <w:b/>
        </w:rPr>
        <w:t xml:space="preserve"> </w:t>
      </w:r>
    </w:p>
    <w:p w:rsidR="00DA121A" w:rsidRDefault="00904DD6">
      <w:pPr>
        <w:spacing w:after="141"/>
        <w:ind w:left="279" w:right="144"/>
      </w:pPr>
      <w:r>
        <w:rPr>
          <w:b/>
        </w:rPr>
        <w:t>Propu</w:t>
      </w:r>
      <w:r>
        <w:rPr>
          <w:b/>
        </w:rPr>
        <w:t xml:space="preserve">esta económica: El importe total de la propuesta asciende a la cantidad de OCHENTA Y UN MIL CINCUENTA EUROS Y TREINTA Y SEIS CÉNTIMOS (81.050,36 €).  </w:t>
      </w:r>
    </w:p>
    <w:p w:rsidR="00DA121A" w:rsidRDefault="00904DD6">
      <w:pPr>
        <w:spacing w:after="121"/>
        <w:ind w:left="279" w:right="144"/>
      </w:pPr>
      <w:r>
        <w:rPr>
          <w:b/>
        </w:rPr>
        <w:t>Segundo. - Notificar el presente acuerdo a la entidad “Gestión y Planeamiento Territorial y Medioambienta</w:t>
      </w:r>
      <w:r>
        <w:rPr>
          <w:b/>
        </w:rPr>
        <w:t xml:space="preserve">l, SA (GESPLAN).”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4"/>
        <w:ind w:left="279" w:right="144"/>
      </w:pPr>
      <w:r>
        <w:rPr>
          <w:b/>
        </w:rPr>
        <w:t xml:space="preserve">DICTAMEN FAVORABLE DE LA COMISIÓN INFORMATIVA DE P.G. URBANÍSTICA Y AMBIENTAL, OBRAS y SERVICIOS PÚBLICOS DE 27 DE MARZO DE 2023.  </w:t>
      </w:r>
    </w:p>
    <w:p w:rsidR="00DA121A" w:rsidRDefault="00904DD6">
      <w:pPr>
        <w:spacing w:after="0" w:line="259" w:lineRule="auto"/>
        <w:ind w:left="284" w:firstLine="0"/>
        <w:jc w:val="left"/>
      </w:pPr>
      <w:r>
        <w:t xml:space="preserve"> </w:t>
      </w:r>
    </w:p>
    <w:p w:rsidR="00DA121A" w:rsidRDefault="00904DD6">
      <w:pPr>
        <w:ind w:left="288" w:right="146"/>
      </w:pPr>
      <w:r>
        <w:t xml:space="preserve">Votos a favor:  4 </w:t>
      </w:r>
    </w:p>
    <w:p w:rsidR="00DA121A" w:rsidRDefault="00904DD6">
      <w:pPr>
        <w:ind w:left="288" w:right="146"/>
      </w:pPr>
      <w:r>
        <w:t>4 de los concejales del Grupo Socialista: Doña Olivia Concepción Pérez Díaz, Don J</w:t>
      </w:r>
      <w:r>
        <w:t xml:space="preserve">osé Francisco Pinto Ramos, Doña Margarita Eva Tendero Barroso y Don Manuel Alberto González Pestano. </w:t>
      </w:r>
    </w:p>
    <w:p w:rsidR="00DA121A" w:rsidRDefault="00904DD6">
      <w:pPr>
        <w:spacing w:after="0" w:line="259" w:lineRule="auto"/>
        <w:ind w:left="284" w:firstLine="0"/>
        <w:jc w:val="left"/>
      </w:pPr>
      <w:r>
        <w:t xml:space="preserve"> </w:t>
      </w:r>
    </w:p>
    <w:p w:rsidR="00DA121A" w:rsidRDefault="00904DD6">
      <w:pPr>
        <w:ind w:left="288" w:right="146"/>
      </w:pPr>
      <w:r>
        <w:t xml:space="preserve">Votos en contra: 0. </w:t>
      </w:r>
    </w:p>
    <w:p w:rsidR="00DA121A" w:rsidRDefault="00904DD6">
      <w:pPr>
        <w:spacing w:after="0" w:line="259" w:lineRule="auto"/>
        <w:ind w:left="284" w:firstLine="0"/>
        <w:jc w:val="left"/>
      </w:pPr>
      <w:r>
        <w:t xml:space="preserve"> </w:t>
      </w:r>
    </w:p>
    <w:p w:rsidR="00DA121A" w:rsidRDefault="00904DD6">
      <w:pPr>
        <w:ind w:left="288" w:right="146"/>
      </w:pPr>
      <w:r>
        <w:t xml:space="preserve">Abstenciones: 3. </w:t>
      </w:r>
    </w:p>
    <w:p w:rsidR="00DA121A" w:rsidRDefault="00904DD6">
      <w:pPr>
        <w:spacing w:after="0" w:line="259" w:lineRule="auto"/>
        <w:ind w:left="284" w:firstLine="0"/>
        <w:jc w:val="left"/>
      </w:pPr>
      <w:r>
        <w:t xml:space="preserve"> </w:t>
      </w:r>
    </w:p>
    <w:p w:rsidR="00DA121A" w:rsidRDefault="00904DD6">
      <w:pPr>
        <w:ind w:left="288" w:right="146"/>
      </w:pPr>
      <w:r>
        <w:t xml:space="preserve">El concejal del Grupo Popular, Don Jacobo López Fariña. </w:t>
      </w:r>
    </w:p>
    <w:p w:rsidR="00DA121A" w:rsidRDefault="00904DD6">
      <w:pPr>
        <w:spacing w:after="0" w:line="259" w:lineRule="auto"/>
        <w:ind w:left="284" w:firstLine="0"/>
        <w:jc w:val="left"/>
      </w:pPr>
      <w:r>
        <w:t xml:space="preserve"> </w:t>
      </w:r>
    </w:p>
    <w:p w:rsidR="00DA121A" w:rsidRDefault="00904DD6">
      <w:pPr>
        <w:ind w:left="288" w:right="146"/>
      </w:pPr>
      <w:r>
        <w:t>La concejal del Grupo Mixto (SSP), Doña Lourdes del Carmen Mondéjar Rondón.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La concejal del Grupo Mixto (CC-PNC): Doña Ángela Cruz Perera.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JUNTA DE PORTAVOCES DE 27 DE MARZO DE 2023.  </w:t>
      </w:r>
    </w:p>
    <w:p w:rsidR="00DA121A" w:rsidRDefault="00904DD6">
      <w:pPr>
        <w:ind w:left="288" w:right="146"/>
      </w:pPr>
      <w:r>
        <w:t xml:space="preserve">Quedó oída.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VOTACIÓN EN EL PLENO DE 30 DE MARZO DE 2023  </w:t>
      </w:r>
    </w:p>
    <w:p w:rsidR="00DA121A" w:rsidRDefault="00904DD6">
      <w:pPr>
        <w:spacing w:after="0" w:line="259" w:lineRule="auto"/>
        <w:ind w:left="284" w:firstLine="0"/>
        <w:jc w:val="left"/>
      </w:pPr>
      <w:r>
        <w:t xml:space="preserve"> </w:t>
      </w:r>
    </w:p>
    <w:p w:rsidR="00DA121A" w:rsidRDefault="00904DD6">
      <w:pPr>
        <w:ind w:left="288" w:right="146"/>
      </w:pPr>
      <w:r>
        <w:t xml:space="preserve">La unanimidad de los 18 concejales presentes: </w:t>
      </w:r>
    </w:p>
    <w:p w:rsidR="00DA121A" w:rsidRDefault="00904DD6">
      <w:pPr>
        <w:spacing w:after="0" w:line="259" w:lineRule="auto"/>
        <w:ind w:left="284" w:firstLine="0"/>
        <w:jc w:val="left"/>
      </w:pPr>
      <w:r>
        <w:t xml:space="preserve"> </w:t>
      </w:r>
    </w:p>
    <w:p w:rsidR="00DA121A" w:rsidRDefault="00904DD6">
      <w:pPr>
        <w:ind w:left="288" w:right="146"/>
      </w:pPr>
      <w:r>
        <w:t>11 concejales del Grupo Socialista: Doña María Concepción Brito Núñez, Doña Don Jorge Baute Delgado, Doña Olivia Concepción Pérez Díaz, Don José Francisco Pinto Ramos, Doña Hilaria Cecilia Otazo González, Do</w:t>
      </w:r>
      <w:r>
        <w:t xml:space="preserve">n Airam Pérez Chinea, Doña Margarita Eva Tendero Barroso, Don Manuel Alberto González Pestano, Doña María del Carmen Clemente Díaz, Don Olegario Francisco Alonso Bello y Don Reinaldo José Triviño Blanco.  </w:t>
      </w:r>
    </w:p>
    <w:p w:rsidR="00DA121A" w:rsidRDefault="00904DD6">
      <w:pPr>
        <w:spacing w:after="0" w:line="259" w:lineRule="auto"/>
        <w:ind w:left="284" w:firstLine="0"/>
        <w:jc w:val="left"/>
      </w:pPr>
      <w:r>
        <w:t xml:space="preserve"> </w:t>
      </w:r>
    </w:p>
    <w:p w:rsidR="00DA121A" w:rsidRDefault="00904DD6">
      <w:pPr>
        <w:ind w:left="288" w:right="146"/>
      </w:pPr>
      <w:r>
        <w:t>3 concejales del Grupo Popular: Don Jacobo López</w:t>
      </w:r>
      <w:r>
        <w:t xml:space="preserve"> Fariña, Doña Raquel Martín Castro y Don David Crego Cháves.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2 de los concejales del Grupo Mixto (CC-PNC): Doña Ángela Cruz Perera y Don Emilio Jesús Atiénzar Armas.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(Cs), Doña Marta Plasencia Gutiérrez.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(VxC): Doña Alicia Mercedes Marrero Meneses. </w:t>
      </w:r>
    </w:p>
    <w:p w:rsidR="00DA121A" w:rsidRDefault="00904DD6">
      <w:pPr>
        <w:spacing w:after="0" w:line="259" w:lineRule="auto"/>
        <w:ind w:left="284" w:firstLine="0"/>
        <w:jc w:val="left"/>
      </w:pPr>
      <w:r>
        <w:rPr>
          <w:b/>
        </w:rPr>
        <w:t xml:space="preserve"> </w:t>
      </w:r>
    </w:p>
    <w:p w:rsidR="00DA121A" w:rsidRDefault="00904DD6">
      <w:pPr>
        <w:spacing w:after="0" w:line="259" w:lineRule="auto"/>
        <w:ind w:left="186" w:firstLine="0"/>
        <w:jc w:val="center"/>
      </w:pPr>
      <w:r>
        <w:rPr>
          <w:b/>
        </w:rPr>
        <w:t xml:space="preserve"> </w:t>
      </w:r>
    </w:p>
    <w:p w:rsidR="00DA121A" w:rsidRDefault="00904DD6">
      <w:pPr>
        <w:spacing w:after="0" w:line="262" w:lineRule="auto"/>
        <w:ind w:left="1228" w:right="1095"/>
        <w:jc w:val="center"/>
      </w:pPr>
      <w:r>
        <w:rPr>
          <w:b/>
        </w:rPr>
        <w:t xml:space="preserve">ACUERDO DEL PLENO DE 30 DE MARZO DE 2023. </w:t>
      </w:r>
    </w:p>
    <w:p w:rsidR="00DA121A" w:rsidRDefault="00904DD6">
      <w:pPr>
        <w:spacing w:after="1" w:line="259" w:lineRule="auto"/>
        <w:ind w:left="284" w:firstLine="0"/>
        <w:jc w:val="left"/>
      </w:pPr>
      <w:r>
        <w:rPr>
          <w:b/>
        </w:rPr>
        <w:t xml:space="preserve"> </w:t>
      </w:r>
    </w:p>
    <w:p w:rsidR="00DA121A" w:rsidRDefault="00904DD6">
      <w:pPr>
        <w:spacing w:after="112"/>
        <w:ind w:left="279" w:right="144"/>
      </w:pPr>
      <w:r>
        <w:rPr>
          <w:b/>
        </w:rPr>
        <w:t xml:space="preserve">Primero. - </w:t>
      </w:r>
      <w:r>
        <w:rPr>
          <w:b/>
        </w:rPr>
        <w:t>Encomendar a la entidad “Gestión y Planeamiento Territorial y Medioambiental, SA (GESPLAN), adscrita a la Consejería de Transición Ecológica, Lucha contra el Cambio Climático y Planificación Territorial del Gobierno de Canarias, la redacción con unos plazo</w:t>
      </w:r>
      <w:r>
        <w:rPr>
          <w:b/>
        </w:rPr>
        <w:t xml:space="preserve">s de ejecución de la redacción del proyecto y del presupuesto del contrato de servicios que son los siguientes: </w:t>
      </w:r>
    </w:p>
    <w:p w:rsidR="00DA121A" w:rsidRDefault="00904DD6">
      <w:pPr>
        <w:spacing w:after="111"/>
        <w:ind w:left="279" w:right="144"/>
      </w:pPr>
      <w:r>
        <w:rPr>
          <w:b/>
        </w:rPr>
        <w:t xml:space="preserve">Plan Especial de Reforma Interior de la Jiménez: </w:t>
      </w:r>
    </w:p>
    <w:p w:rsidR="00DA121A" w:rsidRDefault="00904DD6">
      <w:pPr>
        <w:spacing w:after="109"/>
        <w:ind w:left="279" w:right="144"/>
      </w:pPr>
      <w:r>
        <w:rPr>
          <w:b/>
        </w:rPr>
        <w:t xml:space="preserve">FASE 1- DOCUMENTO BORRADOR Y DOCUMENTO INICIAL ESTRATÉGICO:  </w:t>
      </w:r>
    </w:p>
    <w:p w:rsidR="00DA121A" w:rsidRDefault="00904DD6">
      <w:pPr>
        <w:spacing w:after="109"/>
        <w:ind w:left="279" w:right="144"/>
      </w:pPr>
      <w:r>
        <w:rPr>
          <w:b/>
        </w:rPr>
        <w:t xml:space="preserve">Plazo estimado de redacción: 5 </w:t>
      </w:r>
      <w:r>
        <w:rPr>
          <w:b/>
        </w:rPr>
        <w:t xml:space="preserve">meses.  </w:t>
      </w:r>
    </w:p>
    <w:p w:rsidR="00DA121A" w:rsidRDefault="00904DD6">
      <w:pPr>
        <w:spacing w:after="111"/>
        <w:ind w:left="279" w:right="144"/>
      </w:pPr>
      <w:r>
        <w:rPr>
          <w:b/>
        </w:rPr>
        <w:t xml:space="preserve">FASE 2 – DOCUMENTO PARA APROBACIÓN INICIAL Y ESTUDIO AMBIENTAL ESTRATÉGICO:  </w:t>
      </w:r>
    </w:p>
    <w:p w:rsidR="00DA121A" w:rsidRDefault="00904DD6">
      <w:pPr>
        <w:spacing w:after="112"/>
        <w:ind w:left="279" w:right="144"/>
      </w:pPr>
      <w:r>
        <w:rPr>
          <w:b/>
        </w:rPr>
        <w:t xml:space="preserve">Plazo estimado de redacción: 4 meses. </w:t>
      </w:r>
    </w:p>
    <w:p w:rsidR="00DA121A" w:rsidRDefault="00904DD6">
      <w:pPr>
        <w:spacing w:after="109"/>
        <w:ind w:left="279" w:right="144"/>
      </w:pPr>
      <w:r>
        <w:rPr>
          <w:b/>
        </w:rPr>
        <w:t xml:space="preserve">FASE 3 – DOCUMENTO VERSION DEFINITIVA DEL PLAN PARA APROBACIÓN DEFINITIVA: </w:t>
      </w:r>
    </w:p>
    <w:p w:rsidR="00DA121A" w:rsidRDefault="00904DD6">
      <w:pPr>
        <w:spacing w:after="109"/>
        <w:ind w:left="279" w:right="144"/>
      </w:pPr>
      <w:r>
        <w:rPr>
          <w:b/>
        </w:rPr>
        <w:t xml:space="preserve">Plazo estimado de redacción: 2 meses.  </w:t>
      </w:r>
    </w:p>
    <w:p w:rsidR="00DA121A" w:rsidRDefault="00904DD6">
      <w:pPr>
        <w:spacing w:after="114"/>
        <w:ind w:left="279" w:right="144"/>
      </w:pPr>
      <w:r>
        <w:rPr>
          <w:b/>
        </w:rPr>
        <w:t>Los plazos nec</w:t>
      </w:r>
      <w:r>
        <w:rPr>
          <w:b/>
        </w:rPr>
        <w:t xml:space="preserve">esarios de tramitación quedan fuera del plazo ofertado para la entrega de los documentos por parte de Gesplan. La propuesta de plazos y económica se realiza en el supuesto de una única información pública tras la aprobación inicial.  </w:t>
      </w:r>
    </w:p>
    <w:p w:rsidR="00DA121A" w:rsidRDefault="00904DD6">
      <w:pPr>
        <w:spacing w:after="141"/>
        <w:ind w:left="279" w:right="144"/>
      </w:pPr>
      <w:r>
        <w:rPr>
          <w:b/>
        </w:rPr>
        <w:t xml:space="preserve">Propuesta económica: </w:t>
      </w:r>
      <w:r>
        <w:rPr>
          <w:b/>
        </w:rPr>
        <w:t xml:space="preserve">El importe total de la propuesta asciende a la cantidad de OCHENTA Y UN MIL CINCUENTA EUROS Y TREINTA Y SEIS CÉNTIMOS (81.050,36 €).  </w:t>
      </w:r>
    </w:p>
    <w:p w:rsidR="00DA121A" w:rsidRDefault="00904DD6">
      <w:pPr>
        <w:spacing w:after="114"/>
        <w:ind w:left="279" w:right="144"/>
      </w:pPr>
      <w:r>
        <w:rPr>
          <w:b/>
        </w:rPr>
        <w:t>Segundo. - Notificar el presente acuerdo a la entidad “Gestión y Planeamiento Territorial y Medioambiental, SA (GESPLAN).</w:t>
      </w:r>
      <w:r>
        <w:rPr>
          <w:b/>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90" w:line="250" w:lineRule="auto"/>
        <w:ind w:left="279" w:right="149"/>
      </w:pPr>
      <w:r>
        <w:rPr>
          <w:b/>
          <w:sz w:val="24"/>
        </w:rPr>
        <w:t>11.- Expediente 3111/2023. Propuesta de la Alcaldesa-</w:t>
      </w:r>
      <w:r>
        <w:rPr>
          <w:b/>
          <w:sz w:val="24"/>
        </w:rPr>
        <w:t>Presidenta de fecha 22 de marzo de 2023 de encomendar a la entidad “Gestión y Planeamiento Territorial y Medioambiental, SA (GESPLAN)", adscrita a la Consejería de Transición Ecológica, Lucha contra el Cambio Climático y Planificación Territorial del Gobie</w:t>
      </w:r>
      <w:r>
        <w:rPr>
          <w:b/>
          <w:sz w:val="24"/>
        </w:rPr>
        <w:t>rno de Canarias, la redacción del proyecto Plan Especial Parque periurbano La Vera de Igueste por importe de 51.864,35 €.</w:t>
      </w:r>
      <w:r>
        <w:t xml:space="preserve"> </w:t>
      </w:r>
    </w:p>
    <w:p w:rsidR="00DA121A" w:rsidRDefault="00904DD6">
      <w:pPr>
        <w:spacing w:after="128"/>
        <w:ind w:left="279" w:right="144"/>
      </w:pPr>
      <w:r>
        <w:rPr>
          <w:b/>
        </w:rPr>
        <w:t xml:space="preserve">Consta en el expediente Informe Jurídico emitido por Doña Mª del Pilar Chico Delgado, que desempeña el puesto de </w:t>
      </w:r>
      <w:r>
        <w:rPr>
          <w:b/>
        </w:rPr>
        <w:t>Técnico de Administración General, conformado por D. Octavio Manuel Fernández Hernández, Secretario General, de 22 de marzo de 2023, del siguiente tenor literal:</w:t>
      </w:r>
      <w:r>
        <w:t xml:space="preserve"> </w:t>
      </w:r>
    </w:p>
    <w:p w:rsidR="00DA121A" w:rsidRDefault="00904DD6">
      <w:pPr>
        <w:spacing w:after="199" w:line="259" w:lineRule="auto"/>
        <w:ind w:left="284" w:firstLine="0"/>
        <w:jc w:val="left"/>
      </w:pPr>
      <w:r>
        <w:rPr>
          <w:rFonts w:ascii="Times New Roman" w:eastAsia="Times New Roman" w:hAnsi="Times New Roman" w:cs="Times New Roman"/>
          <w:sz w:val="24"/>
        </w:rPr>
        <w:t xml:space="preserve"> </w:t>
      </w:r>
    </w:p>
    <w:p w:rsidR="00DA121A" w:rsidRDefault="00904DD6">
      <w:pPr>
        <w:spacing w:after="109"/>
        <w:ind w:left="2221" w:right="144"/>
      </w:pPr>
      <w:r>
        <w:t xml:space="preserve">    “</w:t>
      </w:r>
      <w:r>
        <w:rPr>
          <w:b/>
        </w:rPr>
        <w:t xml:space="preserve">INFORME  JURÍDICO DE SECRETARIO GENERAL                       </w:t>
      </w:r>
      <w:r>
        <w:t xml:space="preserve"> </w:t>
      </w:r>
    </w:p>
    <w:p w:rsidR="00DA121A" w:rsidRDefault="00904DD6">
      <w:pPr>
        <w:spacing w:after="116"/>
        <w:ind w:left="279" w:right="144"/>
      </w:pPr>
      <w:r>
        <w:rPr>
          <w:b/>
        </w:rPr>
        <w:t xml:space="preserve">Visto el expediente antedicho se emite el siguiente informe sobre la encomienda a Gesplan, de la redacción del Plan Especial Parque periurbano La Vera de Igueste, T.M. de Candelaria. </w:t>
      </w:r>
    </w:p>
    <w:p w:rsidR="00DA121A" w:rsidRDefault="00904DD6">
      <w:pPr>
        <w:spacing w:after="95" w:line="259" w:lineRule="auto"/>
        <w:ind w:left="284" w:firstLine="0"/>
        <w:jc w:val="left"/>
      </w:pPr>
      <w:r>
        <w:t xml:space="preserve"> </w:t>
      </w:r>
    </w:p>
    <w:p w:rsidR="00DA121A" w:rsidRDefault="00904DD6">
      <w:pPr>
        <w:spacing w:after="112"/>
        <w:ind w:left="2562" w:right="144"/>
      </w:pPr>
      <w:r>
        <w:rPr>
          <w:b/>
        </w:rPr>
        <w:t xml:space="preserve">          ANTECEDENTES DE HECHO</w:t>
      </w:r>
      <w:r>
        <w:t xml:space="preserve"> </w:t>
      </w:r>
    </w:p>
    <w:p w:rsidR="00DA121A" w:rsidRDefault="00904DD6">
      <w:pPr>
        <w:spacing w:after="109"/>
        <w:ind w:left="1426" w:right="146"/>
      </w:pPr>
      <w:r>
        <w:rPr>
          <w:b/>
        </w:rPr>
        <w:t xml:space="preserve">Primero.- </w:t>
      </w:r>
      <w:r>
        <w:t>Consta en el expediente mem</w:t>
      </w:r>
      <w:r>
        <w:t xml:space="preserve">oria de la Alcaldía-Presidencia. </w:t>
      </w:r>
    </w:p>
    <w:p w:rsidR="00DA121A" w:rsidRDefault="00904DD6">
      <w:pPr>
        <w:spacing w:after="111"/>
        <w:ind w:left="278" w:right="146" w:firstLine="1133"/>
      </w:pPr>
      <w:r>
        <w:rPr>
          <w:b/>
        </w:rPr>
        <w:t xml:space="preserve">Segundo.- </w:t>
      </w:r>
      <w:r>
        <w:t xml:space="preserve">Consta en el expediente Propuesta del Plan Especial Parque periurbano La Vera de Igueste, T.M. de Candelaria. </w:t>
      </w:r>
    </w:p>
    <w:p w:rsidR="00DA121A" w:rsidRDefault="00904DD6">
      <w:pPr>
        <w:spacing w:after="114"/>
        <w:ind w:left="992" w:right="146" w:firstLine="425"/>
      </w:pPr>
      <w:r>
        <w:rPr>
          <w:b/>
        </w:rPr>
        <w:t xml:space="preserve">Tercero.- </w:t>
      </w:r>
      <w:r>
        <w:t>Consta en el expediente certificado del acuerdo del pleno de fecha 24 de junio de 2021 en e</w:t>
      </w:r>
      <w:r>
        <w:t xml:space="preserve">l que en su parte dispositiva dispone en su punto primero: </w:t>
      </w:r>
    </w:p>
    <w:p w:rsidR="00DA121A" w:rsidRDefault="00904DD6">
      <w:pPr>
        <w:spacing w:after="112" w:line="248" w:lineRule="auto"/>
        <w:ind w:left="278" w:right="145" w:firstLine="1133"/>
      </w:pPr>
      <w:r>
        <w:rPr>
          <w:i/>
        </w:rPr>
        <w:t>1º.- Otorgar la conformidad expresa de esta Corporación a la declaración de la entidad “Gestión y Planeamiento Territorial y Medioambiental, SA (GESPLAN), adscrita a la Consejería de Transición Ec</w:t>
      </w:r>
      <w:r>
        <w:rPr>
          <w:i/>
        </w:rPr>
        <w:t>ológica, Lucha contra el Cambio Climático y Planificación Territorial del Gobierno de Canarias, como medio personificado del mismo, a los efectos dispuestos en el artículo 32.2 de la Ley 4/2012, de 25 de junio, de medidas administrativas y fiscales, en rel</w:t>
      </w:r>
      <w:r>
        <w:rPr>
          <w:i/>
        </w:rPr>
        <w:t xml:space="preserve">ación con el art. 32.4 de la LCSP. </w:t>
      </w:r>
    </w:p>
    <w:p w:rsidR="00DA121A" w:rsidRDefault="00904DD6">
      <w:pPr>
        <w:spacing w:after="98" w:line="259" w:lineRule="auto"/>
        <w:ind w:left="1416" w:firstLine="0"/>
        <w:jc w:val="left"/>
      </w:pPr>
      <w:r>
        <w:t xml:space="preserve"> </w:t>
      </w:r>
    </w:p>
    <w:p w:rsidR="00DA121A" w:rsidRDefault="00904DD6">
      <w:pPr>
        <w:spacing w:after="109"/>
        <w:ind w:left="2562" w:right="144"/>
      </w:pPr>
      <w:r>
        <w:t xml:space="preserve"> </w:t>
      </w:r>
      <w:r>
        <w:rPr>
          <w:b/>
        </w:rPr>
        <w:t>FUNDAMENTOS DE DERECHO</w:t>
      </w:r>
      <w:r>
        <w:t xml:space="preserve"> </w:t>
      </w:r>
    </w:p>
    <w:p w:rsidR="00DA121A" w:rsidRDefault="00904DD6">
      <w:pPr>
        <w:spacing w:after="116"/>
        <w:ind w:left="269" w:right="144" w:firstLine="1133"/>
      </w:pPr>
      <w:r>
        <w:rPr>
          <w:b/>
        </w:rPr>
        <w:t xml:space="preserve">Primero. -  Es de aplicación el artículo 32 de la Ley de Contratos del Sector Público que expresamente dispone: </w:t>
      </w:r>
    </w:p>
    <w:p w:rsidR="00DA121A" w:rsidRDefault="00904DD6">
      <w:pPr>
        <w:spacing w:after="166" w:line="250" w:lineRule="auto"/>
        <w:ind w:left="10" w:right="270"/>
        <w:jc w:val="right"/>
      </w:pPr>
      <w:r>
        <w:t xml:space="preserve">Artículo 32. Encargos de los poderes adjudicadores a medios propios personificados. </w:t>
      </w:r>
    </w:p>
    <w:p w:rsidR="00DA121A" w:rsidRDefault="00904DD6">
      <w:pPr>
        <w:numPr>
          <w:ilvl w:val="0"/>
          <w:numId w:val="82"/>
        </w:numPr>
        <w:spacing w:after="172" w:line="248" w:lineRule="auto"/>
        <w:ind w:right="72" w:firstLine="355"/>
        <w:jc w:val="left"/>
      </w:pPr>
      <w:r>
        <w:rPr>
          <w:i/>
        </w:rPr>
        <w:t>Los poderes adjudicadores podrán organizarse ejecutando de manera directa prestaciones propias de los contratos de obras, suministros, servicios, concesión de obras y conc</w:t>
      </w:r>
      <w:r>
        <w:rPr>
          <w:i/>
        </w:rPr>
        <w:t>esión de servicios, a cambio de una compensación tarifaria, valiéndose de otra persona jurídica distinta a ellos, ya sea de derecho público o de derecho privado, previo encargo a esta, con sujeción a lo dispuesto en este artículo, siempre y cuando la perso</w:t>
      </w:r>
      <w:r>
        <w:rPr>
          <w:i/>
        </w:rPr>
        <w:t>na jurídica que utilicen merezca la calificación jurídica de medio propio personificado respecto de ellos de conformidad con lo dispuesto en los tres apartados siguientes, y sin perjuicio de los requisitos establecidos para los medios propios del ámbito es</w:t>
      </w:r>
      <w:r>
        <w:rPr>
          <w:i/>
        </w:rPr>
        <w:t xml:space="preserve">tatal en la Ley 40/2015, de 1 de octubre, de Régimen Jurídico del Sector Público. </w:t>
      </w:r>
    </w:p>
    <w:p w:rsidR="00DA121A" w:rsidRDefault="00904DD6">
      <w:pPr>
        <w:spacing w:after="140" w:line="259" w:lineRule="auto"/>
        <w:ind w:left="654" w:right="176"/>
        <w:jc w:val="left"/>
      </w:pPr>
      <w:r>
        <w:rPr>
          <w:u w:val="single" w:color="000000"/>
        </w:rPr>
        <w:t>El encargo que cumpla dichos requisitos no tendrá la consideración de contrato</w:t>
      </w:r>
      <w:r>
        <w:rPr>
          <w:i/>
        </w:rPr>
        <w:t>.</w:t>
      </w:r>
      <w:r>
        <w:rPr>
          <w:rFonts w:ascii="Times New Roman" w:eastAsia="Times New Roman" w:hAnsi="Times New Roman" w:cs="Times New Roman"/>
          <w:sz w:val="24"/>
        </w:rPr>
        <w:t xml:space="preserve"> </w:t>
      </w:r>
    </w:p>
    <w:p w:rsidR="00DA121A" w:rsidRDefault="00904DD6">
      <w:pPr>
        <w:numPr>
          <w:ilvl w:val="0"/>
          <w:numId w:val="82"/>
        </w:numPr>
        <w:spacing w:after="359" w:line="238" w:lineRule="auto"/>
        <w:ind w:right="72" w:firstLine="355"/>
        <w:jc w:val="left"/>
      </w:pPr>
      <w:r>
        <w:rPr>
          <w:i/>
        </w:rPr>
        <w:t>Tendrán la consideración de medio propio personificado respecto de una única entidad concret</w:t>
      </w:r>
      <w:r>
        <w:rPr>
          <w:i/>
        </w:rPr>
        <w:t xml:space="preserve">a del sector público aquellas personas jurídicas, de derecho público o de derecho privado, que cumplan todos y cada uno de los requisitos que se establecen a continuación: </w:t>
      </w:r>
    </w:p>
    <w:p w:rsidR="00DA121A" w:rsidRDefault="00904DD6">
      <w:pPr>
        <w:numPr>
          <w:ilvl w:val="0"/>
          <w:numId w:val="83"/>
        </w:numPr>
        <w:spacing w:after="172" w:line="248" w:lineRule="auto"/>
        <w:ind w:right="145" w:firstLine="360"/>
      </w:pPr>
      <w:r>
        <w:rPr>
          <w:i/>
        </w:rPr>
        <w:t>Que el poder adjudicador que pueda conferirle encargos ejerza sobre el ente destina</w:t>
      </w:r>
      <w:r>
        <w:rPr>
          <w:i/>
        </w:rPr>
        <w:t>tario de los mismos un control, directo o indirecto, análogo al que ostentaría sobre sus propios servicios o unidades, de manera que el primero pueda ejercer sobre el segundo una influencia decisiva sobre sus objetivos estratégicos y decisiones significati</w:t>
      </w:r>
      <w:r>
        <w:rPr>
          <w:i/>
        </w:rPr>
        <w:t xml:space="preserve">vas. </w:t>
      </w:r>
    </w:p>
    <w:p w:rsidR="00DA121A" w:rsidRDefault="00904DD6">
      <w:pPr>
        <w:spacing w:after="172" w:line="248" w:lineRule="auto"/>
        <w:ind w:left="278" w:right="145" w:firstLine="360"/>
      </w:pPr>
      <w:r>
        <w:rPr>
          <w:i/>
        </w:rPr>
        <w:t>En todo caso se entenderá que el poder adjudicador que puede conferirle encargos ostenta sobre el ente destinatario del mismo un control análogo al que ejerce sobre sus propios servicios o unidades cuando él mismo o bien otro u otros poderes adjudica</w:t>
      </w:r>
      <w:r>
        <w:rPr>
          <w:i/>
        </w:rPr>
        <w:t>dores o personas jurídicas controlados del mismo modo por el primero puedan conferirle encargos que sean de ejecución obligatoria para el ente destinatario del encargo por así establecerlo los estatutos o el acto de creación, de manera que exista una unida</w:t>
      </w:r>
      <w:r>
        <w:rPr>
          <w:i/>
        </w:rPr>
        <w:t xml:space="preserve">d de decisión entre ellos, de acuerdo con instrucciones fijadas unilateralmente por el ente que puede realizar el encargo. </w:t>
      </w:r>
    </w:p>
    <w:p w:rsidR="00DA121A" w:rsidRDefault="00904DD6">
      <w:pPr>
        <w:spacing w:after="172" w:line="248" w:lineRule="auto"/>
        <w:ind w:left="278" w:right="145" w:firstLine="360"/>
      </w:pPr>
      <w:r>
        <w:rPr>
          <w:i/>
        </w:rPr>
        <w:t>La compensación se establecerá por referencia a tarifas aprobadas por la entidad pública de la que depende el medio propio personifi</w:t>
      </w:r>
      <w:r>
        <w:rPr>
          <w:i/>
        </w:rPr>
        <w:t>cado para las actividades objeto de encargo realizadas por el medio propio directamente y, en la forma que reglamentariamente se determine, atendiendo al coste efectivo soportado por el medio propio para las actividades objeto del encargo que se subcontrat</w:t>
      </w:r>
      <w:r>
        <w:rPr>
          <w:i/>
        </w:rPr>
        <w:t xml:space="preserve">en con empresarios particulares en los casos en que este coste sea inferior al resultante de aplicar las tarifas a las actividades subcontratadas. </w:t>
      </w:r>
    </w:p>
    <w:p w:rsidR="00DA121A" w:rsidRDefault="00904DD6">
      <w:pPr>
        <w:spacing w:after="172" w:line="248" w:lineRule="auto"/>
        <w:ind w:left="278" w:right="145" w:firstLine="360"/>
      </w:pPr>
      <w:r>
        <w:rPr>
          <w:i/>
        </w:rPr>
        <w:t>Dichas tarifas se calcularán de manera que representen los costes reales de realización de las unidades prod</w:t>
      </w:r>
      <w:r>
        <w:rPr>
          <w:i/>
        </w:rPr>
        <w:t xml:space="preserve">ucidas directamente por el medio propio. </w:t>
      </w:r>
    </w:p>
    <w:p w:rsidR="00DA121A" w:rsidRDefault="00904DD6">
      <w:pPr>
        <w:numPr>
          <w:ilvl w:val="0"/>
          <w:numId w:val="83"/>
        </w:numPr>
        <w:spacing w:after="172" w:line="248" w:lineRule="auto"/>
        <w:ind w:right="145" w:firstLine="360"/>
      </w:pPr>
      <w:r>
        <w:rPr>
          <w:i/>
        </w:rPr>
        <w:t>Que más del 80 por ciento de las actividades del ente destinatario del encargo se lleven a cabo en el ejercicio de los cometidos que le han sido confiados por el poder adjudicador que hace el encargo y que lo contr</w:t>
      </w:r>
      <w:r>
        <w:rPr>
          <w:i/>
        </w:rPr>
        <w:t xml:space="preserve">ola o por otras personas jurídicas controladas del mismo modo por la entidad que hace el encargo. </w:t>
      </w:r>
    </w:p>
    <w:p w:rsidR="00DA121A" w:rsidRDefault="00904DD6">
      <w:pPr>
        <w:spacing w:after="172" w:line="248" w:lineRule="auto"/>
        <w:ind w:left="278" w:right="145" w:firstLine="360"/>
      </w:pPr>
      <w:r>
        <w:rPr>
          <w:i/>
        </w:rPr>
        <w:t>A estos efectos, para calcular el 80 por ciento de las actividades del ente destinatario del encargo se tomarán en consideración el promedio del volumen glob</w:t>
      </w:r>
      <w:r>
        <w:rPr>
          <w:i/>
        </w:rPr>
        <w:t>al de negocios, los gastos soportados por los servicios prestados al poder adjudicador en relación con la totalidad de los gastos en que haya incurrido el medio propio por razón de las prestaciones que haya realizado a cualquier entidad, u otro indicador a</w:t>
      </w:r>
      <w:r>
        <w:rPr>
          <w:i/>
        </w:rPr>
        <w:t xml:space="preserve">lternativo de actividad que sea fiable, y todo ello referido a los tres ejercicios anteriores al de formalización del encargo. </w:t>
      </w:r>
    </w:p>
    <w:p w:rsidR="00DA121A" w:rsidRDefault="00904DD6">
      <w:pPr>
        <w:spacing w:after="172" w:line="248" w:lineRule="auto"/>
        <w:ind w:left="278" w:right="145" w:firstLine="360"/>
      </w:pPr>
      <w:r>
        <w:rPr>
          <w:i/>
        </w:rPr>
        <w:t>Cuando debido a la fecha de creación o de inicio de actividad del poder adjudicador que hace el encargo, o debido a la reorganización de las actividades de este, el volumen global de negocios, u otro indicador alternativo de actividad, de acuerdo con lo es</w:t>
      </w:r>
      <w:r>
        <w:rPr>
          <w:i/>
        </w:rPr>
        <w:t>tablecido en el párrafo anterior, no estuvieran disponibles respecto de los tres ejercicios anteriores a la formalización del encargo o hubieran perdido su vigencia, será suficiente con justificar que el cálculo del nivel de actividad se corresponde con la</w:t>
      </w:r>
      <w:r>
        <w:rPr>
          <w:i/>
        </w:rPr>
        <w:t xml:space="preserve"> realidad, en especial mediante proyecciones de negocio. </w:t>
      </w:r>
    </w:p>
    <w:p w:rsidR="00DA121A" w:rsidRDefault="00904DD6">
      <w:pPr>
        <w:numPr>
          <w:ilvl w:val="0"/>
          <w:numId w:val="84"/>
        </w:numPr>
        <w:spacing w:after="172" w:line="248" w:lineRule="auto"/>
        <w:ind w:right="145" w:firstLine="360"/>
      </w:pPr>
      <w:r>
        <w:rPr>
          <w:i/>
        </w:rPr>
        <w:t xml:space="preserve">Cuando el ente destinatario del encargo sea un ente de personificación jurídico-privada, además, la totalidad de su capital o patrimonio tendrá que ser de titularidad o aportación pública. </w:t>
      </w:r>
    </w:p>
    <w:p w:rsidR="00DA121A" w:rsidRDefault="00904DD6">
      <w:pPr>
        <w:numPr>
          <w:ilvl w:val="0"/>
          <w:numId w:val="84"/>
        </w:numPr>
        <w:spacing w:after="351" w:line="248" w:lineRule="auto"/>
        <w:ind w:right="145" w:firstLine="360"/>
      </w:pPr>
      <w:r>
        <w:rPr>
          <w:i/>
        </w:rPr>
        <w:t>La condi</w:t>
      </w:r>
      <w:r>
        <w:rPr>
          <w:i/>
        </w:rPr>
        <w:t xml:space="preserve">ción de medio propio personificado de la entidad destinataria del encargo respecto del concreto poder adjudicador que hace el encargo deberá reconocerse expresamente en sus estatutos o actos de creación, previo cumplimiento de los siguientes requisitos: </w:t>
      </w:r>
    </w:p>
    <w:p w:rsidR="00DA121A" w:rsidRDefault="00904DD6">
      <w:pPr>
        <w:spacing w:after="172" w:line="248" w:lineRule="auto"/>
        <w:ind w:left="278" w:right="145" w:firstLine="360"/>
      </w:pPr>
      <w:r>
        <w:rPr>
          <w:i/>
        </w:rPr>
        <w:t>1</w:t>
      </w:r>
      <w:r>
        <w:rPr>
          <w:i/>
        </w:rPr>
        <w:t xml:space="preserve">.º Conformidad o autorización expresa del poder adjudicador respecto del que vaya a ser medio propio. </w:t>
      </w:r>
    </w:p>
    <w:p w:rsidR="00DA121A" w:rsidRDefault="00904DD6">
      <w:pPr>
        <w:spacing w:after="359" w:line="238" w:lineRule="auto"/>
        <w:ind w:left="269" w:firstLine="350"/>
        <w:jc w:val="left"/>
      </w:pPr>
      <w:r>
        <w:rPr>
          <w:i/>
        </w:rPr>
        <w:t>2.º Verificación por la entidad pública de que dependa el ente que vaya a ser medio propio, de que cuenta con medios personales y materiales apropiados p</w:t>
      </w:r>
      <w:r>
        <w:rPr>
          <w:i/>
        </w:rPr>
        <w:t xml:space="preserve">ara la realización de los encargos de conformidad con su objeto social. </w:t>
      </w:r>
    </w:p>
    <w:p w:rsidR="00DA121A" w:rsidRDefault="00904DD6">
      <w:pPr>
        <w:spacing w:after="172" w:line="248" w:lineRule="auto"/>
        <w:ind w:left="278" w:right="145" w:firstLine="360"/>
      </w:pPr>
      <w:r>
        <w:rPr>
          <w:i/>
        </w:rPr>
        <w:t>Los estatutos o acto de creación del ente destinatario del encargo deberá determinar: el poder adjudicador respecto del cual tiene esa condición; precisar el régimen jurídico y admini</w:t>
      </w:r>
      <w:r>
        <w:rPr>
          <w:i/>
        </w:rPr>
        <w:t>strativo de los encargos que se les puedan conferir; y establecer la imposibilidad de que participen en licitaciones públicas convocadas por el poder adjudicador del que sean medio propio personificado, sin perjuicio de que, cuando no concurra ningún licit</w:t>
      </w:r>
      <w:r>
        <w:rPr>
          <w:i/>
        </w:rPr>
        <w:t xml:space="preserve">ador, pueda encargárseles la ejecución de la prestación objeto de las mismas. </w:t>
      </w:r>
    </w:p>
    <w:p w:rsidR="00DA121A" w:rsidRDefault="00904DD6">
      <w:pPr>
        <w:spacing w:after="172" w:line="248" w:lineRule="auto"/>
        <w:ind w:left="278" w:right="145" w:firstLine="360"/>
      </w:pPr>
      <w:r>
        <w:rPr>
          <w:i/>
        </w:rPr>
        <w:t>En todo caso, se presumirá que cumple el requisito establecido en el número 2.º de la presente letra cuando haya obtenido la correspondiente clasificación respecto a los grupos,</w:t>
      </w:r>
      <w:r>
        <w:rPr>
          <w:i/>
        </w:rPr>
        <w:t xml:space="preserve"> subgrupos y categorías que ostente. </w:t>
      </w:r>
    </w:p>
    <w:p w:rsidR="00DA121A" w:rsidRDefault="00904DD6">
      <w:pPr>
        <w:numPr>
          <w:ilvl w:val="0"/>
          <w:numId w:val="85"/>
        </w:numPr>
        <w:spacing w:after="172" w:line="248" w:lineRule="auto"/>
        <w:ind w:right="145" w:firstLine="360"/>
      </w:pPr>
      <w:r>
        <w:rPr>
          <w:i/>
        </w:rPr>
        <w:t>El apartado 2 del presente artículo también se aplicará en los casos en que la persona jurídica controlada, siendo un poder adjudicador, realice un encargo al poder adjudicador que la controla o a otra persona jurídica</w:t>
      </w:r>
      <w:r>
        <w:rPr>
          <w:i/>
        </w:rPr>
        <w:t xml:space="preserve"> controlada, directa o indirectamente, por el mismo poder adjudicador, siempre que no exista participación directa de capital privado en la persona jurídica a la que se realice el encargo. </w:t>
      </w:r>
    </w:p>
    <w:p w:rsidR="00DA121A" w:rsidRDefault="00904DD6">
      <w:pPr>
        <w:numPr>
          <w:ilvl w:val="0"/>
          <w:numId w:val="85"/>
        </w:numPr>
        <w:spacing w:after="354" w:line="248" w:lineRule="auto"/>
        <w:ind w:right="145" w:firstLine="360"/>
      </w:pPr>
      <w:r>
        <w:rPr>
          <w:i/>
        </w:rPr>
        <w:t>Tendrán la consideración de medio propio personificado respecto de</w:t>
      </w:r>
      <w:r>
        <w:rPr>
          <w:i/>
        </w:rPr>
        <w:t xml:space="preserve"> dos o más poderes adjudicadores que sean independientes entre sí aquellas personas jurídicas, de derecho público o de derecho privado, que cumplan todos y cada uno de los requisitos que se establecen a continuación: </w:t>
      </w:r>
    </w:p>
    <w:p w:rsidR="00DA121A" w:rsidRDefault="00904DD6">
      <w:pPr>
        <w:spacing w:after="9" w:line="249" w:lineRule="auto"/>
        <w:ind w:left="10" w:right="146"/>
        <w:jc w:val="right"/>
      </w:pPr>
      <w:r>
        <w:rPr>
          <w:i/>
        </w:rPr>
        <w:t>a) Que los poderes adjudicadores que p</w:t>
      </w:r>
      <w:r>
        <w:rPr>
          <w:i/>
        </w:rPr>
        <w:t>uedan conferirle encargos ejerzan sobre el ente desti-</w:t>
      </w:r>
    </w:p>
    <w:p w:rsidR="00DA121A" w:rsidRDefault="00904DD6">
      <w:pPr>
        <w:spacing w:after="172" w:line="248" w:lineRule="auto"/>
        <w:ind w:left="288" w:right="145"/>
      </w:pPr>
      <w:r>
        <w:rPr>
          <w:i/>
        </w:rPr>
        <w:t xml:space="preserve">natario del mismo un control conjunto análogo al que ostentarían sobre sus propios servicios o unidades. </w:t>
      </w:r>
    </w:p>
    <w:p w:rsidR="00DA121A" w:rsidRDefault="00904DD6">
      <w:pPr>
        <w:spacing w:after="347" w:line="249" w:lineRule="auto"/>
        <w:ind w:left="10" w:right="146"/>
        <w:jc w:val="right"/>
      </w:pPr>
      <w:r>
        <w:rPr>
          <w:i/>
        </w:rPr>
        <w:t xml:space="preserve">Se entenderá que existe control conjunto cuando se cumplan todas las condiciones siguientes: </w:t>
      </w:r>
    </w:p>
    <w:p w:rsidR="00DA121A" w:rsidRDefault="00904DD6">
      <w:pPr>
        <w:spacing w:after="172" w:line="248" w:lineRule="auto"/>
        <w:ind w:left="278" w:right="145" w:firstLine="360"/>
      </w:pPr>
      <w:r>
        <w:rPr>
          <w:i/>
        </w:rPr>
        <w:t xml:space="preserve">1.º Que en los órganos decisorios del ente destinatario del encargo estén representados todos los entes que puedan conferirle encargos, pudiendo cada representante representar a varios de estos últimos o a la totalidad de ellos. </w:t>
      </w:r>
    </w:p>
    <w:p w:rsidR="00DA121A" w:rsidRDefault="00904DD6">
      <w:pPr>
        <w:spacing w:after="172" w:line="248" w:lineRule="auto"/>
        <w:ind w:left="278" w:right="145" w:firstLine="360"/>
      </w:pPr>
      <w:r>
        <w:rPr>
          <w:i/>
        </w:rPr>
        <w:t>2.º Que estos últimos pued</w:t>
      </w:r>
      <w:r>
        <w:rPr>
          <w:i/>
        </w:rPr>
        <w:t xml:space="preserve">an ejercer directa y conjuntamente una influencia decisiva sobre los objetivos estratégicos y sobre las decisiones significativas del ente destinatario del encargo. </w:t>
      </w:r>
    </w:p>
    <w:p w:rsidR="00DA121A" w:rsidRDefault="00904DD6">
      <w:pPr>
        <w:spacing w:after="172" w:line="248" w:lineRule="auto"/>
        <w:ind w:left="278" w:right="145" w:firstLine="360"/>
      </w:pPr>
      <w:r>
        <w:rPr>
          <w:i/>
        </w:rPr>
        <w:t>3.º Que el ente destinatario del encargo no persiga intereses contrarios a los intereses d</w:t>
      </w:r>
      <w:r>
        <w:rPr>
          <w:i/>
        </w:rPr>
        <w:t xml:space="preserve">e los entes que puedan conferirle encargos. </w:t>
      </w:r>
    </w:p>
    <w:p w:rsidR="00DA121A" w:rsidRDefault="00904DD6">
      <w:pPr>
        <w:spacing w:after="172" w:line="248" w:lineRule="auto"/>
        <w:ind w:left="278" w:right="145" w:firstLine="360"/>
      </w:pPr>
      <w:r>
        <w:rPr>
          <w:i/>
        </w:rPr>
        <w:t>La compensación se establecerá, por referencia a tarifas aprobadas por la entidad pública de la que depende el medio propio personificado para las actividades objeto de encargo realizadas por el medio propio dir</w:t>
      </w:r>
      <w:r>
        <w:rPr>
          <w:i/>
        </w:rPr>
        <w:t>ectamente y, en la forma que reglamentariamente se determine, atendiendo al coste efectivo soportado por el medio propio para las actividades objeto del encargo que se subcontraten con empresarios particulares en los casos en que este coste sea inferior al</w:t>
      </w:r>
      <w:r>
        <w:rPr>
          <w:i/>
        </w:rPr>
        <w:t xml:space="preserve"> resultante de aplicar las tarifas a las actividades subcontratadas. </w:t>
      </w:r>
    </w:p>
    <w:p w:rsidR="00DA121A" w:rsidRDefault="00904DD6">
      <w:pPr>
        <w:spacing w:after="172" w:line="248" w:lineRule="auto"/>
        <w:ind w:left="278" w:right="145" w:firstLine="360"/>
      </w:pPr>
      <w:r>
        <w:rPr>
          <w:i/>
        </w:rPr>
        <w:t xml:space="preserve">Dichas tarifas se calcularán de manera que representen los costes reales de realización de las unidades producidas directamente por el medio propio. </w:t>
      </w:r>
    </w:p>
    <w:p w:rsidR="00DA121A" w:rsidRDefault="00904DD6">
      <w:pPr>
        <w:numPr>
          <w:ilvl w:val="0"/>
          <w:numId w:val="86"/>
        </w:numPr>
        <w:spacing w:after="172" w:line="248" w:lineRule="auto"/>
        <w:ind w:right="145" w:firstLine="360"/>
      </w:pPr>
      <w:r>
        <w:rPr>
          <w:i/>
        </w:rPr>
        <w:t>Que más del 80 por ciento de las act</w:t>
      </w:r>
      <w:r>
        <w:rPr>
          <w:i/>
        </w:rPr>
        <w:t>ividades del ente destinatario del encargo se lleven a cabo en el ejercicio de los cometidos que le han sido confiados por los poderes adjudicadores que lo controlan o por otras personas jurídicas controladas por los mismos poderes adjudicadores. El cálcul</w:t>
      </w:r>
      <w:r>
        <w:rPr>
          <w:i/>
        </w:rPr>
        <w:t xml:space="preserve">o del 80 por ciento se hará de acuerdo con lo establecido en la letra b) del apartado 2 de este artículo. </w:t>
      </w:r>
    </w:p>
    <w:p w:rsidR="00DA121A" w:rsidRDefault="00904DD6">
      <w:pPr>
        <w:numPr>
          <w:ilvl w:val="0"/>
          <w:numId w:val="86"/>
        </w:numPr>
        <w:spacing w:after="362" w:line="248" w:lineRule="auto"/>
        <w:ind w:right="145" w:firstLine="360"/>
      </w:pPr>
      <w:r>
        <w:rPr>
          <w:i/>
        </w:rPr>
        <w:t xml:space="preserve">Que cumplan los requisitos que establece este artículo en su apartado 2 letras c) y d). </w:t>
      </w:r>
    </w:p>
    <w:p w:rsidR="00DA121A" w:rsidRDefault="00904DD6">
      <w:pPr>
        <w:numPr>
          <w:ilvl w:val="0"/>
          <w:numId w:val="87"/>
        </w:numPr>
        <w:spacing w:after="148" w:line="248" w:lineRule="auto"/>
        <w:ind w:right="285" w:firstLine="360"/>
      </w:pPr>
      <w:r>
        <w:rPr>
          <w:b/>
          <w:i/>
        </w:rPr>
        <w:t>(Suprimido)</w:t>
      </w:r>
      <w:r>
        <w:rPr>
          <w:rFonts w:ascii="Times New Roman" w:eastAsia="Times New Roman" w:hAnsi="Times New Roman" w:cs="Times New Roman"/>
          <w:sz w:val="24"/>
        </w:rPr>
        <w:t xml:space="preserve"> </w:t>
      </w:r>
    </w:p>
    <w:p w:rsidR="00DA121A" w:rsidRDefault="00904DD6">
      <w:pPr>
        <w:numPr>
          <w:ilvl w:val="0"/>
          <w:numId w:val="87"/>
        </w:numPr>
        <w:spacing w:after="351" w:line="248" w:lineRule="auto"/>
        <w:ind w:right="285" w:firstLine="360"/>
      </w:pPr>
      <w:r>
        <w:rPr>
          <w:i/>
        </w:rPr>
        <w:t>Los encargos que realicen las entidades del sec</w:t>
      </w:r>
      <w:r>
        <w:rPr>
          <w:i/>
        </w:rPr>
        <w:t>tor público a un ente que, de acuerdo con los apartados segundo, tercero o cuarto de este artículo, pueda ser calificado como medio propio personificado del primero o primeros, no tendrán la consideración jurídica de contrato, debiendo únicamente cumplir l</w:t>
      </w:r>
      <w:r>
        <w:rPr>
          <w:i/>
        </w:rPr>
        <w:t xml:space="preserve">as siguientes normas: </w:t>
      </w:r>
    </w:p>
    <w:p w:rsidR="00DA121A" w:rsidRDefault="00904DD6">
      <w:pPr>
        <w:numPr>
          <w:ilvl w:val="0"/>
          <w:numId w:val="88"/>
        </w:numPr>
        <w:spacing w:after="9" w:line="249" w:lineRule="auto"/>
        <w:ind w:right="145" w:firstLine="360"/>
      </w:pPr>
      <w:r>
        <w:rPr>
          <w:i/>
        </w:rPr>
        <w:t>El medio propio personificado deberá haber publicado en la Plataforma de Contratación co-</w:t>
      </w:r>
    </w:p>
    <w:p w:rsidR="00DA121A" w:rsidRDefault="00904DD6">
      <w:pPr>
        <w:spacing w:after="172" w:line="248" w:lineRule="auto"/>
        <w:ind w:left="288" w:right="145"/>
      </w:pPr>
      <w:r>
        <w:rPr>
          <w:i/>
        </w:rPr>
        <w:t>rrespondiente su condición de tal; respecto de qué poderes adjudicadores la ostenta; y los sectores de actividad en los que, estando comprendid</w:t>
      </w:r>
      <w:r>
        <w:rPr>
          <w:i/>
        </w:rPr>
        <w:t xml:space="preserve">os en su objeto social, sería apto para ejecutar las prestaciones que vayan a ser objeto de encargo. </w:t>
      </w:r>
    </w:p>
    <w:p w:rsidR="00DA121A" w:rsidRDefault="00904DD6">
      <w:pPr>
        <w:numPr>
          <w:ilvl w:val="0"/>
          <w:numId w:val="88"/>
        </w:numPr>
        <w:spacing w:after="172" w:line="248" w:lineRule="auto"/>
        <w:ind w:right="145" w:firstLine="360"/>
      </w:pPr>
      <w:r>
        <w:rPr>
          <w:i/>
        </w:rPr>
        <w:t xml:space="preserve">El encargo deberá ser objeto de formalización en un documento que será publicado en la Plataforma de Contratación correspondiente en los supuestos previstos del artículo 63.6. El documento de formalización establecerá el plazo de duración del encargo. </w:t>
      </w:r>
    </w:p>
    <w:p w:rsidR="00DA121A" w:rsidRDefault="00904DD6">
      <w:pPr>
        <w:numPr>
          <w:ilvl w:val="0"/>
          <w:numId w:val="88"/>
        </w:numPr>
        <w:spacing w:after="351" w:line="248" w:lineRule="auto"/>
        <w:ind w:right="145" w:firstLine="360"/>
      </w:pPr>
      <w:r>
        <w:rPr>
          <w:i/>
        </w:rPr>
        <w:t>Los</w:t>
      </w:r>
      <w:r>
        <w:rPr>
          <w:i/>
        </w:rPr>
        <w:t xml:space="preserve"> órganos de las entidades del sector público estatal que tengan la condición de poder adjudicador en virtud de lo dispuesto en el artículo 3.3 de esta Ley, necesitarán autorización del Consejo de Ministros cuando el importe del gasto que se derive del enca</w:t>
      </w:r>
      <w:r>
        <w:rPr>
          <w:i/>
        </w:rPr>
        <w:t xml:space="preserve">rgo, sea igual o superior a doce millones de euros. </w:t>
      </w:r>
    </w:p>
    <w:p w:rsidR="00DA121A" w:rsidRDefault="00904DD6">
      <w:pPr>
        <w:spacing w:after="172" w:line="248" w:lineRule="auto"/>
        <w:ind w:left="278" w:right="145" w:firstLine="360"/>
      </w:pPr>
      <w:r>
        <w:rPr>
          <w:i/>
        </w:rPr>
        <w:t>La autorización del Consejo de Ministros a que se refiere el párrafo anterior deberá obtenerse antes de la suscripción del encargo por el órgano competente. Una vez obtenida la autorización, corresponder</w:t>
      </w:r>
      <w:r>
        <w:rPr>
          <w:i/>
        </w:rPr>
        <w:t xml:space="preserve">á a los órganos competentes la aprobación del gasto y suscripción del encargo, de conformidad con lo dispuesto en las respectivas normas. </w:t>
      </w:r>
    </w:p>
    <w:p w:rsidR="00DA121A" w:rsidRDefault="00904DD6">
      <w:pPr>
        <w:spacing w:after="359" w:line="238" w:lineRule="auto"/>
        <w:ind w:left="269" w:firstLine="350"/>
        <w:jc w:val="left"/>
      </w:pPr>
      <w:r>
        <w:rPr>
          <w:i/>
        </w:rPr>
        <w:t>A efectos de obtener la citada autorización, los órganos competentes deberán remitir al menos los siguientes document</w:t>
      </w:r>
      <w:r>
        <w:rPr>
          <w:i/>
        </w:rPr>
        <w:t xml:space="preserve">os: el texto del encargo; el informe del servicio jurídico; así como el certificado de existencia de crédito o, tratándose de poderes adjudicadores con presupuesto estimativo, los documentos equivalentes que acrediten la existencia de financiación. </w:t>
      </w:r>
    </w:p>
    <w:p w:rsidR="00DA121A" w:rsidRDefault="00904DD6">
      <w:pPr>
        <w:spacing w:after="172" w:line="248" w:lineRule="auto"/>
        <w:ind w:left="278" w:right="145" w:firstLine="360"/>
      </w:pPr>
      <w:r>
        <w:rPr>
          <w:i/>
        </w:rPr>
        <w:t>Requer</w:t>
      </w:r>
      <w:r>
        <w:rPr>
          <w:i/>
        </w:rPr>
        <w:t xml:space="preserve">irán igualmente la previa autorización del Consejo de Ministros las modificaciones de encargos autorizados por el Consejo de Ministros, cuando superen el 20 por cien del importe del encargo. </w:t>
      </w:r>
    </w:p>
    <w:p w:rsidR="00DA121A" w:rsidRDefault="00904DD6">
      <w:pPr>
        <w:spacing w:after="172" w:line="248" w:lineRule="auto"/>
        <w:ind w:left="278" w:right="145" w:firstLine="360"/>
      </w:pPr>
      <w:r>
        <w:rPr>
          <w:i/>
        </w:rPr>
        <w:t>La autorización que otorgue el Consejo de Ministros será genéric</w:t>
      </w:r>
      <w:r>
        <w:rPr>
          <w:i/>
        </w:rPr>
        <w:t xml:space="preserve">a para la suscripción del encargo, sin que en ningún caso implique una validación de los trámites realizados, ni exima de la responsabilidad que corresponda a las partes respecto de la correcta tramitación y realización del encargo. </w:t>
      </w:r>
    </w:p>
    <w:p w:rsidR="00DA121A" w:rsidRDefault="00904DD6">
      <w:pPr>
        <w:spacing w:after="351" w:line="248" w:lineRule="auto"/>
        <w:ind w:left="278" w:right="145" w:firstLine="360"/>
      </w:pPr>
      <w:r>
        <w:rPr>
          <w:i/>
        </w:rPr>
        <w:t>7. A los negocios jurí</w:t>
      </w:r>
      <w:r>
        <w:rPr>
          <w:i/>
        </w:rPr>
        <w:t xml:space="preserve">dicos que los entes destinatarios del encargo celebren en ejecución del encargo recibido de conformidad con el presente artículo, se le aplicarán las siguientes reglas: </w:t>
      </w:r>
    </w:p>
    <w:p w:rsidR="00DA121A" w:rsidRDefault="00904DD6">
      <w:pPr>
        <w:numPr>
          <w:ilvl w:val="0"/>
          <w:numId w:val="89"/>
        </w:numPr>
        <w:spacing w:after="172" w:line="248" w:lineRule="auto"/>
        <w:ind w:right="145" w:firstLine="360"/>
      </w:pPr>
      <w:r>
        <w:rPr>
          <w:i/>
        </w:rPr>
        <w:t>El contrato quedará sometido a esta Ley, en los términos que sean procedentes, de acue</w:t>
      </w:r>
      <w:r>
        <w:rPr>
          <w:i/>
        </w:rPr>
        <w:t xml:space="preserve">rdo con la naturaleza de la entidad que los celebre y el tipo y valor estimado de los mismos y, en todo caso, cuando el medio propio no sea un poder adjudicador se le aplicarán las normas contenidas en el Título I del Libro Tercero de la presente Ley. </w:t>
      </w:r>
    </w:p>
    <w:p w:rsidR="00DA121A" w:rsidRDefault="00904DD6">
      <w:pPr>
        <w:numPr>
          <w:ilvl w:val="0"/>
          <w:numId w:val="89"/>
        </w:numPr>
        <w:spacing w:after="172" w:line="248" w:lineRule="auto"/>
        <w:ind w:right="145" w:firstLine="360"/>
      </w:pPr>
      <w:r>
        <w:rPr>
          <w:i/>
        </w:rPr>
        <w:t xml:space="preserve">El </w:t>
      </w:r>
      <w:r>
        <w:rPr>
          <w:i/>
        </w:rPr>
        <w:t>importe de las prestaciones parciales que el medio propio pueda contratar con terceros no excederá del 50 por ciento de la cuantía del encargo. No se considerarán prestaciones parciales aquellas que el medio propio adquiera a otras empresas cuando se trate</w:t>
      </w:r>
      <w:r>
        <w:rPr>
          <w:i/>
        </w:rPr>
        <w:t xml:space="preserve"> de suministros o servicios auxiliares o instrumentales que no constituyen una parte autónoma y diferenciable de la prestación principal, aunque sean parte del proceso necesario para producir dicha prestación. </w:t>
      </w:r>
    </w:p>
    <w:p w:rsidR="00DA121A" w:rsidRDefault="00904DD6">
      <w:pPr>
        <w:spacing w:after="172" w:line="248" w:lineRule="auto"/>
        <w:ind w:left="278" w:right="145" w:firstLine="360"/>
      </w:pPr>
      <w:r>
        <w:rPr>
          <w:i/>
        </w:rPr>
        <w:t>No será aplicable lo establecido en esta letr</w:t>
      </w:r>
      <w:r>
        <w:rPr>
          <w:i/>
        </w:rPr>
        <w:t>a a los contratos de obras que celebren los medios propios a los que se les haya encargado una concesión, ya sea de obras o de servicios. Igualmente, no será de aplicación en los supuestos en los que la gestión del servicio público se efectúe mediante la c</w:t>
      </w:r>
      <w:r>
        <w:rPr>
          <w:i/>
        </w:rPr>
        <w:t xml:space="preserve">reación de entidades de derecho público destinadas a este fin, ni a aquellos en que la misma se atribuya a una sociedad de derecho privado cuyo capital sea, en su totalidad, de titularidad pública. </w:t>
      </w:r>
    </w:p>
    <w:p w:rsidR="00DA121A" w:rsidRDefault="00904DD6">
      <w:pPr>
        <w:spacing w:after="172" w:line="248" w:lineRule="auto"/>
        <w:ind w:left="278" w:right="145" w:firstLine="360"/>
      </w:pPr>
      <w:r>
        <w:rPr>
          <w:i/>
        </w:rPr>
        <w:t>Tampoco será aplicable a los contratos que celebren los m</w:t>
      </w:r>
      <w:r>
        <w:rPr>
          <w:i/>
        </w:rPr>
        <w:t xml:space="preserve">edios propios a los que se les haya encargado la prestación de servicios informáticos y tecnológicos a la Administración Pública con el fin de garantizar la compatibilidad, la comunicabilidad y la seguridad de redes y sistemas, la integridad, fiabilidad y </w:t>
      </w:r>
      <w:r>
        <w:rPr>
          <w:i/>
        </w:rPr>
        <w:t xml:space="preserve">confidencialidad de la información, así como a los que celebren los medios propios cuyas funciones sean el fomento de las telecomunicaciones, el desarrollo de la sociedad de la información y sociedad digital. </w:t>
      </w:r>
    </w:p>
    <w:p w:rsidR="00DA121A" w:rsidRDefault="00904DD6">
      <w:pPr>
        <w:spacing w:after="172" w:line="248" w:lineRule="auto"/>
        <w:ind w:left="278" w:right="145" w:firstLine="360"/>
      </w:pPr>
      <w:r>
        <w:rPr>
          <w:i/>
        </w:rPr>
        <w:t>Excepcionalmente podrá superarse dicho porcent</w:t>
      </w:r>
      <w:r>
        <w:rPr>
          <w:i/>
        </w:rPr>
        <w:t>aje de contratación siempre que el encargo al medio propio se base en razones de seguridad, en la naturaleza de la prestación que requiera un mayor control en la ejecución de la misma, o en razones de urgencia que demanden una mayor celeridad en su ejecuci</w:t>
      </w:r>
      <w:r>
        <w:rPr>
          <w:i/>
        </w:rPr>
        <w:t xml:space="preserve">ón. La justificación de que concurren estas circunstancias se acompañará al documento de formalización del encargo y se publicará en la Plataforma de Contratación correspondiente conjuntamente con éste. </w:t>
      </w:r>
    </w:p>
    <w:p w:rsidR="00DA121A" w:rsidRDefault="00904DD6">
      <w:pPr>
        <w:spacing w:after="98" w:line="259" w:lineRule="auto"/>
        <w:ind w:left="644" w:firstLine="0"/>
        <w:jc w:val="left"/>
      </w:pPr>
      <w:r>
        <w:rPr>
          <w:b/>
        </w:rPr>
        <w:t xml:space="preserve"> </w:t>
      </w:r>
    </w:p>
    <w:p w:rsidR="00DA121A" w:rsidRDefault="00904DD6">
      <w:pPr>
        <w:spacing w:after="174"/>
        <w:ind w:left="654" w:right="144"/>
      </w:pPr>
      <w:r>
        <w:rPr>
          <w:b/>
        </w:rPr>
        <w:t xml:space="preserve">Es de aplicación el artículo 47 de la Ley de Bases del Régimen local: </w:t>
      </w:r>
    </w:p>
    <w:p w:rsidR="00DA121A" w:rsidRDefault="00904DD6">
      <w:pPr>
        <w:numPr>
          <w:ilvl w:val="0"/>
          <w:numId w:val="90"/>
        </w:numPr>
        <w:spacing w:after="172" w:line="248" w:lineRule="auto"/>
        <w:ind w:right="145" w:firstLine="360"/>
      </w:pPr>
      <w:r>
        <w:rPr>
          <w:i/>
        </w:rPr>
        <w:t>Los acuerdos de las corporaciones locales se adoptan, como regla general, por mayoría simple de los miembros presentes. Existe mayoría simple cuando los votos afirmativos son más que lo</w:t>
      </w:r>
      <w:r>
        <w:rPr>
          <w:i/>
        </w:rPr>
        <w:t xml:space="preserve">s negativos. </w:t>
      </w:r>
    </w:p>
    <w:p w:rsidR="00DA121A" w:rsidRDefault="00904DD6">
      <w:pPr>
        <w:numPr>
          <w:ilvl w:val="0"/>
          <w:numId w:val="90"/>
        </w:numPr>
        <w:spacing w:after="172" w:line="248" w:lineRule="auto"/>
        <w:ind w:right="145" w:firstLine="360"/>
      </w:pPr>
      <w:r>
        <w:rPr>
          <w:i/>
        </w:rPr>
        <w:t xml:space="preserve">Se requiere el voto favorable de la mayoría absoluta del número legal de miembros de las corporaciones para la adopción de acuerdos en las siguientes materias: </w:t>
      </w:r>
    </w:p>
    <w:p w:rsidR="00DA121A" w:rsidRDefault="00904DD6">
      <w:pPr>
        <w:spacing w:after="172" w:line="248" w:lineRule="auto"/>
        <w:ind w:left="278" w:right="145" w:firstLine="360"/>
      </w:pPr>
      <w:r>
        <w:rPr>
          <w:i/>
        </w:rPr>
        <w:t>h) Transferencia de funciones o actividades a otras Administraciones públicas, as</w:t>
      </w:r>
      <w:r>
        <w:rPr>
          <w:i/>
        </w:rPr>
        <w:t>í como la aceptación de las delegaciones o encomiendas de gestión realizadas por otras administraciones, salvo que por ley se impongan obligatoriamente.</w:t>
      </w:r>
      <w:r>
        <w:rPr>
          <w:rFonts w:ascii="Times New Roman" w:eastAsia="Times New Roman" w:hAnsi="Times New Roman" w:cs="Times New Roman"/>
          <w:sz w:val="24"/>
        </w:rPr>
        <w:t xml:space="preserve"> </w:t>
      </w:r>
    </w:p>
    <w:p w:rsidR="00DA121A" w:rsidRDefault="00904DD6">
      <w:pPr>
        <w:spacing w:after="101" w:line="259" w:lineRule="auto"/>
        <w:ind w:left="644" w:firstLine="0"/>
        <w:jc w:val="left"/>
      </w:pPr>
      <w:r>
        <w:rPr>
          <w:b/>
        </w:rPr>
        <w:t xml:space="preserve"> </w:t>
      </w:r>
    </w:p>
    <w:p w:rsidR="00DA121A" w:rsidRDefault="00904DD6">
      <w:pPr>
        <w:pStyle w:val="Ttulo2"/>
        <w:spacing w:after="130"/>
        <w:ind w:right="978"/>
      </w:pPr>
      <w:r>
        <w:t xml:space="preserve">PROPUESTA DE ACUERDO </w:t>
      </w:r>
    </w:p>
    <w:p w:rsidR="00DA121A" w:rsidRDefault="00904DD6">
      <w:pPr>
        <w:spacing w:after="116"/>
        <w:ind w:left="279" w:right="144"/>
      </w:pPr>
      <w:r>
        <w:rPr>
          <w:b/>
        </w:rPr>
        <w:t>Primero. - Encomendar a la entidad “Gestión y Planeamiento Territorial y Medio</w:t>
      </w:r>
      <w:r>
        <w:rPr>
          <w:b/>
        </w:rPr>
        <w:t>ambiental, SA (GESPLAN), adscrita a la Consejería de Transición Ecológica, Lucha contra el Cambio Climático y Planificación Territorial del Gobierno de Canarias, la redacción del proyecto Plan Especial Parque periurbano La Vera de Igueste, T.M. de Candelar</w:t>
      </w:r>
      <w:r>
        <w:rPr>
          <w:b/>
        </w:rPr>
        <w:t xml:space="preserve">ia con unos plazos de ejecución de la redacción del proyecto y del presupuesto del contrato de servicios que son los siguientes: </w:t>
      </w:r>
    </w:p>
    <w:p w:rsidR="00DA121A" w:rsidRDefault="00904DD6">
      <w:pPr>
        <w:spacing w:after="112"/>
        <w:ind w:left="288" w:right="146"/>
      </w:pPr>
      <w:r>
        <w:t xml:space="preserve">FASE 1- DOCUMENTO BORRADOR Y DOCUMENTO INICIAL ESTRATÉGICO Plazo estimado de redacción: 5 meses  </w:t>
      </w:r>
    </w:p>
    <w:p w:rsidR="00DA121A" w:rsidRDefault="00904DD6">
      <w:pPr>
        <w:ind w:left="288" w:right="146"/>
      </w:pPr>
      <w:r>
        <w:t>FASE 2 – DOCUMENTO PARA APRO</w:t>
      </w:r>
      <w:r>
        <w:t xml:space="preserve">BACIÓN INICIAL Y ESTUDIO AMBIENTAL ESTRATÉGICO </w:t>
      </w:r>
    </w:p>
    <w:p w:rsidR="00DA121A" w:rsidRDefault="00904DD6">
      <w:pPr>
        <w:spacing w:after="110"/>
        <w:ind w:left="288" w:right="146"/>
      </w:pPr>
      <w:r>
        <w:t xml:space="preserve">Plazo estimado de redacción: 3 meses  </w:t>
      </w:r>
    </w:p>
    <w:p w:rsidR="00DA121A" w:rsidRDefault="00904DD6">
      <w:pPr>
        <w:spacing w:after="112"/>
        <w:ind w:left="288" w:right="146"/>
      </w:pPr>
      <w:r>
        <w:t>FASE 3 – DOCUMENTO VERSION DEFINITIVA DEL PLAN PARA APROBACIÓN DEFINITIVA Plazo estimado de redacción: 2 meses Los plazos necesarios de tramitación quedan fuera del plaz</w:t>
      </w:r>
      <w:r>
        <w:t xml:space="preserve">o ofertado para la entrega de los documentos por parte de Gesplan.  </w:t>
      </w:r>
    </w:p>
    <w:p w:rsidR="00DA121A" w:rsidRDefault="00904DD6">
      <w:pPr>
        <w:spacing w:after="114"/>
        <w:ind w:left="288" w:right="146"/>
      </w:pPr>
      <w:r>
        <w:t>La propuesta de plazos y económica se realiza en el supuesto de una única información pública tras la aprobación inicial. Propuesta económica Ayuntamiento de Candelaria 6 6. Propuesta eco</w:t>
      </w:r>
      <w:r>
        <w:t xml:space="preserve">nómica  </w:t>
      </w:r>
    </w:p>
    <w:p w:rsidR="00DA121A" w:rsidRDefault="00904DD6">
      <w:pPr>
        <w:spacing w:after="108"/>
        <w:ind w:left="288" w:right="146"/>
      </w:pPr>
      <w:r>
        <w:t xml:space="preserve">El importe total de la propuesta asciende a la cantidad de CINCUENTA Y UN MIL OCHOCIENTOS SESENTA Y CUATRO EUROS Y TREINTA Y CINCO CÉNTIMOS (51.864,35 €) </w:t>
      </w:r>
    </w:p>
    <w:p w:rsidR="00DA121A" w:rsidRDefault="00904DD6">
      <w:pPr>
        <w:spacing w:after="100" w:line="259" w:lineRule="auto"/>
        <w:ind w:left="284" w:firstLine="0"/>
        <w:jc w:val="left"/>
      </w:pPr>
      <w:r>
        <w:rPr>
          <w:b/>
        </w:rPr>
        <w:t xml:space="preserve"> </w:t>
      </w:r>
    </w:p>
    <w:p w:rsidR="00DA121A" w:rsidRDefault="00904DD6">
      <w:pPr>
        <w:spacing w:after="133" w:line="259" w:lineRule="auto"/>
        <w:ind w:left="284" w:firstLine="0"/>
        <w:jc w:val="left"/>
      </w:pPr>
      <w:r>
        <w:rPr>
          <w:b/>
        </w:rPr>
        <w:t xml:space="preserve"> </w:t>
      </w:r>
    </w:p>
    <w:p w:rsidR="00DA121A" w:rsidRDefault="00904DD6">
      <w:pPr>
        <w:spacing w:after="121"/>
        <w:ind w:left="279" w:right="144"/>
      </w:pPr>
      <w:r>
        <w:rPr>
          <w:b/>
        </w:rPr>
        <w:t xml:space="preserve">Segundo. - </w:t>
      </w:r>
      <w:r>
        <w:rPr>
          <w:b/>
        </w:rPr>
        <w:t xml:space="preserve">Notificar el presente acuerdo a la entidad “Gestión y Planeamiento Territorial y Medioambiental, SA (GESPLAN).” </w:t>
      </w:r>
    </w:p>
    <w:p w:rsidR="00DA121A" w:rsidRDefault="00904DD6">
      <w:pPr>
        <w:spacing w:after="218"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49" w:lineRule="auto"/>
        <w:ind w:left="279"/>
        <w:jc w:val="left"/>
      </w:pPr>
      <w:r>
        <w:rPr>
          <w:rFonts w:ascii="Times New Roman" w:eastAsia="Times New Roman" w:hAnsi="Times New Roman" w:cs="Times New Roman"/>
          <w:b/>
          <w:sz w:val="24"/>
        </w:rPr>
        <w:t xml:space="preserve">Consta en el expediente propuesta de la Alcaldesa-Presidenta, de fecha 22 de marzo de 2023, cuyo tenor literal es el siguiente: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pStyle w:val="Ttulo2"/>
        <w:spacing w:after="96"/>
        <w:ind w:right="1172"/>
      </w:pPr>
      <w:r>
        <w:rPr>
          <w:b w:val="0"/>
        </w:rPr>
        <w:t xml:space="preserve"> “</w:t>
      </w:r>
      <w:r>
        <w:t>PROPUE</w:t>
      </w:r>
      <w:r>
        <w:t>STA DE LA ALCALDÍA-PRESIDENCIA</w:t>
      </w:r>
      <w:r>
        <w:rPr>
          <w:b w:val="0"/>
        </w:rPr>
        <w:t xml:space="preserve"> </w:t>
      </w:r>
    </w:p>
    <w:p w:rsidR="00DA121A" w:rsidRDefault="00904DD6">
      <w:pPr>
        <w:spacing w:after="151"/>
        <w:ind w:left="279" w:right="144"/>
      </w:pPr>
      <w:r>
        <w:rPr>
          <w:b/>
        </w:rPr>
        <w:t xml:space="preserve">Visto el informe jurídico de la Secretaría General de fecha 22 de marzo de 2023 que expresamente dispone: </w:t>
      </w:r>
    </w:p>
    <w:p w:rsidR="00DA121A" w:rsidRDefault="00904DD6">
      <w:pPr>
        <w:ind w:left="288" w:right="146"/>
      </w:pPr>
      <w:r>
        <w:t xml:space="preserve"> “Visto el expediente antedicho se emite el siguiente informe sobre la encomienda a Gesplan, de la redacción del Plan</w:t>
      </w:r>
      <w:r>
        <w:t xml:space="preserve"> Especial Parque periurbano La Vera de Igueste, T.M. de Candelaria. </w:t>
      </w:r>
    </w:p>
    <w:p w:rsidR="00DA121A" w:rsidRDefault="00904DD6">
      <w:pPr>
        <w:spacing w:after="111"/>
        <w:ind w:left="2562" w:right="146"/>
      </w:pPr>
      <w:r>
        <w:t xml:space="preserve">ANTECEDENTES DE HECHO </w:t>
      </w:r>
    </w:p>
    <w:p w:rsidR="00DA121A" w:rsidRDefault="00904DD6">
      <w:pPr>
        <w:spacing w:after="109"/>
        <w:ind w:left="1426" w:right="146"/>
      </w:pPr>
      <w:r>
        <w:t xml:space="preserve">Primero.- Consta en el expediente memoria de la Alcaldía-Presidencia. </w:t>
      </w:r>
    </w:p>
    <w:p w:rsidR="00DA121A" w:rsidRDefault="00904DD6">
      <w:pPr>
        <w:spacing w:after="114"/>
        <w:ind w:left="278" w:right="146" w:firstLine="1133"/>
      </w:pPr>
      <w:r>
        <w:t xml:space="preserve">Segundo.- </w:t>
      </w:r>
      <w:r>
        <w:t xml:space="preserve">Consta en el expediente Propuesta del Plan Especial Parque periurbano La Vera de Igueste, T.M. de Candelaria. </w:t>
      </w:r>
    </w:p>
    <w:p w:rsidR="00DA121A" w:rsidRDefault="00904DD6">
      <w:pPr>
        <w:ind w:left="1426" w:right="146"/>
      </w:pPr>
      <w:r>
        <w:t xml:space="preserve">Tercero.- Consta en el expediente certificado del acuerdo del pleno de fecha 24 de </w:t>
      </w:r>
    </w:p>
    <w:p w:rsidR="00DA121A" w:rsidRDefault="00904DD6">
      <w:pPr>
        <w:spacing w:after="112"/>
        <w:ind w:left="288" w:right="146"/>
      </w:pPr>
      <w:r>
        <w:t>junio de 2021 en el que en su parte dispositiva dispone en su</w:t>
      </w:r>
      <w:r>
        <w:t xml:space="preserve"> punto primero: </w:t>
      </w:r>
    </w:p>
    <w:p w:rsidR="00DA121A" w:rsidRDefault="00904DD6">
      <w:pPr>
        <w:spacing w:after="0" w:line="248" w:lineRule="auto"/>
        <w:ind w:left="278" w:right="145" w:firstLine="1133"/>
      </w:pPr>
      <w:r>
        <w:rPr>
          <w:i/>
        </w:rPr>
        <w:t>1º.- Otorgar la conformidad expresa de esta Corporación a la declaración de la entidad “Gestión y Planeamiento Territorial y Medioambiental, SA (GESPLAN), adscrita a la Consejería de Transición Ecológica, Lucha contra el Cambio Climático y</w:t>
      </w:r>
      <w:r>
        <w:rPr>
          <w:i/>
        </w:rPr>
        <w:t xml:space="preserve"> Planificación Territorial del Gobierno de Canarias, como medio personificado del mismo, a los efectos dispuestos en el artículo 32.2 de la </w:t>
      </w:r>
    </w:p>
    <w:p w:rsidR="00DA121A" w:rsidRDefault="00904DD6">
      <w:pPr>
        <w:spacing w:after="111" w:line="248" w:lineRule="auto"/>
        <w:ind w:left="288" w:right="145"/>
      </w:pPr>
      <w:r>
        <w:rPr>
          <w:i/>
        </w:rPr>
        <w:t xml:space="preserve">Ley 4/2012, de 25 de junio, de medidas administrativas y fiscales, en relación con el art. 32.4 de la LCSP. </w:t>
      </w:r>
    </w:p>
    <w:p w:rsidR="00DA121A" w:rsidRDefault="00904DD6">
      <w:pPr>
        <w:spacing w:after="100" w:line="259" w:lineRule="auto"/>
        <w:ind w:left="1416" w:firstLine="0"/>
        <w:jc w:val="left"/>
      </w:pPr>
      <w:r>
        <w:t xml:space="preserve"> </w:t>
      </w:r>
    </w:p>
    <w:p w:rsidR="00DA121A" w:rsidRDefault="00904DD6">
      <w:pPr>
        <w:spacing w:after="109"/>
        <w:ind w:left="2562" w:right="146"/>
      </w:pPr>
      <w:r>
        <w:t xml:space="preserve"> FUN</w:t>
      </w:r>
      <w:r>
        <w:t xml:space="preserve">DAMENTOS DE DERECHO </w:t>
      </w:r>
    </w:p>
    <w:p w:rsidR="00DA121A" w:rsidRDefault="00904DD6">
      <w:pPr>
        <w:ind w:left="1426" w:right="146"/>
      </w:pPr>
      <w:r>
        <w:t xml:space="preserve">Primero.-  Es de aplicación el artículo 32 de la Ley de Contratos del Sector Público que </w:t>
      </w:r>
    </w:p>
    <w:p w:rsidR="00DA121A" w:rsidRDefault="00904DD6">
      <w:pPr>
        <w:spacing w:after="111"/>
        <w:ind w:left="288" w:right="146"/>
      </w:pPr>
      <w:r>
        <w:t xml:space="preserve">expresamente dispone: </w:t>
      </w:r>
    </w:p>
    <w:p w:rsidR="00DA121A" w:rsidRDefault="00904DD6">
      <w:pPr>
        <w:spacing w:after="169"/>
        <w:ind w:left="1426" w:right="146"/>
      </w:pPr>
      <w:r>
        <w:t xml:space="preserve">Artículo 32. Encargos de los poderes adjudicadores a medios propios personificados. </w:t>
      </w:r>
    </w:p>
    <w:p w:rsidR="00DA121A" w:rsidRDefault="00904DD6">
      <w:pPr>
        <w:numPr>
          <w:ilvl w:val="0"/>
          <w:numId w:val="91"/>
        </w:numPr>
        <w:spacing w:after="172" w:line="248" w:lineRule="auto"/>
        <w:ind w:right="72" w:firstLine="355"/>
        <w:jc w:val="left"/>
      </w:pPr>
      <w:r>
        <w:rPr>
          <w:i/>
        </w:rPr>
        <w:t>Los poderes adjudicadores podrán organizarse ejecutando de manera directa prestaciones propias de los contratos de obras, suministros, servicios, concesión de obras y concesión de servicios, a cambio de una compensación tarifaria, valiéndose de otra person</w:t>
      </w:r>
      <w:r>
        <w:rPr>
          <w:i/>
        </w:rPr>
        <w:t>a jurídica distinta a ellos, ya sea de derecho público o de derecho privado, previo encargo a esta, con sujeción a lo dispuesto en este artículo, siempre y cuando la persona jurídica que utilicen merezca la calificación jurídica de medio propio personifica</w:t>
      </w:r>
      <w:r>
        <w:rPr>
          <w:i/>
        </w:rPr>
        <w:t xml:space="preserve">do respecto de ellos de conformidad con lo dispuesto en los tres apartados siguientes, y sin perjuicio de los requisitos establecidos para los medios propios del ámbito estatal en la Ley 40/2015, de 1 de octubre, de Régimen Jurídico del Sector Público. </w:t>
      </w:r>
    </w:p>
    <w:p w:rsidR="00DA121A" w:rsidRDefault="00904DD6">
      <w:pPr>
        <w:spacing w:after="140" w:line="259" w:lineRule="auto"/>
        <w:ind w:left="654" w:right="176"/>
        <w:jc w:val="left"/>
      </w:pPr>
      <w:r>
        <w:rPr>
          <w:u w:val="single" w:color="000000"/>
        </w:rPr>
        <w:t>El</w:t>
      </w:r>
      <w:r>
        <w:rPr>
          <w:u w:val="single" w:color="000000"/>
        </w:rPr>
        <w:t xml:space="preserve"> encargo que cumpla dichos requisitos no tendrá la consideración de contrato</w:t>
      </w:r>
      <w:r>
        <w:rPr>
          <w:i/>
        </w:rPr>
        <w:t>.</w:t>
      </w:r>
      <w:r>
        <w:rPr>
          <w:rFonts w:ascii="Times New Roman" w:eastAsia="Times New Roman" w:hAnsi="Times New Roman" w:cs="Times New Roman"/>
          <w:sz w:val="24"/>
        </w:rPr>
        <w:t xml:space="preserve"> </w:t>
      </w:r>
    </w:p>
    <w:p w:rsidR="00DA121A" w:rsidRDefault="00904DD6">
      <w:pPr>
        <w:numPr>
          <w:ilvl w:val="0"/>
          <w:numId w:val="91"/>
        </w:numPr>
        <w:spacing w:after="359" w:line="238" w:lineRule="auto"/>
        <w:ind w:right="72" w:firstLine="355"/>
        <w:jc w:val="left"/>
      </w:pPr>
      <w:r>
        <w:rPr>
          <w:i/>
        </w:rPr>
        <w:t>Tendrán la consideración de medio propio personificado respecto de una única entidad concreta del sector público aquellas personas jurídicas, de derecho público o de derecho pri</w:t>
      </w:r>
      <w:r>
        <w:rPr>
          <w:i/>
        </w:rPr>
        <w:t xml:space="preserve">vado, que cumplan todos y cada uno de los requisitos que se establecen a continuación: </w:t>
      </w:r>
    </w:p>
    <w:p w:rsidR="00DA121A" w:rsidRDefault="00904DD6">
      <w:pPr>
        <w:numPr>
          <w:ilvl w:val="0"/>
          <w:numId w:val="92"/>
        </w:numPr>
        <w:spacing w:after="172" w:line="248" w:lineRule="auto"/>
        <w:ind w:right="145" w:firstLine="360"/>
      </w:pPr>
      <w:r>
        <w:rPr>
          <w:i/>
        </w:rPr>
        <w:t xml:space="preserve">Que el poder adjudicador que pueda conferirle encargos ejerza sobre el ente destinatario de los mismos un control, directo o indirecto, análogo al que ostentaría sobre </w:t>
      </w:r>
      <w:r>
        <w:rPr>
          <w:i/>
        </w:rPr>
        <w:t xml:space="preserve">sus propios servicios o unidades, de manera que el primero pueda ejercer sobre el segundo una influencia decisiva sobre sus objetivos estratégicos y decisiones significativas. </w:t>
      </w:r>
    </w:p>
    <w:p w:rsidR="00DA121A" w:rsidRDefault="00904DD6">
      <w:pPr>
        <w:spacing w:after="172" w:line="248" w:lineRule="auto"/>
        <w:ind w:left="278" w:right="145" w:firstLine="360"/>
      </w:pPr>
      <w:r>
        <w:rPr>
          <w:i/>
        </w:rPr>
        <w:t>En todo caso se entenderá que el poder adjudicador que puede conferirle encargo</w:t>
      </w:r>
      <w:r>
        <w:rPr>
          <w:i/>
        </w:rPr>
        <w:t>s ostenta sobre el ente destinatario del mismo un control análogo al que ejerce sobre sus propios servicios o unidades cuando él mismo o bien otro u otros poderes adjudicadores o personas jurídicas controlados del mismo modo por el primero puedan conferirl</w:t>
      </w:r>
      <w:r>
        <w:rPr>
          <w:i/>
        </w:rPr>
        <w:t>e encargos que sean de ejecución obligatoria para el ente destinatario del encargo por así establecerlo los estatutos o el acto de creación, de manera que exista una unidad de decisión entre ellos, de acuerdo con instrucciones fijadas unilateralmente por e</w:t>
      </w:r>
      <w:r>
        <w:rPr>
          <w:i/>
        </w:rPr>
        <w:t xml:space="preserve">l ente que puede realizar el encargo. </w:t>
      </w:r>
    </w:p>
    <w:p w:rsidR="00DA121A" w:rsidRDefault="00904DD6">
      <w:pPr>
        <w:spacing w:after="172" w:line="248" w:lineRule="auto"/>
        <w:ind w:left="278" w:right="145" w:firstLine="360"/>
      </w:pPr>
      <w:r>
        <w:rPr>
          <w:i/>
        </w:rPr>
        <w:t>La compensación se establecerá por referencia a tarifas aprobadas por la entidad pública de la que depende el medio propio personificado para las actividades objeto de encargo realizadas por el medio propio directamen</w:t>
      </w:r>
      <w:r>
        <w:rPr>
          <w:i/>
        </w:rPr>
        <w:t>te y, en la forma que reglamentariamente se determine, atendiendo al coste efectivo soportado por el medio propio para las actividades objeto del encargo que se subcontraten con empresarios particulares en los casos en que este coste sea inferior al result</w:t>
      </w:r>
      <w:r>
        <w:rPr>
          <w:i/>
        </w:rPr>
        <w:t xml:space="preserve">ante de aplicar las tarifas a las actividades subcontratadas. </w:t>
      </w:r>
    </w:p>
    <w:p w:rsidR="00DA121A" w:rsidRDefault="00904DD6">
      <w:pPr>
        <w:spacing w:after="172" w:line="248" w:lineRule="auto"/>
        <w:ind w:left="278" w:right="145" w:firstLine="360"/>
      </w:pPr>
      <w:r>
        <w:rPr>
          <w:i/>
        </w:rPr>
        <w:t xml:space="preserve">Dichas tarifas se calcularán de manera que representen los costes reales de realización de las unidades producidas directamente por el medio propio. </w:t>
      </w:r>
    </w:p>
    <w:p w:rsidR="00DA121A" w:rsidRDefault="00904DD6">
      <w:pPr>
        <w:numPr>
          <w:ilvl w:val="0"/>
          <w:numId w:val="92"/>
        </w:numPr>
        <w:spacing w:after="172" w:line="248" w:lineRule="auto"/>
        <w:ind w:right="145" w:firstLine="360"/>
      </w:pPr>
      <w:r>
        <w:rPr>
          <w:i/>
        </w:rPr>
        <w:t>Que más del 80 por ciento de las actividade</w:t>
      </w:r>
      <w:r>
        <w:rPr>
          <w:i/>
        </w:rPr>
        <w:t>s del ente destinatario del encargo se lleven a cabo en el ejercicio de los cometidos que le han sido confiados por el poder adjudicador que hace el encargo y que lo controla o por otras personas jurídicas controladas del mismo modo por la entidad que hace</w:t>
      </w:r>
      <w:r>
        <w:rPr>
          <w:i/>
        </w:rPr>
        <w:t xml:space="preserve"> el encargo. </w:t>
      </w:r>
    </w:p>
    <w:p w:rsidR="00DA121A" w:rsidRDefault="00904DD6">
      <w:pPr>
        <w:spacing w:after="172" w:line="248" w:lineRule="auto"/>
        <w:ind w:left="278" w:right="145" w:firstLine="360"/>
      </w:pPr>
      <w:r>
        <w:rPr>
          <w:i/>
        </w:rPr>
        <w:t>A estos efectos, para calcular el 80 por ciento de las actividades del ente destinatario del encargo se tomarán en consideración el promedio del volumen global de negocios, los gastos soportados por los servicios prestados al poder adjudicado</w:t>
      </w:r>
      <w:r>
        <w:rPr>
          <w:i/>
        </w:rPr>
        <w:t>r en relación con la totalidad de los gastos en que haya incurrido el medio propio por razón de las prestaciones que haya realizado a cualquier entidad, u otro indicador alternativo de actividad que sea fiable, y todo ello referido a los tres ejercicios an</w:t>
      </w:r>
      <w:r>
        <w:rPr>
          <w:i/>
        </w:rPr>
        <w:t xml:space="preserve">teriores al de formalización del encargo. </w:t>
      </w:r>
    </w:p>
    <w:p w:rsidR="00DA121A" w:rsidRDefault="00904DD6">
      <w:pPr>
        <w:spacing w:after="172" w:line="248" w:lineRule="auto"/>
        <w:ind w:left="278" w:right="145" w:firstLine="360"/>
      </w:pPr>
      <w:r>
        <w:rPr>
          <w:i/>
        </w:rPr>
        <w:t>Cuando debido a la fecha de creación o de inicio de actividad del poder adjudicador que hace el encargo, o debido a la reorganización de las actividades de este, el volumen global de negocios, u otro indicador alt</w:t>
      </w:r>
      <w:r>
        <w:rPr>
          <w:i/>
        </w:rPr>
        <w:t>ernativo de actividad, de acuerdo con lo establecido en el párrafo anterior, no estuvieran disponibles respecto de los tres ejercicios anteriores a la formalización del encargo o hubieran perdido su vigencia, será suficiente con justificar que el cálculo d</w:t>
      </w:r>
      <w:r>
        <w:rPr>
          <w:i/>
        </w:rPr>
        <w:t xml:space="preserve">el nivel de actividad se corresponde con la realidad, en especial mediante proyecciones de negocio. </w:t>
      </w:r>
    </w:p>
    <w:p w:rsidR="00DA121A" w:rsidRDefault="00904DD6">
      <w:pPr>
        <w:numPr>
          <w:ilvl w:val="0"/>
          <w:numId w:val="93"/>
        </w:numPr>
        <w:spacing w:after="9" w:line="249" w:lineRule="auto"/>
        <w:ind w:right="146" w:firstLine="360"/>
      </w:pPr>
      <w:r>
        <w:rPr>
          <w:i/>
        </w:rPr>
        <w:t>Cuando el ente destinatario del encargo sea un ente de personificación jurídico-privada, ade-</w:t>
      </w:r>
    </w:p>
    <w:p w:rsidR="00DA121A" w:rsidRDefault="00904DD6">
      <w:pPr>
        <w:spacing w:after="172" w:line="248" w:lineRule="auto"/>
        <w:ind w:left="288" w:right="145"/>
      </w:pPr>
      <w:r>
        <w:rPr>
          <w:i/>
        </w:rPr>
        <w:t>más, la totalidad de su capital o patrimonio tendrá que ser d</w:t>
      </w:r>
      <w:r>
        <w:rPr>
          <w:i/>
        </w:rPr>
        <w:t xml:space="preserve">e titularidad o aportación pública. </w:t>
      </w:r>
    </w:p>
    <w:p w:rsidR="00DA121A" w:rsidRDefault="00904DD6">
      <w:pPr>
        <w:numPr>
          <w:ilvl w:val="0"/>
          <w:numId w:val="93"/>
        </w:numPr>
        <w:spacing w:after="352" w:line="248" w:lineRule="auto"/>
        <w:ind w:right="146" w:firstLine="360"/>
      </w:pPr>
      <w:r>
        <w:rPr>
          <w:i/>
        </w:rPr>
        <w:t>La condición de medio propio personificado de la entidad destinataria del encargo respecto del concreto poder adjudicador que hace el encargo deberá reconocerse expresamente en sus estatutos o actos de creación, previo cumplimiento de los siguientes requis</w:t>
      </w:r>
      <w:r>
        <w:rPr>
          <w:i/>
        </w:rPr>
        <w:t xml:space="preserve">itos: </w:t>
      </w:r>
    </w:p>
    <w:p w:rsidR="00DA121A" w:rsidRDefault="00904DD6">
      <w:pPr>
        <w:spacing w:after="172" w:line="248" w:lineRule="auto"/>
        <w:ind w:left="278" w:right="145" w:firstLine="360"/>
      </w:pPr>
      <w:r>
        <w:rPr>
          <w:i/>
        </w:rPr>
        <w:t xml:space="preserve">1.º Conformidad o autorización expresa del poder adjudicador respecto del que vaya a ser medio propio. </w:t>
      </w:r>
    </w:p>
    <w:p w:rsidR="00DA121A" w:rsidRDefault="00904DD6">
      <w:pPr>
        <w:spacing w:after="359" w:line="238" w:lineRule="auto"/>
        <w:ind w:left="269" w:firstLine="350"/>
        <w:jc w:val="left"/>
      </w:pPr>
      <w:r>
        <w:rPr>
          <w:i/>
        </w:rPr>
        <w:t>2.º Verificación por la entidad pública de que dependa el ente que vaya a ser medio propio, de que cuenta con medios personales y materiales apro</w:t>
      </w:r>
      <w:r>
        <w:rPr>
          <w:i/>
        </w:rPr>
        <w:t xml:space="preserve">piados para la realización de los encargos de conformidad con su objeto social. </w:t>
      </w:r>
    </w:p>
    <w:p w:rsidR="00DA121A" w:rsidRDefault="00904DD6">
      <w:pPr>
        <w:spacing w:after="172" w:line="248" w:lineRule="auto"/>
        <w:ind w:left="278" w:right="145" w:firstLine="360"/>
      </w:pPr>
      <w:r>
        <w:rPr>
          <w:i/>
        </w:rPr>
        <w:t xml:space="preserve">Los estatutos o acto de creación del ente destinatario del encargo deberá determinar: el poder adjudicador respecto del cual tiene esa condición; precisar el régimen jurídico </w:t>
      </w:r>
      <w:r>
        <w:rPr>
          <w:i/>
        </w:rPr>
        <w:t>y administrativo de los encargos que se les puedan conferir; y establecer la imposibilidad de que participen en licitaciones públicas convocadas por el poder adjudicador del que sean medio propio personificado, sin perjuicio de que, cuando no concurra ning</w:t>
      </w:r>
      <w:r>
        <w:rPr>
          <w:i/>
        </w:rPr>
        <w:t xml:space="preserve">ún licitador, pueda encargárseles la ejecución de la prestación objeto de las mismas. </w:t>
      </w:r>
    </w:p>
    <w:p w:rsidR="00DA121A" w:rsidRDefault="00904DD6">
      <w:pPr>
        <w:spacing w:after="172" w:line="248" w:lineRule="auto"/>
        <w:ind w:left="278" w:right="145" w:firstLine="360"/>
      </w:pPr>
      <w:r>
        <w:rPr>
          <w:i/>
        </w:rPr>
        <w:t xml:space="preserve">En todo caso, se presumirá que cumple el requisito establecido en el número 2.º de la presente letra cuando haya obtenido la correspondiente clasificación respecto a los grupos, subgrupos y categorías que ostente. </w:t>
      </w:r>
    </w:p>
    <w:p w:rsidR="00DA121A" w:rsidRDefault="00904DD6">
      <w:pPr>
        <w:numPr>
          <w:ilvl w:val="0"/>
          <w:numId w:val="94"/>
        </w:numPr>
        <w:spacing w:after="172" w:line="248" w:lineRule="auto"/>
        <w:ind w:right="145" w:firstLine="360"/>
      </w:pPr>
      <w:r>
        <w:rPr>
          <w:i/>
        </w:rPr>
        <w:t>El apartado 2 del presente artículo tambi</w:t>
      </w:r>
      <w:r>
        <w:rPr>
          <w:i/>
        </w:rPr>
        <w:t xml:space="preserve">én se aplicará en los casos en que la persona jurídica controlada, siendo un poder adjudicador, realice un encargo al poder adjudicador que la controla o a otra persona jurídica controlada, directa o indirectamente, por el mismo poder adjudicador, siempre </w:t>
      </w:r>
      <w:r>
        <w:rPr>
          <w:i/>
        </w:rPr>
        <w:t xml:space="preserve">que no exista participación directa de capital privado en la persona jurídica a la que se realice el encargo. </w:t>
      </w:r>
    </w:p>
    <w:p w:rsidR="00DA121A" w:rsidRDefault="00904DD6">
      <w:pPr>
        <w:numPr>
          <w:ilvl w:val="0"/>
          <w:numId w:val="94"/>
        </w:numPr>
        <w:spacing w:after="351" w:line="248" w:lineRule="auto"/>
        <w:ind w:right="145" w:firstLine="360"/>
      </w:pPr>
      <w:r>
        <w:rPr>
          <w:i/>
        </w:rPr>
        <w:t>Tendrán la consideración de medio propio personificado respecto de dos o más poderes adjudicadores que sean independientes entre sí aquellas pers</w:t>
      </w:r>
      <w:r>
        <w:rPr>
          <w:i/>
        </w:rPr>
        <w:t xml:space="preserve">onas jurídicas, de derecho público o de derecho privado, que cumplan todos y cada uno de los requisitos que se establecen a continuación: </w:t>
      </w:r>
    </w:p>
    <w:p w:rsidR="00DA121A" w:rsidRDefault="00904DD6">
      <w:pPr>
        <w:spacing w:after="9" w:line="249" w:lineRule="auto"/>
        <w:ind w:left="10" w:right="146"/>
        <w:jc w:val="right"/>
      </w:pPr>
      <w:r>
        <w:rPr>
          <w:i/>
        </w:rPr>
        <w:t>a) Que los poderes adjudicadores que puedan conferirle encargos ejerzan sobre el ente desti-</w:t>
      </w:r>
    </w:p>
    <w:p w:rsidR="00DA121A" w:rsidRDefault="00904DD6">
      <w:pPr>
        <w:spacing w:after="172" w:line="248" w:lineRule="auto"/>
        <w:ind w:left="288" w:right="145"/>
      </w:pPr>
      <w:r>
        <w:rPr>
          <w:i/>
        </w:rPr>
        <w:t>natario del mismo un con</w:t>
      </w:r>
      <w:r>
        <w:rPr>
          <w:i/>
        </w:rPr>
        <w:t xml:space="preserve">trol conjunto análogo al que ostentarían sobre sus propios servicios o unidades. </w:t>
      </w:r>
    </w:p>
    <w:p w:rsidR="00DA121A" w:rsidRDefault="00904DD6">
      <w:pPr>
        <w:spacing w:after="350" w:line="249" w:lineRule="auto"/>
        <w:ind w:left="10" w:right="146"/>
        <w:jc w:val="right"/>
      </w:pPr>
      <w:r>
        <w:rPr>
          <w:i/>
        </w:rPr>
        <w:t xml:space="preserve">Se entenderá que existe control conjunto cuando se cumplan todas las condiciones siguientes: </w:t>
      </w:r>
    </w:p>
    <w:p w:rsidR="00DA121A" w:rsidRDefault="00904DD6">
      <w:pPr>
        <w:spacing w:after="172" w:line="248" w:lineRule="auto"/>
        <w:ind w:left="278" w:right="145" w:firstLine="360"/>
      </w:pPr>
      <w:r>
        <w:rPr>
          <w:i/>
        </w:rPr>
        <w:t>1.º Que en los órganos decisorios del ente destinatario del encargo estén repres</w:t>
      </w:r>
      <w:r>
        <w:rPr>
          <w:i/>
        </w:rPr>
        <w:t xml:space="preserve">entados todos los entes que puedan conferirle encargos, pudiendo cada representante representar a varios de estos últimos o a la totalidad de ellos. </w:t>
      </w:r>
    </w:p>
    <w:p w:rsidR="00DA121A" w:rsidRDefault="00904DD6">
      <w:pPr>
        <w:spacing w:after="172" w:line="248" w:lineRule="auto"/>
        <w:ind w:left="278" w:right="145" w:firstLine="360"/>
      </w:pPr>
      <w:r>
        <w:rPr>
          <w:i/>
        </w:rPr>
        <w:t>2.º Que estos últimos puedan ejercer directa y conjuntamente una influencia decisiva sobre los objetivos e</w:t>
      </w:r>
      <w:r>
        <w:rPr>
          <w:i/>
        </w:rPr>
        <w:t xml:space="preserve">stratégicos y sobre las decisiones significativas del ente destinatario del encargo. </w:t>
      </w:r>
    </w:p>
    <w:p w:rsidR="00DA121A" w:rsidRDefault="00904DD6">
      <w:pPr>
        <w:spacing w:after="354" w:line="248" w:lineRule="auto"/>
        <w:ind w:left="278" w:right="145" w:firstLine="360"/>
      </w:pPr>
      <w:r>
        <w:rPr>
          <w:i/>
        </w:rPr>
        <w:t xml:space="preserve">3.º Que el ente destinatario del encargo no persiga intereses contrarios a los intereses de los entes que puedan conferirle encargos. </w:t>
      </w:r>
    </w:p>
    <w:p w:rsidR="00DA121A" w:rsidRDefault="00904DD6">
      <w:pPr>
        <w:spacing w:after="172" w:line="248" w:lineRule="auto"/>
        <w:ind w:left="278" w:right="145" w:firstLine="360"/>
      </w:pPr>
      <w:r>
        <w:rPr>
          <w:i/>
        </w:rPr>
        <w:t>La compensación se establecerá, por referencia a tarifas aprobadas por la entidad pública de la que depende el medio propio personificado para las actividades objeto de encargo realizadas por el medio propio directamente y, en la forma que reglamentariamen</w:t>
      </w:r>
      <w:r>
        <w:rPr>
          <w:i/>
        </w:rPr>
        <w:t>te se determine, atendiendo al coste efectivo soportado por el medio propio para las actividades objeto del encargo que se subcontraten con empresarios particulares en los casos en que este coste sea inferior al resultante de aplicar las tarifas a las acti</w:t>
      </w:r>
      <w:r>
        <w:rPr>
          <w:i/>
        </w:rPr>
        <w:t xml:space="preserve">vidades subcontratadas. </w:t>
      </w:r>
    </w:p>
    <w:p w:rsidR="00DA121A" w:rsidRDefault="00904DD6">
      <w:pPr>
        <w:spacing w:after="172" w:line="248" w:lineRule="auto"/>
        <w:ind w:left="278" w:right="145" w:firstLine="360"/>
      </w:pPr>
      <w:r>
        <w:rPr>
          <w:i/>
        </w:rPr>
        <w:t xml:space="preserve">Dichas tarifas se calcularán de manera que representen los costes reales de realización de las unidades producidas directamente por el medio propio. </w:t>
      </w:r>
    </w:p>
    <w:p w:rsidR="00DA121A" w:rsidRDefault="00904DD6">
      <w:pPr>
        <w:numPr>
          <w:ilvl w:val="0"/>
          <w:numId w:val="95"/>
        </w:numPr>
        <w:spacing w:after="172" w:line="248" w:lineRule="auto"/>
        <w:ind w:right="145" w:firstLine="360"/>
      </w:pPr>
      <w:r>
        <w:rPr>
          <w:i/>
        </w:rPr>
        <w:t>Que más del 80 por ciento de las actividades del ente destinatario del encargo se</w:t>
      </w:r>
      <w:r>
        <w:rPr>
          <w:i/>
        </w:rPr>
        <w:t xml:space="preserve"> lleven a cabo en el ejercicio de los cometidos que le han sido confiados por los poderes adjudicadores que lo controlan o por otras personas jurídicas controladas por los mismos poderes adjudicadores. El cálculo del 80 por ciento se hará de acuerdo con lo</w:t>
      </w:r>
      <w:r>
        <w:rPr>
          <w:i/>
        </w:rPr>
        <w:t xml:space="preserve"> establecido en la letra b) del apartado 2 de este artículo. </w:t>
      </w:r>
    </w:p>
    <w:p w:rsidR="00DA121A" w:rsidRDefault="00904DD6">
      <w:pPr>
        <w:numPr>
          <w:ilvl w:val="0"/>
          <w:numId w:val="95"/>
        </w:numPr>
        <w:spacing w:after="172" w:line="248" w:lineRule="auto"/>
        <w:ind w:right="145" w:firstLine="360"/>
      </w:pPr>
      <w:r>
        <w:rPr>
          <w:i/>
        </w:rPr>
        <w:t xml:space="preserve">Que cumplan los requisitos que establece este artículo en su apartado 2 letras c) y d). </w:t>
      </w:r>
    </w:p>
    <w:p w:rsidR="00DA121A" w:rsidRDefault="00904DD6">
      <w:pPr>
        <w:numPr>
          <w:ilvl w:val="0"/>
          <w:numId w:val="96"/>
        </w:numPr>
        <w:spacing w:after="172" w:line="248" w:lineRule="auto"/>
        <w:ind w:right="145" w:firstLine="360"/>
      </w:pPr>
      <w:r>
        <w:rPr>
          <w:i/>
        </w:rPr>
        <w:t>(Suprimido)</w:t>
      </w:r>
      <w:r>
        <w:rPr>
          <w:rFonts w:ascii="Times New Roman" w:eastAsia="Times New Roman" w:hAnsi="Times New Roman" w:cs="Times New Roman"/>
          <w:sz w:val="24"/>
        </w:rPr>
        <w:t xml:space="preserve"> </w:t>
      </w:r>
    </w:p>
    <w:p w:rsidR="00DA121A" w:rsidRDefault="00904DD6">
      <w:pPr>
        <w:numPr>
          <w:ilvl w:val="0"/>
          <w:numId w:val="96"/>
        </w:numPr>
        <w:spacing w:after="352" w:line="248" w:lineRule="auto"/>
        <w:ind w:right="145" w:firstLine="360"/>
      </w:pPr>
      <w:r>
        <w:rPr>
          <w:i/>
        </w:rPr>
        <w:t>Los encargos que realicen las entidades del sector público a un ente que, de acuerdo con los</w:t>
      </w:r>
      <w:r>
        <w:rPr>
          <w:i/>
        </w:rPr>
        <w:t xml:space="preserve"> apartados segundo, tercero o cuarto de este artículo, pueda ser calificado como medio propio personificado del primero o primeros, no tendrán la consideración jurídica de contrato, debiendo únicamente cumplir las siguientes normas: </w:t>
      </w:r>
    </w:p>
    <w:p w:rsidR="00DA121A" w:rsidRDefault="00904DD6">
      <w:pPr>
        <w:numPr>
          <w:ilvl w:val="0"/>
          <w:numId w:val="97"/>
        </w:numPr>
        <w:spacing w:after="9" w:line="249" w:lineRule="auto"/>
        <w:ind w:right="145" w:firstLine="360"/>
      </w:pPr>
      <w:r>
        <w:rPr>
          <w:i/>
        </w:rPr>
        <w:t>El medio propio person</w:t>
      </w:r>
      <w:r>
        <w:rPr>
          <w:i/>
        </w:rPr>
        <w:t>ificado deberá haber publicado en la Plataforma de Contratación co-</w:t>
      </w:r>
    </w:p>
    <w:p w:rsidR="00DA121A" w:rsidRDefault="00904DD6">
      <w:pPr>
        <w:spacing w:after="172" w:line="248" w:lineRule="auto"/>
        <w:ind w:left="288" w:right="145"/>
      </w:pPr>
      <w:r>
        <w:rPr>
          <w:i/>
        </w:rPr>
        <w:t>rrespondiente su condición de tal; respecto de qué poderes adjudicadores la ostenta; y los sectores de actividad en los que, estando comprendidos en su objeto social, sería apto para ejecu</w:t>
      </w:r>
      <w:r>
        <w:rPr>
          <w:i/>
        </w:rPr>
        <w:t xml:space="preserve">tar las prestaciones que vayan a ser objeto de encargo. </w:t>
      </w:r>
    </w:p>
    <w:p w:rsidR="00DA121A" w:rsidRDefault="00904DD6">
      <w:pPr>
        <w:numPr>
          <w:ilvl w:val="0"/>
          <w:numId w:val="97"/>
        </w:numPr>
        <w:spacing w:after="172" w:line="248" w:lineRule="auto"/>
        <w:ind w:right="145" w:firstLine="360"/>
      </w:pPr>
      <w:r>
        <w:rPr>
          <w:i/>
        </w:rPr>
        <w:t>El encargo deberá ser objeto de formalización en un documento que será publicado en la Plataforma de Contratación correspondiente en los supuestos previstos del artículo 63.6. El documento de formali</w:t>
      </w:r>
      <w:r>
        <w:rPr>
          <w:i/>
        </w:rPr>
        <w:t xml:space="preserve">zación establecerá el plazo de duración del encargo. </w:t>
      </w:r>
    </w:p>
    <w:p w:rsidR="00DA121A" w:rsidRDefault="00904DD6">
      <w:pPr>
        <w:numPr>
          <w:ilvl w:val="0"/>
          <w:numId w:val="97"/>
        </w:numPr>
        <w:spacing w:after="354" w:line="248" w:lineRule="auto"/>
        <w:ind w:right="145" w:firstLine="360"/>
      </w:pPr>
      <w:r>
        <w:rPr>
          <w:i/>
        </w:rPr>
        <w:t xml:space="preserve">Los órganos de las entidades del sector público estatal que tengan la condición de poder adjudicador en virtud de lo dispuesto en el artículo </w:t>
      </w:r>
      <w:r>
        <w:rPr>
          <w:i/>
        </w:rPr>
        <w:t xml:space="preserve">3.3 de esta Ley, necesitarán autorización del Consejo de Ministros cuando el importe del gasto que se derive del encargo, sea igual o superior a doce millones de euros. </w:t>
      </w:r>
    </w:p>
    <w:p w:rsidR="00DA121A" w:rsidRDefault="00904DD6">
      <w:pPr>
        <w:spacing w:after="172" w:line="248" w:lineRule="auto"/>
        <w:ind w:left="278" w:right="145" w:firstLine="360"/>
      </w:pPr>
      <w:r>
        <w:rPr>
          <w:i/>
        </w:rPr>
        <w:t>La autorización del Consejo de Ministros a que se refiere el párrafo anterior deberá o</w:t>
      </w:r>
      <w:r>
        <w:rPr>
          <w:i/>
        </w:rPr>
        <w:t xml:space="preserve">btenerse antes de la suscripción del encargo por el órgano competente. Una vez obtenida la autorización, corresponderá a los órganos competentes la aprobación del gasto y suscripción del encargo, de conformidad con lo dispuesto en las respectivas normas. </w:t>
      </w:r>
    </w:p>
    <w:p w:rsidR="00DA121A" w:rsidRDefault="00904DD6">
      <w:pPr>
        <w:spacing w:after="180" w:line="238" w:lineRule="auto"/>
        <w:ind w:left="269" w:firstLine="350"/>
        <w:jc w:val="left"/>
      </w:pPr>
      <w:r>
        <w:rPr>
          <w:i/>
        </w:rPr>
        <w:t>A efectos de obtener la citada autorización, los órganos competentes deberán remitir al menos los siguientes documentos: el texto del encargo; el informe del servicio jurídico; así como el certificado de existencia de crédito o, tratándose de poderes adjud</w:t>
      </w:r>
      <w:r>
        <w:rPr>
          <w:i/>
        </w:rPr>
        <w:t xml:space="preserve">icadores con presupuesto estimativo, los documentos equivalentes que acrediten la existencia de financiación. </w:t>
      </w:r>
    </w:p>
    <w:p w:rsidR="00DA121A" w:rsidRDefault="00904DD6">
      <w:pPr>
        <w:spacing w:after="172" w:line="248" w:lineRule="auto"/>
        <w:ind w:left="278" w:right="145" w:firstLine="360"/>
      </w:pPr>
      <w:r>
        <w:rPr>
          <w:i/>
        </w:rPr>
        <w:t>Requerirán igualmente la previa autorización del Consejo de Ministros las modificaciones de encargos autorizados por el Consejo de Ministros, cua</w:t>
      </w:r>
      <w:r>
        <w:rPr>
          <w:i/>
        </w:rPr>
        <w:t xml:space="preserve">ndo superen el 20 por cien del importe del encargo. </w:t>
      </w:r>
    </w:p>
    <w:p w:rsidR="00DA121A" w:rsidRDefault="00904DD6">
      <w:pPr>
        <w:spacing w:after="172" w:line="248" w:lineRule="auto"/>
        <w:ind w:left="278" w:right="145" w:firstLine="360"/>
      </w:pPr>
      <w:r>
        <w:rPr>
          <w:i/>
        </w:rPr>
        <w:t>La autorización que otorgue el Consejo de Ministros será genérica para la suscripción del encargo, sin que en ningún caso implique una validación de los trámites realizados, ni exima de la responsabilida</w:t>
      </w:r>
      <w:r>
        <w:rPr>
          <w:i/>
        </w:rPr>
        <w:t xml:space="preserve">d que corresponda a las partes respecto de la correcta tramitación y realización del encargo. </w:t>
      </w:r>
    </w:p>
    <w:p w:rsidR="00DA121A" w:rsidRDefault="00904DD6">
      <w:pPr>
        <w:spacing w:after="354" w:line="248" w:lineRule="auto"/>
        <w:ind w:left="278" w:right="145" w:firstLine="360"/>
      </w:pPr>
      <w:r>
        <w:rPr>
          <w:i/>
        </w:rPr>
        <w:t>7. A los negocios jurídicos que los entes destinatarios del encargo celebren en ejecución del encargo recibido de conformidad con el presente artículo, se le apl</w:t>
      </w:r>
      <w:r>
        <w:rPr>
          <w:i/>
        </w:rPr>
        <w:t xml:space="preserve">icarán las siguientes reglas: </w:t>
      </w:r>
    </w:p>
    <w:p w:rsidR="00DA121A" w:rsidRDefault="00904DD6">
      <w:pPr>
        <w:numPr>
          <w:ilvl w:val="0"/>
          <w:numId w:val="98"/>
        </w:numPr>
        <w:spacing w:after="9" w:line="249" w:lineRule="auto"/>
        <w:ind w:right="146" w:firstLine="360"/>
      </w:pPr>
      <w:r>
        <w:rPr>
          <w:i/>
        </w:rPr>
        <w:t xml:space="preserve">El contrato quedará sometido a esta Ley, en los términos que sean procedentes, de acuerdo </w:t>
      </w:r>
    </w:p>
    <w:p w:rsidR="00DA121A" w:rsidRDefault="00904DD6">
      <w:pPr>
        <w:spacing w:after="172" w:line="248" w:lineRule="auto"/>
        <w:ind w:left="288" w:right="145"/>
      </w:pPr>
      <w:r>
        <w:rPr>
          <w:i/>
        </w:rPr>
        <w:t>con la naturaleza de la entidad que los celebre y el tipo y valor estimado de los mismos y, en todo caso, cuando el medio propio no se</w:t>
      </w:r>
      <w:r>
        <w:rPr>
          <w:i/>
        </w:rPr>
        <w:t xml:space="preserve">a un poder adjudicador se le aplicarán las normas contenidas en el Título I del Libro Tercero de la presente Ley. </w:t>
      </w:r>
    </w:p>
    <w:p w:rsidR="00DA121A" w:rsidRDefault="00904DD6">
      <w:pPr>
        <w:numPr>
          <w:ilvl w:val="0"/>
          <w:numId w:val="98"/>
        </w:numPr>
        <w:spacing w:after="172" w:line="248" w:lineRule="auto"/>
        <w:ind w:right="146" w:firstLine="360"/>
      </w:pPr>
      <w:r>
        <w:rPr>
          <w:i/>
        </w:rPr>
        <w:t>El importe de las prestaciones parciales que el medio propio pueda contratar con terceros no excederá del 50 por ciento de la cuantía del enc</w:t>
      </w:r>
      <w:r>
        <w:rPr>
          <w:i/>
        </w:rPr>
        <w:t xml:space="preserve">argo. No se considerarán prestaciones parciales aquellas que el medio propio adquiera a otras empresas cuando se trate de suministros o servicios auxiliares o instrumentales que no constituyen una parte autónoma y diferenciable de la prestación principal, </w:t>
      </w:r>
      <w:r>
        <w:rPr>
          <w:i/>
        </w:rPr>
        <w:t xml:space="preserve">aunque sean parte del proceso necesario para producir dicha prestación. </w:t>
      </w:r>
    </w:p>
    <w:p w:rsidR="00DA121A" w:rsidRDefault="00904DD6">
      <w:pPr>
        <w:spacing w:after="172" w:line="248" w:lineRule="auto"/>
        <w:ind w:left="278" w:right="145" w:firstLine="360"/>
      </w:pPr>
      <w:r>
        <w:rPr>
          <w:i/>
        </w:rPr>
        <w:t xml:space="preserve">No será aplicable lo establecido en esta letra a los contratos de obras que celebren los medios propios a los que se les haya encargado una concesión, ya sea de obras o de servicios. </w:t>
      </w:r>
      <w:r>
        <w:rPr>
          <w:i/>
        </w:rPr>
        <w:t>Igualmente, no será de aplicación en los supuestos en los que la gestión del servicio público se efectúe mediante la creación de entidades de derecho público destinadas a este fin, ni a aquellos en que la misma se atribuya a una sociedad de derecho privado</w:t>
      </w:r>
      <w:r>
        <w:rPr>
          <w:i/>
        </w:rPr>
        <w:t xml:space="preserve"> cuyo capital sea, en su totalidad, de titularidad pública. </w:t>
      </w:r>
    </w:p>
    <w:p w:rsidR="00DA121A" w:rsidRDefault="00904DD6">
      <w:pPr>
        <w:spacing w:after="172" w:line="248" w:lineRule="auto"/>
        <w:ind w:left="278" w:right="145" w:firstLine="360"/>
      </w:pPr>
      <w:r>
        <w:rPr>
          <w:i/>
        </w:rPr>
        <w:t>Tampoco será aplicable a los contratos que celebren los medios propios a los que se les haya encargado la prestación de servicios informáticos y tecnológicos a la Administración Pública con el fi</w:t>
      </w:r>
      <w:r>
        <w:rPr>
          <w:i/>
        </w:rPr>
        <w:t>n de garantizar la compatibilidad, la comunicabilidad y la seguridad de redes y sistemas, la integridad, fiabilidad y confidencialidad de la información, así como a los que celebren los medios propios cuyas funciones sean el fomento de las telecomunicacion</w:t>
      </w:r>
      <w:r>
        <w:rPr>
          <w:i/>
        </w:rPr>
        <w:t xml:space="preserve">es, el desarrollo de la sociedad de la información y sociedad digital. </w:t>
      </w:r>
    </w:p>
    <w:p w:rsidR="00DA121A" w:rsidRDefault="00904DD6">
      <w:pPr>
        <w:spacing w:after="172" w:line="248" w:lineRule="auto"/>
        <w:ind w:left="278" w:right="145" w:firstLine="360"/>
      </w:pPr>
      <w:r>
        <w:rPr>
          <w:i/>
        </w:rPr>
        <w:t>Excepcionalmente podrá superarse dicho porcentaje de contratación siempre que el encargo al medio propio se base en razones de seguridad, en la naturaleza de la prestación que requiera</w:t>
      </w:r>
      <w:r>
        <w:rPr>
          <w:i/>
        </w:rPr>
        <w:t xml:space="preserve"> un mayor control en la ejecución de la misma, o en razones de urgencia que demanden una mayor celeridad en su ejecución. La justificación de que concurren estas circunstancias se acompañará al documento de formalización del encargo y se publicará en la Pl</w:t>
      </w:r>
      <w:r>
        <w:rPr>
          <w:i/>
        </w:rPr>
        <w:t xml:space="preserve">ataforma de Contratación correspondiente conjuntamente con éste. </w:t>
      </w:r>
    </w:p>
    <w:p w:rsidR="00DA121A" w:rsidRDefault="00904DD6">
      <w:pPr>
        <w:spacing w:after="98" w:line="259" w:lineRule="auto"/>
        <w:ind w:left="644" w:firstLine="0"/>
        <w:jc w:val="left"/>
      </w:pPr>
      <w:r>
        <w:t xml:space="preserve"> </w:t>
      </w:r>
    </w:p>
    <w:p w:rsidR="00DA121A" w:rsidRDefault="00904DD6">
      <w:pPr>
        <w:spacing w:after="169"/>
        <w:ind w:left="654" w:right="146"/>
      </w:pPr>
      <w:r>
        <w:t xml:space="preserve">Es de aplicación el artículo 47 de la Ley de Bases del Régimen local: </w:t>
      </w:r>
    </w:p>
    <w:p w:rsidR="00DA121A" w:rsidRDefault="00904DD6">
      <w:pPr>
        <w:numPr>
          <w:ilvl w:val="0"/>
          <w:numId w:val="99"/>
        </w:numPr>
        <w:spacing w:after="172" w:line="248" w:lineRule="auto"/>
        <w:ind w:right="145" w:firstLine="360"/>
      </w:pPr>
      <w:r>
        <w:rPr>
          <w:i/>
        </w:rPr>
        <w:t xml:space="preserve">Los acuerdos de las corporaciones locales se adoptan, como regla general, por mayoría simple de los miembros presentes. Existe mayoría simple cuando los votos afirmativos son más que los negativos. </w:t>
      </w:r>
    </w:p>
    <w:p w:rsidR="00DA121A" w:rsidRDefault="00904DD6">
      <w:pPr>
        <w:numPr>
          <w:ilvl w:val="0"/>
          <w:numId w:val="99"/>
        </w:numPr>
        <w:spacing w:after="172" w:line="248" w:lineRule="auto"/>
        <w:ind w:right="145" w:firstLine="360"/>
      </w:pPr>
      <w:r>
        <w:rPr>
          <w:i/>
        </w:rPr>
        <w:t xml:space="preserve">Se requiere el voto favorable de la mayoría absoluta del </w:t>
      </w:r>
      <w:r>
        <w:rPr>
          <w:i/>
        </w:rPr>
        <w:t xml:space="preserve">número legal de miembros de las corporaciones para la adopción de acuerdos en las siguientes materias: </w:t>
      </w:r>
    </w:p>
    <w:p w:rsidR="00DA121A" w:rsidRDefault="00904DD6">
      <w:pPr>
        <w:spacing w:after="172" w:line="248" w:lineRule="auto"/>
        <w:ind w:left="278" w:right="145" w:firstLine="360"/>
      </w:pPr>
      <w:r>
        <w:rPr>
          <w:i/>
        </w:rPr>
        <w:t>h) Transferencia de funciones o actividades a otras Administraciones públicas, así como la aceptación de las delegaciones o encomiendas de gestión reali</w:t>
      </w:r>
      <w:r>
        <w:rPr>
          <w:i/>
        </w:rPr>
        <w:t>zadas por otras administraciones, salvo que por ley se impongan obligatoriamente.</w:t>
      </w:r>
      <w:r>
        <w:rPr>
          <w:rFonts w:ascii="Times New Roman" w:eastAsia="Times New Roman" w:hAnsi="Times New Roman" w:cs="Times New Roman"/>
          <w:sz w:val="24"/>
        </w:rPr>
        <w:t xml:space="preserve"> </w:t>
      </w:r>
    </w:p>
    <w:p w:rsidR="00DA121A" w:rsidRDefault="00904DD6">
      <w:pPr>
        <w:spacing w:after="98" w:line="259" w:lineRule="auto"/>
        <w:ind w:left="644" w:firstLine="0"/>
        <w:jc w:val="left"/>
      </w:pPr>
      <w:r>
        <w:t xml:space="preserve"> </w:t>
      </w:r>
    </w:p>
    <w:p w:rsidR="00DA121A" w:rsidRDefault="00904DD6">
      <w:pPr>
        <w:spacing w:after="136"/>
        <w:ind w:left="2420" w:right="146"/>
      </w:pPr>
      <w:r>
        <w:t xml:space="preserve">          PROPUESTA DE ACUERDO </w:t>
      </w:r>
    </w:p>
    <w:p w:rsidR="00DA121A" w:rsidRDefault="00904DD6">
      <w:pPr>
        <w:spacing w:after="114"/>
        <w:ind w:left="288" w:right="146"/>
      </w:pPr>
      <w:r>
        <w:t>Primero. - Encomendar a la entidad “Gestión y Planeamiento Territorial y Medioambiental, SA (GESPLAN), adscrita a la Consejería de Transici</w:t>
      </w:r>
      <w:r>
        <w:t xml:space="preserve">ón Ecológica, Lucha contra el Cambio Climático y Planificación Territorial del Gobierno de Canarias, la redacción del proyecto Plan Especial Parque periurbano La Vera de Igueste, T.M. de Candelaria con unos plazos de ejecución de la redacción del proyecto </w:t>
      </w:r>
      <w:r>
        <w:t xml:space="preserve">y del presupuesto del contrato de servicios que son los siguientes: </w:t>
      </w:r>
    </w:p>
    <w:p w:rsidR="00DA121A" w:rsidRDefault="00904DD6">
      <w:pPr>
        <w:spacing w:after="0" w:line="259" w:lineRule="auto"/>
        <w:ind w:left="284" w:firstLine="0"/>
        <w:jc w:val="left"/>
      </w:pPr>
      <w:r>
        <w:t xml:space="preserve"> </w:t>
      </w:r>
    </w:p>
    <w:p w:rsidR="00DA121A" w:rsidRDefault="00904DD6">
      <w:pPr>
        <w:spacing w:after="112"/>
        <w:ind w:left="288" w:right="146"/>
      </w:pPr>
      <w:r>
        <w:t xml:space="preserve">FASE 1- DOCUMENTO BORRADOR Y DOCUMENTO INICIAL ESTRATÉGICO Plazo estimado de redacción: 5 meses  </w:t>
      </w:r>
    </w:p>
    <w:p w:rsidR="00DA121A" w:rsidRDefault="00904DD6">
      <w:pPr>
        <w:ind w:left="288" w:right="146"/>
      </w:pPr>
      <w:r>
        <w:t xml:space="preserve">FASE 2 – DOCUMENTO PARA APROBACIÓN INICIAL Y ESTUDIO AMBIENTAL ESTRATÉGICO </w:t>
      </w:r>
    </w:p>
    <w:p w:rsidR="00DA121A" w:rsidRDefault="00904DD6">
      <w:pPr>
        <w:spacing w:after="112"/>
        <w:ind w:left="288" w:right="146"/>
      </w:pPr>
      <w:r>
        <w:t>Plazo estim</w:t>
      </w:r>
      <w:r>
        <w:t xml:space="preserve">ado de redacción: 3 meses  </w:t>
      </w:r>
    </w:p>
    <w:p w:rsidR="00DA121A" w:rsidRDefault="00904DD6">
      <w:pPr>
        <w:spacing w:after="112"/>
        <w:ind w:left="288" w:right="146"/>
      </w:pPr>
      <w:r>
        <w:t>FASE 3 – DOCUMENTO VERSION DEFINITIVA DEL PLAN PARA APROBACIÓN DEFINITIVA Plazo estimado de redacción: 2 meses Los plazos necesarios de tramitación quedan fuera del plazo ofertado para la entrega de los documentos por parte de G</w:t>
      </w:r>
      <w:r>
        <w:t xml:space="preserve">esplan.  </w:t>
      </w:r>
    </w:p>
    <w:p w:rsidR="00DA121A" w:rsidRDefault="00904DD6">
      <w:pPr>
        <w:spacing w:after="112"/>
        <w:ind w:left="288" w:right="146"/>
      </w:pPr>
      <w:r>
        <w:t xml:space="preserve">La propuesta de plazos y económica se realiza en el supuesto de una única información pública tras la aprobación inicial. Propuesta económica Ayuntamiento de Candelaria 6 6. Propuesta económica  </w:t>
      </w:r>
    </w:p>
    <w:p w:rsidR="00DA121A" w:rsidRDefault="00904DD6">
      <w:pPr>
        <w:spacing w:after="106"/>
        <w:ind w:left="288" w:right="146"/>
      </w:pPr>
      <w:r>
        <w:t xml:space="preserve">El importe total de la propuesta asciende a la cantidad de CINCUENTA Y UN MIL OCHOCIENTOS SESENTA Y CUATRO EUROS Y TREINTA Y CINCO CÉNTIMOS (51.864,35 €) </w:t>
      </w:r>
    </w:p>
    <w:p w:rsidR="00DA121A" w:rsidRDefault="00904DD6">
      <w:pPr>
        <w:spacing w:after="133" w:line="259" w:lineRule="auto"/>
        <w:ind w:left="284" w:firstLine="0"/>
        <w:jc w:val="left"/>
      </w:pPr>
      <w:r>
        <w:t xml:space="preserve"> </w:t>
      </w:r>
    </w:p>
    <w:p w:rsidR="00DA121A" w:rsidRDefault="00904DD6">
      <w:pPr>
        <w:spacing w:after="112"/>
        <w:ind w:left="288" w:right="146"/>
      </w:pPr>
      <w:r>
        <w:t>Segundo. - Notificar el presente acuerdo a la entidad “Gestión y Planeamiento Territorial y Medioam</w:t>
      </w:r>
      <w:r>
        <w:t xml:space="preserve">biental, SA (GESPLAN). </w:t>
      </w:r>
    </w:p>
    <w:p w:rsidR="00DA121A" w:rsidRDefault="00904DD6">
      <w:pPr>
        <w:spacing w:after="98" w:line="259" w:lineRule="auto"/>
        <w:ind w:left="284" w:firstLine="0"/>
        <w:jc w:val="left"/>
      </w:pPr>
      <w:r>
        <w:t xml:space="preserve"> </w:t>
      </w:r>
    </w:p>
    <w:p w:rsidR="00DA121A" w:rsidRDefault="00904DD6">
      <w:pPr>
        <w:spacing w:after="144"/>
        <w:ind w:left="1426" w:right="144"/>
      </w:pPr>
      <w:r>
        <w:rPr>
          <w:b/>
        </w:rPr>
        <w:t xml:space="preserve">Esta Alcaldía-Presidencia eleva al PLENO el siguiente ACUERDO: </w:t>
      </w:r>
    </w:p>
    <w:p w:rsidR="00DA121A" w:rsidRDefault="00904DD6">
      <w:pPr>
        <w:spacing w:after="114"/>
        <w:ind w:left="279" w:right="144"/>
      </w:pPr>
      <w:r>
        <w:rPr>
          <w:b/>
        </w:rPr>
        <w:t xml:space="preserve">Primero. - Encomendar a la entidad “Gestión y Planeamiento Territorial y Medioambiental, SA (GESPLAN), adscrita a la Consejería de Transición Ecológica, Lucha contra </w:t>
      </w:r>
      <w:r>
        <w:rPr>
          <w:b/>
        </w:rPr>
        <w:t>el Cambio Climático y Planificación Territorial del Gobierno de Canarias, la redacción del proyecto Plan Especial Parque periurbano La Vera de Igueste, T.M. de Candelaria con unos plazos de ejecución de la redacción del proyecto y del presupuesto del contr</w:t>
      </w:r>
      <w:r>
        <w:rPr>
          <w:b/>
        </w:rPr>
        <w:t xml:space="preserve">ato de servicios que son los siguientes: </w:t>
      </w:r>
    </w:p>
    <w:p w:rsidR="00DA121A" w:rsidRDefault="00904DD6">
      <w:pPr>
        <w:spacing w:after="100" w:line="259" w:lineRule="auto"/>
        <w:ind w:left="284" w:firstLine="0"/>
        <w:jc w:val="left"/>
      </w:pPr>
      <w:r>
        <w:rPr>
          <w:b/>
        </w:rPr>
        <w:t xml:space="preserve"> </w:t>
      </w:r>
    </w:p>
    <w:p w:rsidR="00DA121A" w:rsidRDefault="00904DD6">
      <w:pPr>
        <w:spacing w:after="115"/>
        <w:ind w:left="288" w:right="146"/>
      </w:pPr>
      <w:r>
        <w:t xml:space="preserve">FASE 1- DOCUMENTO BORRADOR Y DOCUMENTO INICIAL ESTRATÉGICO Plazo estimado de redacción: 5 meses  </w:t>
      </w:r>
    </w:p>
    <w:p w:rsidR="00DA121A" w:rsidRDefault="00904DD6">
      <w:pPr>
        <w:ind w:left="288" w:right="146"/>
      </w:pPr>
      <w:r>
        <w:t xml:space="preserve">FASE 2 – DOCUMENTO PARA APROBACIÓN INICIAL Y ESTUDIO AMBIENTAL ESTRATÉGICO </w:t>
      </w:r>
    </w:p>
    <w:p w:rsidR="00DA121A" w:rsidRDefault="00904DD6">
      <w:pPr>
        <w:spacing w:after="112"/>
        <w:ind w:left="288" w:right="146"/>
      </w:pPr>
      <w:r>
        <w:t xml:space="preserve">Plazo estimado de redacción: 3 meses  </w:t>
      </w:r>
    </w:p>
    <w:p w:rsidR="00DA121A" w:rsidRDefault="00904DD6">
      <w:pPr>
        <w:spacing w:after="114"/>
        <w:ind w:left="288" w:right="146"/>
      </w:pPr>
      <w:r>
        <w:t xml:space="preserve">FASE 3 – DOCUMENTO VERSION DEFINITIVA DEL PLAN PARA APROBACIÓN DEFINITIVA Plazo estimado de redacción: 2 meses Los plazos necesarios de tramitación quedan fuera del plazo ofertado para la entrega de los documentos por parte de Gesplan.  </w:t>
      </w:r>
    </w:p>
    <w:p w:rsidR="00DA121A" w:rsidRDefault="00904DD6">
      <w:pPr>
        <w:spacing w:after="112"/>
        <w:ind w:left="288" w:right="146"/>
      </w:pPr>
      <w:r>
        <w:t>La propuesta de p</w:t>
      </w:r>
      <w:r>
        <w:t xml:space="preserve">lazos y económica se realiza en el supuesto de una única información pública tras la aprobación inicial. Propuesta económica Ayuntamiento de Candelaria 6 6. Propuesta económica  </w:t>
      </w:r>
    </w:p>
    <w:p w:rsidR="00DA121A" w:rsidRDefault="00904DD6">
      <w:pPr>
        <w:spacing w:after="138"/>
        <w:ind w:left="288" w:right="146"/>
      </w:pPr>
      <w:r>
        <w:t xml:space="preserve">El importe total de la propuesta asciende a la cantidad de CINCUENTA Y UN </w:t>
      </w:r>
      <w:r>
        <w:t xml:space="preserve">MIL OCHOCIENTOS SESENTA Y CUATRO EUROS Y TREINTA Y CINCO CÉNTIMOS (51.864,35 €) </w:t>
      </w:r>
    </w:p>
    <w:p w:rsidR="00DA121A" w:rsidRDefault="00904DD6">
      <w:pPr>
        <w:spacing w:after="134"/>
        <w:ind w:left="279" w:right="144"/>
      </w:pPr>
      <w:r>
        <w:rPr>
          <w:b/>
        </w:rPr>
        <w:t xml:space="preserve">Segundo. - Notificar el presente acuerdo a la entidad “Gestión y Planeamiento Territorial y Medioambiental, SA (GESPLAN).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DICTAMEN FAVORABLE DE LA COMISIÓN INFORMATIVA </w:t>
      </w:r>
      <w:r>
        <w:rPr>
          <w:b/>
        </w:rPr>
        <w:t xml:space="preserve">DE P.G. URBANÍSTICA Y AMBIENTAL, OBRAS y SERVICIOS PÚBLICOS DE 27 DE MARZO DE 2023.  </w:t>
      </w:r>
    </w:p>
    <w:p w:rsidR="00DA121A" w:rsidRDefault="00904DD6">
      <w:pPr>
        <w:spacing w:after="0" w:line="259" w:lineRule="auto"/>
        <w:ind w:left="284" w:firstLine="0"/>
        <w:jc w:val="left"/>
      </w:pPr>
      <w:r>
        <w:rPr>
          <w:b/>
        </w:rPr>
        <w:t xml:space="preserve"> </w:t>
      </w:r>
    </w:p>
    <w:p w:rsidR="00DA121A" w:rsidRDefault="00904DD6">
      <w:pPr>
        <w:ind w:left="288" w:right="146"/>
      </w:pPr>
      <w:r>
        <w:t xml:space="preserve">Votos a favor: 4. </w:t>
      </w:r>
    </w:p>
    <w:p w:rsidR="00DA121A" w:rsidRDefault="00904DD6">
      <w:pPr>
        <w:spacing w:after="0" w:line="259" w:lineRule="auto"/>
        <w:ind w:left="284" w:firstLine="0"/>
        <w:jc w:val="left"/>
      </w:pPr>
      <w:r>
        <w:t xml:space="preserve"> </w:t>
      </w:r>
    </w:p>
    <w:p w:rsidR="00DA121A" w:rsidRDefault="00904DD6">
      <w:pPr>
        <w:ind w:left="288" w:right="146"/>
      </w:pPr>
      <w:r>
        <w:t xml:space="preserve">Los 4 concejales del Grupo Socialista:  Don Reinaldo José Triviño Blanco, Doña Hilaria Cecilia </w:t>
      </w:r>
    </w:p>
    <w:p w:rsidR="00DA121A" w:rsidRDefault="00904DD6">
      <w:pPr>
        <w:tabs>
          <w:tab w:val="center" w:pos="578"/>
          <w:tab w:val="center" w:pos="2003"/>
          <w:tab w:val="center" w:pos="3404"/>
          <w:tab w:val="center" w:pos="4771"/>
          <w:tab w:val="center" w:pos="6064"/>
          <w:tab w:val="center" w:pos="7289"/>
          <w:tab w:val="center" w:pos="8714"/>
          <w:tab w:val="right" w:pos="10005"/>
        </w:tabs>
        <w:ind w:left="0" w:firstLine="0"/>
        <w:jc w:val="left"/>
      </w:pPr>
      <w:r>
        <w:rPr>
          <w:rFonts w:ascii="Calibri" w:eastAsia="Calibri" w:hAnsi="Calibri" w:cs="Calibri"/>
        </w:rPr>
        <w:tab/>
      </w:r>
      <w:r>
        <w:t xml:space="preserve">Otazo </w:t>
      </w:r>
      <w:r>
        <w:tab/>
        <w:t xml:space="preserve">González, </w:t>
      </w:r>
      <w:r>
        <w:tab/>
        <w:t xml:space="preserve">Doña </w:t>
      </w:r>
      <w:r>
        <w:tab/>
        <w:t xml:space="preserve">Margarita </w:t>
      </w:r>
      <w:r>
        <w:tab/>
        <w:t xml:space="preserve">Eva </w:t>
      </w:r>
      <w:r>
        <w:tab/>
        <w:t xml:space="preserve">Tendero </w:t>
      </w:r>
      <w:r>
        <w:tab/>
        <w:t>B</w:t>
      </w:r>
      <w:r>
        <w:t xml:space="preserve">arroso </w:t>
      </w:r>
      <w:r>
        <w:tab/>
        <w:t xml:space="preserve">y  </w:t>
      </w:r>
    </w:p>
    <w:p w:rsidR="00DA121A" w:rsidRDefault="00904DD6">
      <w:pPr>
        <w:ind w:left="288" w:right="146"/>
      </w:pPr>
      <w:r>
        <w:t xml:space="preserve">Don Jorge Baute Delgado. </w:t>
      </w:r>
    </w:p>
    <w:p w:rsidR="00DA121A" w:rsidRDefault="00904DD6">
      <w:pPr>
        <w:spacing w:after="0" w:line="259" w:lineRule="auto"/>
        <w:ind w:left="284" w:firstLine="0"/>
        <w:jc w:val="left"/>
      </w:pPr>
      <w:r>
        <w:t xml:space="preserve"> </w:t>
      </w:r>
    </w:p>
    <w:p w:rsidR="00DA121A" w:rsidRDefault="00904DD6">
      <w:pPr>
        <w:ind w:left="288" w:right="146"/>
      </w:pPr>
      <w:r>
        <w:t xml:space="preserve">Votos en contra: 0. </w:t>
      </w:r>
    </w:p>
    <w:p w:rsidR="00DA121A" w:rsidRDefault="00904DD6">
      <w:pPr>
        <w:spacing w:after="0" w:line="259" w:lineRule="auto"/>
        <w:ind w:left="284" w:firstLine="0"/>
        <w:jc w:val="left"/>
      </w:pPr>
      <w:r>
        <w:t xml:space="preserve"> </w:t>
      </w:r>
    </w:p>
    <w:p w:rsidR="00DA121A" w:rsidRDefault="00904DD6">
      <w:pPr>
        <w:ind w:left="288" w:right="146"/>
      </w:pPr>
      <w:r>
        <w:t xml:space="preserve">Abstenciones: 3. </w:t>
      </w:r>
    </w:p>
    <w:p w:rsidR="00DA121A" w:rsidRDefault="00904DD6">
      <w:pPr>
        <w:spacing w:after="0" w:line="259" w:lineRule="auto"/>
        <w:ind w:left="284" w:firstLine="0"/>
        <w:jc w:val="left"/>
      </w:pPr>
      <w:r>
        <w:t xml:space="preserve"> </w:t>
      </w:r>
    </w:p>
    <w:p w:rsidR="00DA121A" w:rsidRDefault="00904DD6">
      <w:pPr>
        <w:ind w:left="288" w:right="146"/>
      </w:pPr>
      <w:r>
        <w:t xml:space="preserve">El concejal del Grupo Popular, Don Jacobo López Fariña. </w:t>
      </w:r>
    </w:p>
    <w:p w:rsidR="00DA121A" w:rsidRDefault="00904DD6">
      <w:pPr>
        <w:spacing w:after="0" w:line="259" w:lineRule="auto"/>
        <w:ind w:left="284" w:firstLine="0"/>
        <w:jc w:val="left"/>
      </w:pPr>
      <w:r>
        <w:t xml:space="preserve"> </w:t>
      </w:r>
    </w:p>
    <w:p w:rsidR="00DA121A" w:rsidRDefault="00904DD6">
      <w:pPr>
        <w:ind w:left="288" w:right="146"/>
      </w:pPr>
      <w:r>
        <w:t>La concejal del Grupo Mixto (SSP), Doña Lourdes del Carmen Mondéjar Rondón.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La concejal del Grupo Mixto (CC-</w:t>
      </w:r>
      <w:r>
        <w:t xml:space="preserve">PNC): Doña Ángela Cruz Perera.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3464"/>
      </w:pPr>
      <w:r>
        <w:rPr>
          <w:b/>
        </w:rPr>
        <w:t xml:space="preserve">JUNTA DE PORTAVOCES DE 27 DE MARZO DE 2023  </w:t>
      </w:r>
      <w:r>
        <w:t xml:space="preserve">Quedó oída.  </w:t>
      </w:r>
    </w:p>
    <w:p w:rsidR="00DA121A" w:rsidRDefault="00904DD6">
      <w:pPr>
        <w:spacing w:after="0" w:line="259" w:lineRule="auto"/>
        <w:ind w:left="284" w:firstLine="0"/>
        <w:jc w:val="left"/>
      </w:pPr>
      <w:r>
        <w:rPr>
          <w:b/>
        </w:rPr>
        <w:t xml:space="preserve"> </w:t>
      </w:r>
    </w:p>
    <w:p w:rsidR="00DA121A" w:rsidRDefault="00904DD6">
      <w:pPr>
        <w:spacing w:after="4"/>
        <w:ind w:left="1002" w:right="144"/>
      </w:pPr>
      <w:r>
        <w:rPr>
          <w:b/>
        </w:rPr>
        <w:t xml:space="preserve">TOMA DE CONOCIMIENTO EN EL PLENO DE  30 DE MARZO DE 2023 </w:t>
      </w:r>
    </w:p>
    <w:p w:rsidR="00DA121A" w:rsidRDefault="00904DD6">
      <w:pPr>
        <w:spacing w:after="0" w:line="259" w:lineRule="auto"/>
        <w:ind w:left="186" w:firstLine="0"/>
        <w:jc w:val="center"/>
      </w:pPr>
      <w:r>
        <w:rPr>
          <w:b/>
        </w:rPr>
        <w:t xml:space="preserve"> </w:t>
      </w:r>
    </w:p>
    <w:p w:rsidR="00DA121A" w:rsidRDefault="00904DD6">
      <w:pPr>
        <w:tabs>
          <w:tab w:val="center" w:pos="284"/>
          <w:tab w:val="center" w:pos="3431"/>
        </w:tabs>
        <w:ind w:left="0" w:firstLine="0"/>
        <w:jc w:val="left"/>
      </w:pPr>
      <w:r>
        <w:rPr>
          <w:rFonts w:ascii="Calibri" w:eastAsia="Calibri" w:hAnsi="Calibri" w:cs="Calibri"/>
        </w:rPr>
        <w:tab/>
      </w:r>
      <w:r>
        <w:t xml:space="preserve"> </w:t>
      </w:r>
      <w:r>
        <w:tab/>
        <w:t xml:space="preserve">Los 18 concejales presentes quedaron enterados: </w:t>
      </w:r>
    </w:p>
    <w:p w:rsidR="00DA121A" w:rsidRDefault="00904DD6">
      <w:pPr>
        <w:ind w:left="288" w:right="146"/>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DA121A" w:rsidRDefault="00904DD6">
      <w:pPr>
        <w:spacing w:after="0" w:line="259" w:lineRule="auto"/>
        <w:ind w:left="284" w:firstLine="0"/>
        <w:jc w:val="left"/>
      </w:pPr>
      <w:r>
        <w:t xml:space="preserve"> </w:t>
      </w:r>
    </w:p>
    <w:p w:rsidR="00DA121A" w:rsidRDefault="00904DD6">
      <w:pPr>
        <w:ind w:left="288" w:right="146"/>
      </w:pPr>
      <w:r>
        <w:t>3 concejales del Grupo Popular: Don Jacobo López Fariña, Doña Raquel Martín Castro y Don David Cr</w:t>
      </w:r>
      <w:r>
        <w:t>ego Cháves.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2 de los concejales del Grupo Mixto (CC-PNC): Doña Ángela Cruz Perera y Don Emilio Jesús Atiénzar Armas.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(Cs), Doña Marta Plasencia Gutiérrez.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(VxC): Doña Alicia Mercedes Marrero Meneses.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0" w:line="262" w:lineRule="auto"/>
        <w:ind w:left="1228" w:right="1095"/>
        <w:jc w:val="center"/>
      </w:pPr>
      <w:r>
        <w:rPr>
          <w:b/>
        </w:rPr>
        <w:t xml:space="preserve">ACUERDO DEL PLENO DE 30 DE MARZO DE 2023. </w:t>
      </w:r>
    </w:p>
    <w:p w:rsidR="00DA121A" w:rsidRDefault="00904DD6">
      <w:pPr>
        <w:spacing w:after="98" w:line="259" w:lineRule="auto"/>
        <w:ind w:left="284" w:firstLine="0"/>
        <w:jc w:val="left"/>
      </w:pPr>
      <w:r>
        <w:t xml:space="preserve"> </w:t>
      </w:r>
    </w:p>
    <w:p w:rsidR="00DA121A" w:rsidRDefault="00904DD6">
      <w:pPr>
        <w:spacing w:after="124" w:line="259" w:lineRule="auto"/>
        <w:ind w:left="284" w:firstLine="0"/>
        <w:jc w:val="left"/>
      </w:pPr>
      <w:r>
        <w:t xml:space="preserve"> </w:t>
      </w:r>
    </w:p>
    <w:p w:rsidR="00DA121A" w:rsidRDefault="00904DD6">
      <w:pPr>
        <w:spacing w:after="111"/>
        <w:ind w:left="279" w:right="144"/>
      </w:pPr>
      <w:r>
        <w:rPr>
          <w:b/>
        </w:rPr>
        <w:t>Primero. - Encomendar a la entidad “Gestión y Planeamiento Territorial y Medioambiental, SA (GESPLAN), adscrita a la Con</w:t>
      </w:r>
      <w:r>
        <w:rPr>
          <w:b/>
        </w:rPr>
        <w:t>sejería de Transición Ecológica, Lucha contra el Cambio Climático y Planificación Territorial del Gobierno de Canarias, la redacción del proyecto Plan Especial Parque periurbano La Vera de Igueste, T.M. de Candelaria con unos plazos de ejecución de la reda</w:t>
      </w:r>
      <w:r>
        <w:rPr>
          <w:b/>
        </w:rPr>
        <w:t xml:space="preserve">cción del proyecto y del presupuesto del contrato de servicios que son los siguientes: </w:t>
      </w:r>
    </w:p>
    <w:p w:rsidR="00DA121A" w:rsidRDefault="00904DD6">
      <w:pPr>
        <w:spacing w:after="100" w:line="259" w:lineRule="auto"/>
        <w:ind w:left="284" w:firstLine="0"/>
        <w:jc w:val="left"/>
      </w:pPr>
      <w:r>
        <w:rPr>
          <w:b/>
        </w:rPr>
        <w:t xml:space="preserve"> </w:t>
      </w:r>
    </w:p>
    <w:p w:rsidR="00DA121A" w:rsidRDefault="00904DD6">
      <w:pPr>
        <w:spacing w:after="112"/>
        <w:ind w:left="288" w:right="146"/>
      </w:pPr>
      <w:r>
        <w:t xml:space="preserve">FASE 1- DOCUMENTO BORRADOR Y DOCUMENTO INICIAL ESTRATÉGICO Plazo estimado de redacción: 5 meses  </w:t>
      </w:r>
    </w:p>
    <w:p w:rsidR="00DA121A" w:rsidRDefault="00904DD6">
      <w:pPr>
        <w:ind w:left="288" w:right="146"/>
      </w:pPr>
      <w:r>
        <w:t>FASE 2 – DOCUMENTO PARA APROBACIÓN INICIAL Y ESTUDIO AMBIENTAL ESTRA</w:t>
      </w:r>
      <w:r>
        <w:t xml:space="preserve">TÉGICO </w:t>
      </w:r>
    </w:p>
    <w:p w:rsidR="00DA121A" w:rsidRDefault="00904DD6">
      <w:pPr>
        <w:spacing w:after="109"/>
        <w:ind w:left="288" w:right="146"/>
      </w:pPr>
      <w:r>
        <w:t xml:space="preserve">Plazo estimado de redacción: 3 meses  </w:t>
      </w:r>
    </w:p>
    <w:p w:rsidR="00DA121A" w:rsidRDefault="00904DD6">
      <w:pPr>
        <w:spacing w:after="112"/>
        <w:ind w:left="288" w:right="146"/>
      </w:pPr>
      <w:r>
        <w:t xml:space="preserve">FASE 3 – </w:t>
      </w:r>
      <w:r>
        <w:t xml:space="preserve">DOCUMENTO VERSION DEFINITIVA DEL PLAN PARA APROBACIÓN DEFINITIVA Plazo estimado de redacción: 2 meses Los plazos necesarios de tramitación quedan fuera del plazo ofertado para la entrega de los documentos por parte de Gesplan.  </w:t>
      </w:r>
    </w:p>
    <w:p w:rsidR="00DA121A" w:rsidRDefault="00904DD6">
      <w:pPr>
        <w:spacing w:after="112"/>
        <w:ind w:left="288" w:right="146"/>
      </w:pPr>
      <w:r>
        <w:t>La propuesta de plazos y ec</w:t>
      </w:r>
      <w:r>
        <w:t xml:space="preserve">onómica se realiza en el supuesto de una única información pública tras la aprobación inicial. Propuesta económica Ayuntamiento de Candelaria 6 6. Propuesta económica  </w:t>
      </w:r>
    </w:p>
    <w:p w:rsidR="00DA121A" w:rsidRDefault="00904DD6">
      <w:pPr>
        <w:spacing w:after="104"/>
        <w:ind w:left="288" w:right="146"/>
      </w:pPr>
      <w:r>
        <w:t>El importe total de la propuesta asciende a la cantidad de CINCUENTA Y UN MIL OCHOCIENT</w:t>
      </w:r>
      <w:r>
        <w:t xml:space="preserve">OS SESENTA Y CUATRO EUROS Y TREINTA Y CINCO CÉNTIMOS (51.864,35 €) </w:t>
      </w:r>
    </w:p>
    <w:p w:rsidR="00DA121A" w:rsidRDefault="00904DD6">
      <w:pPr>
        <w:spacing w:after="122" w:line="259" w:lineRule="auto"/>
        <w:ind w:left="284" w:firstLine="0"/>
        <w:jc w:val="left"/>
      </w:pPr>
      <w:r>
        <w:rPr>
          <w:b/>
        </w:rPr>
        <w:t xml:space="preserve"> </w:t>
      </w:r>
    </w:p>
    <w:p w:rsidR="00DA121A" w:rsidRDefault="00904DD6">
      <w:pPr>
        <w:spacing w:after="114"/>
        <w:ind w:left="279" w:right="144"/>
      </w:pPr>
      <w:r>
        <w:rPr>
          <w:b/>
        </w:rPr>
        <w:t>Segundo. - Notificar el presente acuerdo a la entidad “Gestión y Planeamiento Territorial y Medioambiental, SA (GESPLAN).</w:t>
      </w:r>
      <w:r>
        <w:t xml:space="preserve"> </w:t>
      </w:r>
    </w:p>
    <w:p w:rsidR="00DA121A" w:rsidRDefault="00904DD6">
      <w:pPr>
        <w:spacing w:after="100" w:line="259" w:lineRule="auto"/>
        <w:ind w:left="284" w:firstLine="0"/>
        <w:jc w:val="left"/>
      </w:pPr>
      <w:r>
        <w:t xml:space="preserve"> </w:t>
      </w:r>
    </w:p>
    <w:p w:rsidR="00DA121A" w:rsidRDefault="00904DD6">
      <w:pPr>
        <w:spacing w:after="98" w:line="259" w:lineRule="auto"/>
        <w:ind w:left="284" w:firstLine="0"/>
        <w:jc w:val="left"/>
      </w:pPr>
      <w:r>
        <w:t xml:space="preserve"> </w:t>
      </w:r>
    </w:p>
    <w:p w:rsidR="00DA121A" w:rsidRDefault="00904DD6">
      <w:pPr>
        <w:spacing w:after="100" w:line="259" w:lineRule="auto"/>
        <w:ind w:left="284" w:firstLine="0"/>
        <w:jc w:val="left"/>
      </w:pPr>
      <w:r>
        <w:t xml:space="preserve"> </w:t>
      </w:r>
    </w:p>
    <w:p w:rsidR="00DA121A" w:rsidRDefault="00904DD6">
      <w:pPr>
        <w:spacing w:after="98"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90" w:line="250" w:lineRule="auto"/>
        <w:ind w:left="279" w:right="149"/>
      </w:pPr>
      <w:r>
        <w:rPr>
          <w:b/>
          <w:sz w:val="24"/>
        </w:rPr>
        <w:t xml:space="preserve">12.-  </w:t>
      </w:r>
      <w:r>
        <w:rPr>
          <w:b/>
          <w:sz w:val="24"/>
        </w:rPr>
        <w:t>Expediente 8822/2021. Propuesta de la Alcaldesa-Presidenta de fecha 22 de marzo de 2023 de solicitud al Gobierno de Canarias del procedimiento de evaluación ambiental estratégica para la aprobación de la modificación menor de iniciativa privada del Plan Ge</w:t>
      </w:r>
      <w:r>
        <w:rPr>
          <w:b/>
          <w:sz w:val="24"/>
        </w:rPr>
        <w:t>neral de Candelaria, La Fuente-Afirama.</w:t>
      </w:r>
      <w:r>
        <w:t xml:space="preserve"> </w:t>
      </w:r>
    </w:p>
    <w:p w:rsidR="00DA121A" w:rsidRDefault="00904DD6">
      <w:pPr>
        <w:spacing w:after="100" w:line="259" w:lineRule="auto"/>
        <w:ind w:left="284" w:firstLine="0"/>
        <w:jc w:val="left"/>
      </w:pPr>
      <w:r>
        <w:rPr>
          <w:b/>
        </w:rPr>
        <w:t xml:space="preserve"> </w:t>
      </w:r>
    </w:p>
    <w:p w:rsidR="00DA121A" w:rsidRDefault="00904DD6">
      <w:pPr>
        <w:spacing w:after="112"/>
        <w:ind w:left="279" w:right="144"/>
      </w:pPr>
      <w:r>
        <w:rPr>
          <w:b/>
        </w:rPr>
        <w:t>Consta en el expediente informe jurídico emitido por Doña Olga Fernández MéndezBencomo, que desempeña el puesto de trabajo de Técnica Jurista, de 22 de marzo de 2023, debidamente conformado por D. Octavio Manuel F</w:t>
      </w:r>
      <w:r>
        <w:rPr>
          <w:b/>
        </w:rPr>
        <w:t>ernández Hernández, Secretario General, de fecha 22 de marzo de 2023, del siguiente tenor literal:</w:t>
      </w:r>
      <w:r>
        <w:t xml:space="preserve"> </w:t>
      </w:r>
    </w:p>
    <w:p w:rsidR="00DA121A" w:rsidRDefault="00904DD6">
      <w:pPr>
        <w:spacing w:after="101" w:line="259" w:lineRule="auto"/>
        <w:ind w:left="284" w:firstLine="0"/>
        <w:jc w:val="left"/>
      </w:pPr>
      <w:r>
        <w:rPr>
          <w:b/>
        </w:rPr>
        <w:t xml:space="preserve"> </w:t>
      </w:r>
    </w:p>
    <w:p w:rsidR="00DA121A" w:rsidRDefault="00904DD6">
      <w:pPr>
        <w:spacing w:after="109"/>
        <w:ind w:left="1426" w:right="144"/>
      </w:pPr>
      <w:r>
        <w:t xml:space="preserve">                             “</w:t>
      </w:r>
      <w:r>
        <w:rPr>
          <w:b/>
        </w:rPr>
        <w:t xml:space="preserve">INFORME JURÍDICO </w:t>
      </w:r>
      <w:r>
        <w:t xml:space="preserve"> </w:t>
      </w:r>
    </w:p>
    <w:p w:rsidR="00DA121A" w:rsidRDefault="00904DD6">
      <w:pPr>
        <w:spacing w:after="111"/>
        <w:ind w:left="1426" w:right="144"/>
      </w:pPr>
      <w:r>
        <w:rPr>
          <w:b/>
        </w:rPr>
        <w:t>Visto el expediente antedicho, se emite el siguiente informe:</w:t>
      </w:r>
      <w:r>
        <w:t xml:space="preserve"> </w:t>
      </w:r>
    </w:p>
    <w:p w:rsidR="00DA121A" w:rsidRDefault="00904DD6">
      <w:pPr>
        <w:spacing w:after="98" w:line="259" w:lineRule="auto"/>
        <w:ind w:left="284" w:firstLine="0"/>
        <w:jc w:val="left"/>
      </w:pPr>
      <w:r>
        <w:t xml:space="preserve">  </w:t>
      </w:r>
    </w:p>
    <w:p w:rsidR="00DA121A" w:rsidRDefault="00904DD6">
      <w:pPr>
        <w:pStyle w:val="Ttulo2"/>
        <w:spacing w:after="96"/>
        <w:ind w:right="1091"/>
      </w:pPr>
      <w:r>
        <w:t xml:space="preserve">Antecedentes de hecho </w:t>
      </w:r>
      <w:r>
        <w:rPr>
          <w:b w:val="0"/>
        </w:rPr>
        <w:t xml:space="preserve"> </w:t>
      </w:r>
    </w:p>
    <w:p w:rsidR="00DA121A" w:rsidRDefault="00904DD6">
      <w:pPr>
        <w:spacing w:after="127"/>
        <w:ind w:left="269" w:right="144" w:firstLine="1133"/>
      </w:pPr>
      <w:r>
        <w:rPr>
          <w:b/>
        </w:rPr>
        <w:t xml:space="preserve">Primero. - </w:t>
      </w:r>
      <w:r>
        <w:rPr>
          <w:b/>
        </w:rPr>
        <w:t xml:space="preserve">Consta en el expediente informe técnico emitido por la Arquitecta Municipal de fecha 20/03/2023 que transcrito literalmente dice: </w:t>
      </w:r>
    </w:p>
    <w:p w:rsidR="00DA121A" w:rsidRDefault="00904DD6">
      <w:pPr>
        <w:spacing w:after="128"/>
        <w:ind w:left="288" w:right="146"/>
      </w:pPr>
      <w:r>
        <w:t xml:space="preserve">“Visto el expediente antedicho, Nayra Guzmán Hernández, arquitecta municipal, emite el siguiente informe: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pStyle w:val="Ttulo1"/>
        <w:spacing w:line="259" w:lineRule="auto"/>
        <w:ind w:left="138" w:right="0"/>
      </w:pPr>
      <w:r>
        <w:rPr>
          <w:rFonts w:ascii="Times New Roman" w:eastAsia="Times New Roman" w:hAnsi="Times New Roman" w:cs="Times New Roman"/>
          <w:sz w:val="24"/>
        </w:rPr>
        <w:t xml:space="preserve">ANTECEDENTES </w:t>
      </w:r>
    </w:p>
    <w:p w:rsidR="00DA121A" w:rsidRDefault="00904DD6">
      <w:pPr>
        <w:spacing w:after="12"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7" w:line="271" w:lineRule="auto"/>
        <w:ind w:left="279" w:right="148"/>
      </w:pPr>
      <w:r>
        <w:rPr>
          <w:rFonts w:ascii="Times New Roman" w:eastAsia="Times New Roman" w:hAnsi="Times New Roman" w:cs="Times New Roman"/>
          <w:sz w:val="24"/>
        </w:rPr>
        <w:t xml:space="preserve">Se presenta propuesta de modificación menor, en la zona conocida como La Fuente- Afirama, Caletillas. Esta afecta a tres sectores de suelo urbanizable con uso residencial. Uno de los sectores, se encuentra ordenado pormenorizadamente, el SUSO-C1 La Fuente </w:t>
      </w:r>
      <w:r>
        <w:rPr>
          <w:rFonts w:ascii="Times New Roman" w:eastAsia="Times New Roman" w:hAnsi="Times New Roman" w:cs="Times New Roman"/>
          <w:sz w:val="24"/>
        </w:rPr>
        <w:t>y los otros dos sectores, se encuentran no ordenados, con una ordenación indicativa, propuesta por el Plan General, los SUSNO-</w:t>
      </w:r>
    </w:p>
    <w:p w:rsidR="00DA121A" w:rsidRDefault="00904DD6">
      <w:pPr>
        <w:spacing w:after="7" w:line="271" w:lineRule="auto"/>
        <w:ind w:left="279" w:right="148"/>
      </w:pPr>
      <w:r>
        <w:rPr>
          <w:rFonts w:ascii="Times New Roman" w:eastAsia="Times New Roman" w:hAnsi="Times New Roman" w:cs="Times New Roman"/>
          <w:sz w:val="24"/>
        </w:rPr>
        <w:t xml:space="preserve">C4 Afirama 1 y SUSNO-C5 Afirama 2 </w:t>
      </w:r>
    </w:p>
    <w:p w:rsidR="00DA121A" w:rsidRDefault="00904DD6">
      <w:pPr>
        <w:spacing w:after="7" w:line="271" w:lineRule="auto"/>
        <w:ind w:left="279" w:right="148"/>
      </w:pPr>
      <w:r>
        <w:rPr>
          <w:rFonts w:ascii="Times New Roman" w:eastAsia="Times New Roman" w:hAnsi="Times New Roman" w:cs="Times New Roman"/>
          <w:sz w:val="24"/>
        </w:rPr>
        <w:t>Con carácter general, se propone una reordenación de los sectores, para facilitar la ejecución</w:t>
      </w:r>
      <w:r>
        <w:rPr>
          <w:rFonts w:ascii="Times New Roman" w:eastAsia="Times New Roman" w:hAnsi="Times New Roman" w:cs="Times New Roman"/>
          <w:sz w:val="24"/>
        </w:rPr>
        <w:t xml:space="preserve"> material y puesta en servicio del espacio público. </w:t>
      </w:r>
    </w:p>
    <w:p w:rsidR="00DA121A" w:rsidRDefault="00904DD6">
      <w:pPr>
        <w:spacing w:after="7" w:line="271" w:lineRule="auto"/>
        <w:ind w:left="279" w:right="148"/>
      </w:pPr>
      <w:r>
        <w:rPr>
          <w:rFonts w:ascii="Times New Roman" w:eastAsia="Times New Roman" w:hAnsi="Times New Roman" w:cs="Times New Roman"/>
          <w:sz w:val="24"/>
        </w:rPr>
        <w:t>En el caso del SUSO-C1 La Fuente, se mantiene la ordenación; únicamente se realiza un pequeño ajuste motivado por la modificación de la calle curva, para así dar continuidad con el tejido urbano propuest</w:t>
      </w:r>
      <w:r>
        <w:rPr>
          <w:rFonts w:ascii="Times New Roman" w:eastAsia="Times New Roman" w:hAnsi="Times New Roman" w:cs="Times New Roman"/>
          <w:sz w:val="24"/>
        </w:rPr>
        <w:t xml:space="preserve">o. </w:t>
      </w:r>
    </w:p>
    <w:p w:rsidR="00DA121A" w:rsidRDefault="00904DD6">
      <w:pPr>
        <w:spacing w:after="7" w:line="271" w:lineRule="auto"/>
        <w:ind w:left="279" w:right="148"/>
      </w:pPr>
      <w:r>
        <w:rPr>
          <w:rFonts w:ascii="Times New Roman" w:eastAsia="Times New Roman" w:hAnsi="Times New Roman" w:cs="Times New Roman"/>
          <w:sz w:val="24"/>
        </w:rPr>
        <w:t xml:space="preserve">En los sectores SUSNO C4-Afirama 1 y SUSNO C5-Afirama 2, la modificación mantiene los límites exteriores de la misma y propone alterar la delimitación entre ambos sectores, así como la ordenación propuesta de manera indicativa por el Plan General. </w:t>
      </w:r>
    </w:p>
    <w:p w:rsidR="00DA121A" w:rsidRDefault="00904DD6">
      <w:pPr>
        <w:spacing w:after="0" w:line="259" w:lineRule="auto"/>
        <w:ind w:left="394" w:firstLine="0"/>
        <w:jc w:val="left"/>
      </w:pPr>
      <w:r>
        <w:rPr>
          <w:rFonts w:ascii="Times New Roman" w:eastAsia="Times New Roman" w:hAnsi="Times New Roman" w:cs="Times New Roman"/>
          <w:sz w:val="24"/>
        </w:rPr>
        <w:t xml:space="preserve"> </w:t>
      </w:r>
    </w:p>
    <w:p w:rsidR="00DA121A" w:rsidRDefault="00904DD6">
      <w:pPr>
        <w:spacing w:after="0" w:line="259" w:lineRule="auto"/>
        <w:ind w:left="0" w:right="1159" w:firstLine="0"/>
        <w:jc w:val="right"/>
      </w:pPr>
      <w:r>
        <w:rPr>
          <w:noProof/>
        </w:rPr>
        <w:drawing>
          <wp:inline distT="0" distB="0" distL="0" distR="0">
            <wp:extent cx="4689485" cy="2758468"/>
            <wp:effectExtent l="0" t="0" r="0" b="0"/>
            <wp:docPr id="34371" name="Picture 34371"/>
            <wp:cNvGraphicFramePr/>
            <a:graphic xmlns:a="http://schemas.openxmlformats.org/drawingml/2006/main">
              <a:graphicData uri="http://schemas.openxmlformats.org/drawingml/2006/picture">
                <pic:pic xmlns:pic="http://schemas.openxmlformats.org/drawingml/2006/picture">
                  <pic:nvPicPr>
                    <pic:cNvPr id="34371" name="Picture 34371"/>
                    <pic:cNvPicPr/>
                  </pic:nvPicPr>
                  <pic:blipFill>
                    <a:blip r:embed="rId42"/>
                    <a:stretch>
                      <a:fillRect/>
                    </a:stretch>
                  </pic:blipFill>
                  <pic:spPr>
                    <a:xfrm>
                      <a:off x="0" y="0"/>
                      <a:ext cx="4689485" cy="2758468"/>
                    </a:xfrm>
                    <a:prstGeom prst="rect">
                      <a:avLst/>
                    </a:prstGeom>
                  </pic:spPr>
                </pic:pic>
              </a:graphicData>
            </a:graphic>
          </wp:inline>
        </w:drawing>
      </w:r>
      <w:r>
        <w:rPr>
          <w:rFonts w:ascii="Times New Roman" w:eastAsia="Times New Roman" w:hAnsi="Times New Roman" w:cs="Times New Roman"/>
          <w:sz w:val="24"/>
        </w:rPr>
        <w:t xml:space="preserve"> </w:t>
      </w:r>
    </w:p>
    <w:p w:rsidR="00DA121A" w:rsidRDefault="00904DD6">
      <w:pPr>
        <w:spacing w:after="0" w:line="259" w:lineRule="auto"/>
        <w:ind w:left="39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spacing w:after="0" w:line="249" w:lineRule="auto"/>
        <w:ind w:left="279"/>
        <w:jc w:val="left"/>
      </w:pPr>
      <w:r>
        <w:rPr>
          <w:rFonts w:ascii="Times New Roman" w:eastAsia="Times New Roman" w:hAnsi="Times New Roman" w:cs="Times New Roman"/>
          <w:b/>
          <w:sz w:val="24"/>
        </w:rPr>
        <w:t xml:space="preserve">INFORME  </w:t>
      </w:r>
    </w:p>
    <w:p w:rsidR="00DA121A" w:rsidRDefault="00904DD6">
      <w:pPr>
        <w:spacing w:after="16" w:line="259" w:lineRule="auto"/>
        <w:ind w:left="284" w:firstLine="0"/>
        <w:jc w:val="left"/>
      </w:pPr>
      <w:r>
        <w:rPr>
          <w:rFonts w:ascii="Times New Roman" w:eastAsia="Times New Roman" w:hAnsi="Times New Roman" w:cs="Times New Roman"/>
          <w:sz w:val="24"/>
        </w:rPr>
        <w:t xml:space="preserve"> </w:t>
      </w:r>
    </w:p>
    <w:p w:rsidR="00DA121A" w:rsidRDefault="00904DD6">
      <w:pPr>
        <w:spacing w:after="7" w:line="271" w:lineRule="auto"/>
        <w:ind w:left="279" w:right="148"/>
      </w:pPr>
      <w:r>
        <w:rPr>
          <w:rFonts w:ascii="Times New Roman" w:eastAsia="Times New Roman" w:hAnsi="Times New Roman" w:cs="Times New Roman"/>
          <w:sz w:val="24"/>
        </w:rPr>
        <w:t xml:space="preserve">Se toma conocimiento de la documentación presentada con fecha 2 de octubre de 2022 y registro de entrada </w:t>
      </w:r>
      <w:r>
        <w:rPr>
          <w:rFonts w:ascii="Times New Roman" w:eastAsia="Times New Roman" w:hAnsi="Times New Roman" w:cs="Times New Roman"/>
          <w:b/>
          <w:sz w:val="24"/>
        </w:rPr>
        <w:t xml:space="preserve">2022-E-RE-5803 </w:t>
      </w:r>
      <w:r>
        <w:rPr>
          <w:rFonts w:ascii="Times New Roman" w:eastAsia="Times New Roman" w:hAnsi="Times New Roman" w:cs="Times New Roman"/>
          <w:sz w:val="24"/>
        </w:rPr>
        <w:t xml:space="preserve">, relativa al Borrador para la </w:t>
      </w:r>
      <w:r>
        <w:rPr>
          <w:rFonts w:ascii="Times New Roman" w:eastAsia="Times New Roman" w:hAnsi="Times New Roman" w:cs="Times New Roman"/>
          <w:b/>
          <w:sz w:val="24"/>
        </w:rPr>
        <w:t xml:space="preserve">Modificación Menor de iniciativa privada del Plan General de Ordenación de Candelaria La Fuente-Afirama, </w:t>
      </w:r>
      <w:r>
        <w:rPr>
          <w:rFonts w:ascii="Times New Roman" w:eastAsia="Times New Roman" w:hAnsi="Times New Roman" w:cs="Times New Roman"/>
          <w:sz w:val="24"/>
        </w:rPr>
        <w:t>presentada por</w:t>
      </w:r>
      <w:r>
        <w:rPr>
          <w:rFonts w:ascii="Times New Roman" w:eastAsia="Times New Roman" w:hAnsi="Times New Roman" w:cs="Times New Roman"/>
          <w:b/>
          <w:sz w:val="24"/>
        </w:rPr>
        <w:t xml:space="preserve"> </w:t>
      </w:r>
      <w:r>
        <w:rPr>
          <w:rFonts w:ascii="Times New Roman" w:eastAsia="Times New Roman" w:hAnsi="Times New Roman" w:cs="Times New Roman"/>
          <w:sz w:val="24"/>
        </w:rPr>
        <w:t>Dircain Inversiones S.L y redactada por el arquitecto Gilberto Díaz Díaz, colegiado 2621 y la documentación presentada con fecha 14 de m</w:t>
      </w:r>
      <w:r>
        <w:rPr>
          <w:rFonts w:ascii="Times New Roman" w:eastAsia="Times New Roman" w:hAnsi="Times New Roman" w:cs="Times New Roman"/>
          <w:sz w:val="24"/>
        </w:rPr>
        <w:t>arzo de 2022 y registro de entrada 2022-E-RE-1155</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,relativa al Documento Ambiental Estratégico, redactado por José Luis Roig Izquierdo, Geólogo colegiado nº4475, para el inicio del Procedimiento de Evaluación Ambiental Estratégica Simplificada. </w:t>
      </w:r>
    </w:p>
    <w:p w:rsidR="00DA121A" w:rsidRDefault="00904DD6">
      <w:pPr>
        <w:spacing w:after="0" w:line="259" w:lineRule="auto"/>
        <w:ind w:left="394" w:firstLine="0"/>
        <w:jc w:val="left"/>
      </w:pPr>
      <w:r>
        <w:rPr>
          <w:rFonts w:ascii="Times New Roman" w:eastAsia="Times New Roman" w:hAnsi="Times New Roman" w:cs="Times New Roman"/>
          <w:sz w:val="24"/>
        </w:rPr>
        <w:t xml:space="preserve"> </w:t>
      </w:r>
    </w:p>
    <w:p w:rsidR="00DA121A" w:rsidRDefault="00904DD6">
      <w:pPr>
        <w:spacing w:after="16" w:line="259" w:lineRule="auto"/>
        <w:ind w:left="284" w:firstLine="0"/>
        <w:jc w:val="left"/>
      </w:pPr>
      <w:r>
        <w:rPr>
          <w:rFonts w:ascii="Times New Roman" w:eastAsia="Times New Roman" w:hAnsi="Times New Roman" w:cs="Times New Roman"/>
          <w:sz w:val="24"/>
        </w:rPr>
        <w:t xml:space="preserve"> </w:t>
      </w:r>
    </w:p>
    <w:p w:rsidR="00DA121A" w:rsidRDefault="00904DD6">
      <w:pPr>
        <w:spacing w:after="7" w:line="271" w:lineRule="auto"/>
        <w:ind w:left="279" w:right="148"/>
      </w:pPr>
      <w:r>
        <w:rPr>
          <w:rFonts w:ascii="Times New Roman" w:eastAsia="Times New Roman" w:hAnsi="Times New Roman" w:cs="Times New Roman"/>
          <w:sz w:val="24"/>
        </w:rPr>
        <w:t xml:space="preserve">La documentación relativa a la Modificación Menor de Planeamiento, consta de los siguientes documentos: </w:t>
      </w:r>
    </w:p>
    <w:p w:rsidR="00DA121A" w:rsidRDefault="00904DD6">
      <w:pPr>
        <w:spacing w:after="21" w:line="259" w:lineRule="auto"/>
        <w:ind w:left="284" w:firstLine="0"/>
        <w:jc w:val="left"/>
      </w:pPr>
      <w:r>
        <w:rPr>
          <w:rFonts w:ascii="Times New Roman" w:eastAsia="Times New Roman" w:hAnsi="Times New Roman" w:cs="Times New Roman"/>
          <w:sz w:val="24"/>
        </w:rPr>
        <w:t xml:space="preserve"> </w:t>
      </w:r>
    </w:p>
    <w:p w:rsidR="00DA121A" w:rsidRDefault="00904DD6">
      <w:pPr>
        <w:numPr>
          <w:ilvl w:val="0"/>
          <w:numId w:val="100"/>
        </w:numPr>
        <w:spacing w:after="7" w:line="271" w:lineRule="auto"/>
        <w:ind w:right="148" w:hanging="360"/>
      </w:pPr>
      <w:r>
        <w:rPr>
          <w:rFonts w:ascii="Times New Roman" w:eastAsia="Times New Roman" w:hAnsi="Times New Roman" w:cs="Times New Roman"/>
          <w:sz w:val="24"/>
        </w:rPr>
        <w:t>Borrador para la Modificación Menor del Plan General de Ordenación de Candelaria La Fuente-Afirama, redactado por D. Gilberto Díaz Díaz arquitecto co</w:t>
      </w:r>
      <w:r>
        <w:rPr>
          <w:rFonts w:ascii="Times New Roman" w:eastAsia="Times New Roman" w:hAnsi="Times New Roman" w:cs="Times New Roman"/>
          <w:sz w:val="24"/>
        </w:rPr>
        <w:t xml:space="preserve">legiado 2621 y firmada de fecha 2 de octubre de 2022 </w:t>
      </w:r>
    </w:p>
    <w:p w:rsidR="00DA121A" w:rsidRDefault="00904DD6">
      <w:pPr>
        <w:numPr>
          <w:ilvl w:val="0"/>
          <w:numId w:val="100"/>
        </w:numPr>
        <w:spacing w:after="7" w:line="271" w:lineRule="auto"/>
        <w:ind w:right="148" w:hanging="360"/>
      </w:pPr>
      <w:r>
        <w:rPr>
          <w:rFonts w:ascii="Times New Roman" w:eastAsia="Times New Roman" w:hAnsi="Times New Roman" w:cs="Times New Roman"/>
          <w:sz w:val="24"/>
        </w:rPr>
        <w:t xml:space="preserve">Documento Ambiental Estratégico, redactado por José Luis Roig Izquierdo, Geólogo colegiado nº4475 y firmada con fecha 9 de febrero de 2022 </w:t>
      </w:r>
    </w:p>
    <w:p w:rsidR="00DA121A" w:rsidRDefault="00904DD6">
      <w:pPr>
        <w:spacing w:after="98" w:line="259" w:lineRule="auto"/>
        <w:ind w:left="186" w:firstLine="0"/>
        <w:jc w:val="center"/>
      </w:pPr>
      <w:r>
        <w:rPr>
          <w:b/>
        </w:rPr>
        <w:t xml:space="preserve"> </w:t>
      </w:r>
    </w:p>
    <w:p w:rsidR="00DA121A" w:rsidRDefault="00904DD6">
      <w:pPr>
        <w:pStyle w:val="Ttulo2"/>
        <w:spacing w:after="98"/>
        <w:ind w:right="1174"/>
      </w:pPr>
      <w:r>
        <w:t xml:space="preserve">Fundamentos de derecho </w:t>
      </w:r>
      <w:r>
        <w:rPr>
          <w:b w:val="0"/>
        </w:rPr>
        <w:t xml:space="preserve"> </w:t>
      </w:r>
    </w:p>
    <w:p w:rsidR="00DA121A" w:rsidRDefault="00904DD6">
      <w:pPr>
        <w:spacing w:after="111" w:line="250" w:lineRule="auto"/>
        <w:ind w:left="10" w:right="144"/>
        <w:jc w:val="right"/>
      </w:pPr>
      <w:r>
        <w:rPr>
          <w:b/>
        </w:rPr>
        <w:t xml:space="preserve">Primero. - </w:t>
      </w:r>
      <w:r>
        <w:rPr>
          <w:b/>
        </w:rPr>
        <w:t xml:space="preserve">El procedimiento de evaluación ambiental estratégica de las modificaciones del plan general se regula en el artículo 86 de la Ley del Suelo y de los Espacios Naturales Protegidos de Canarias (LSENPC): </w:t>
      </w:r>
    </w:p>
    <w:p w:rsidR="00DA121A" w:rsidRDefault="00904DD6">
      <w:pPr>
        <w:tabs>
          <w:tab w:val="center" w:pos="284"/>
          <w:tab w:val="center" w:pos="3224"/>
        </w:tabs>
        <w:spacing w:after="116" w:line="248" w:lineRule="auto"/>
        <w:ind w:left="0" w:firstLine="0"/>
        <w:jc w:val="left"/>
      </w:pPr>
      <w:r>
        <w:rPr>
          <w:rFonts w:ascii="Calibri" w:eastAsia="Calibri" w:hAnsi="Calibri" w:cs="Calibri"/>
        </w:rPr>
        <w:tab/>
      </w:r>
      <w:r>
        <w:rPr>
          <w:i/>
        </w:rPr>
        <w:t xml:space="preserve">  </w:t>
      </w:r>
      <w:r>
        <w:rPr>
          <w:i/>
        </w:rPr>
        <w:tab/>
        <w:t xml:space="preserve">Artículo 86. Evaluación ambiental estratégica.  </w:t>
      </w:r>
    </w:p>
    <w:p w:rsidR="00DA121A" w:rsidRDefault="00904DD6">
      <w:pPr>
        <w:numPr>
          <w:ilvl w:val="0"/>
          <w:numId w:val="101"/>
        </w:numPr>
        <w:spacing w:after="11" w:line="248" w:lineRule="auto"/>
        <w:ind w:left="1744" w:right="145" w:hanging="328"/>
      </w:pPr>
      <w:r>
        <w:rPr>
          <w:i/>
        </w:rPr>
        <w:t>L</w:t>
      </w:r>
      <w:r>
        <w:rPr>
          <w:i/>
        </w:rPr>
        <w:t xml:space="preserve">a aprobación, modificación sustancial y adaptación de los instrumentos de </w:t>
      </w:r>
    </w:p>
    <w:p w:rsidR="00DA121A" w:rsidRDefault="00904DD6">
      <w:pPr>
        <w:spacing w:after="112" w:line="248" w:lineRule="auto"/>
        <w:ind w:left="288" w:right="145"/>
      </w:pPr>
      <w:r>
        <w:rPr>
          <w:i/>
        </w:rPr>
        <w:t>ordenación territorial, ambiental y urbanística se someterán al procedimiento de evaluación ambiental de planes y programas, en los términos contemplados en la legislación básica es</w:t>
      </w:r>
      <w:r>
        <w:rPr>
          <w:i/>
        </w:rPr>
        <w:t xml:space="preserve">tatal y en la presente ley.  </w:t>
      </w:r>
    </w:p>
    <w:p w:rsidR="00DA121A" w:rsidRDefault="00904DD6">
      <w:pPr>
        <w:numPr>
          <w:ilvl w:val="0"/>
          <w:numId w:val="101"/>
        </w:numPr>
        <w:spacing w:after="11" w:line="248" w:lineRule="auto"/>
        <w:ind w:left="1744" w:right="145" w:hanging="328"/>
      </w:pPr>
      <w:r>
        <w:rPr>
          <w:i/>
        </w:rPr>
        <w:t xml:space="preserve">En el marco de la legislación básica del Estado, serán objeto de evaluación ambiental </w:t>
      </w:r>
    </w:p>
    <w:p w:rsidR="00DA121A" w:rsidRDefault="00904DD6">
      <w:pPr>
        <w:spacing w:after="108" w:line="248" w:lineRule="auto"/>
        <w:ind w:left="288" w:right="145"/>
      </w:pPr>
      <w:r>
        <w:rPr>
          <w:i/>
        </w:rPr>
        <w:t xml:space="preserve">estratégica simplificada:  </w:t>
      </w:r>
    </w:p>
    <w:p w:rsidR="00DA121A" w:rsidRDefault="00904DD6">
      <w:pPr>
        <w:numPr>
          <w:ilvl w:val="0"/>
          <w:numId w:val="102"/>
        </w:numPr>
        <w:spacing w:after="114" w:line="248" w:lineRule="auto"/>
        <w:ind w:right="145" w:hanging="259"/>
      </w:pPr>
      <w:r>
        <w:rPr>
          <w:i/>
        </w:rPr>
        <w:t xml:space="preserve">Los instrumentos de ordenación que establezcan el uso, a nivel municipal, de zonas de reducida extensión.  </w:t>
      </w:r>
    </w:p>
    <w:p w:rsidR="00DA121A" w:rsidRDefault="00904DD6">
      <w:pPr>
        <w:numPr>
          <w:ilvl w:val="0"/>
          <w:numId w:val="102"/>
        </w:numPr>
        <w:spacing w:after="108" w:line="248" w:lineRule="auto"/>
        <w:ind w:right="145" w:hanging="259"/>
      </w:pPr>
      <w:r>
        <w:rPr>
          <w:i/>
        </w:rPr>
        <w:t>Las</w:t>
      </w:r>
      <w:r>
        <w:rPr>
          <w:i/>
        </w:rPr>
        <w:t xml:space="preserve"> modificaciones menores de los instrumentos de ordenación. </w:t>
      </w:r>
    </w:p>
    <w:p w:rsidR="00DA121A" w:rsidRDefault="00904DD6">
      <w:pPr>
        <w:numPr>
          <w:ilvl w:val="0"/>
          <w:numId w:val="102"/>
        </w:numPr>
        <w:spacing w:after="111" w:line="248" w:lineRule="auto"/>
        <w:ind w:right="145" w:hanging="259"/>
      </w:pPr>
      <w:r>
        <w:rPr>
          <w:i/>
        </w:rPr>
        <w:t xml:space="preserve">Los proyectos de interés insular o autonómico que contengan ordenación.  </w:t>
      </w:r>
    </w:p>
    <w:p w:rsidR="00DA121A" w:rsidRDefault="00904DD6">
      <w:pPr>
        <w:numPr>
          <w:ilvl w:val="0"/>
          <w:numId w:val="102"/>
        </w:numPr>
        <w:spacing w:after="108" w:line="248" w:lineRule="auto"/>
        <w:ind w:right="145" w:hanging="259"/>
      </w:pPr>
      <w:r>
        <w:rPr>
          <w:i/>
        </w:rPr>
        <w:t xml:space="preserve">La ordenación pormenorizada de un plan general.  </w:t>
      </w:r>
    </w:p>
    <w:p w:rsidR="00DA121A" w:rsidRDefault="00904DD6">
      <w:pPr>
        <w:numPr>
          <w:ilvl w:val="0"/>
          <w:numId w:val="102"/>
        </w:numPr>
        <w:spacing w:after="114" w:line="248" w:lineRule="auto"/>
        <w:ind w:right="145" w:hanging="259"/>
      </w:pPr>
      <w:r>
        <w:rPr>
          <w:i/>
        </w:rPr>
        <w:t xml:space="preserve">Los planes parciales y especiales que desarrollen planes generales que hayan sido sometidos a evaluación ambiental estratégica.  </w:t>
      </w:r>
    </w:p>
    <w:p w:rsidR="00DA121A" w:rsidRDefault="00904DD6">
      <w:pPr>
        <w:spacing w:after="111" w:line="248" w:lineRule="auto"/>
        <w:ind w:left="288" w:right="145"/>
      </w:pPr>
      <w:r>
        <w:rPr>
          <w:i/>
        </w:rPr>
        <w:t>No obstante, cuando el plan parcial o el plan especial no se ajusten, en todo o en parte, a las determinaciones ambientales de</w:t>
      </w:r>
      <w:r>
        <w:rPr>
          <w:i/>
        </w:rPr>
        <w:t xml:space="preserve">l plan general deberán someterse a evaluación ambiental estratégica ordinaria en la parte que no cumplan con las mismas.  </w:t>
      </w:r>
    </w:p>
    <w:p w:rsidR="00DA121A" w:rsidRDefault="00904DD6">
      <w:pPr>
        <w:numPr>
          <w:ilvl w:val="1"/>
          <w:numId w:val="102"/>
        </w:numPr>
        <w:spacing w:after="11" w:line="248" w:lineRule="auto"/>
        <w:ind w:left="1672" w:right="145" w:hanging="256"/>
      </w:pPr>
      <w:r>
        <w:rPr>
          <w:i/>
        </w:rPr>
        <w:t xml:space="preserve">En los casos en que los planes se estructurasen en distintos ámbitos jerárquicos de </w:t>
      </w:r>
    </w:p>
    <w:p w:rsidR="00DA121A" w:rsidRDefault="00904DD6">
      <w:pPr>
        <w:spacing w:after="111" w:line="248" w:lineRule="auto"/>
        <w:ind w:left="288" w:right="145"/>
      </w:pPr>
      <w:r>
        <w:rPr>
          <w:i/>
        </w:rPr>
        <w:t>decisión de una misma administración pública can</w:t>
      </w:r>
      <w:r>
        <w:rPr>
          <w:i/>
        </w:rPr>
        <w:t>aria, cuando sea preciso llevar a cabo la evaluación ambiental de cada uno de ellos, esta deberá realizarse teniendo en cuenta el contenido y el grado de especificación del plan, la fase del proceso de decisión en que se encuentre y la medida en que la eva</w:t>
      </w:r>
      <w:r>
        <w:rPr>
          <w:i/>
        </w:rPr>
        <w:t>luación de determinados aspectos pueda ser más adecuada en fases distintas de dicho proceso, con objeto de evitar la duplicidad de evaluaciones. A estos efectos, el correspondiente estudio ambiental estratégico del plan deberá elaborarse a partir de la eva</w:t>
      </w:r>
      <w:r>
        <w:rPr>
          <w:i/>
        </w:rPr>
        <w:t>luación ya realizada y de las decisiones tomadas en la evaluación del instrumento superior, sin perjuicio además de la utilización de la información pertinente disponible, que, estando actualizada y siendo completa en lo relativo a los efectos medioambient</w:t>
      </w:r>
      <w:r>
        <w:rPr>
          <w:i/>
        </w:rPr>
        <w:t xml:space="preserve">ales del nuevo plan o programa, se hubiera aprobado en otras fases del proceso de decisión.  </w:t>
      </w:r>
    </w:p>
    <w:p w:rsidR="00DA121A" w:rsidRDefault="00904DD6">
      <w:pPr>
        <w:numPr>
          <w:ilvl w:val="1"/>
          <w:numId w:val="102"/>
        </w:numPr>
        <w:spacing w:after="11" w:line="248" w:lineRule="auto"/>
        <w:ind w:left="1672" w:right="145" w:hanging="256"/>
      </w:pPr>
      <w:r>
        <w:rPr>
          <w:i/>
        </w:rPr>
        <w:t xml:space="preserve">Cuando exista una concurrencia de planes o programas promovidos por diferentes </w:t>
      </w:r>
    </w:p>
    <w:p w:rsidR="00DA121A" w:rsidRDefault="00904DD6">
      <w:pPr>
        <w:spacing w:after="114" w:line="248" w:lineRule="auto"/>
        <w:ind w:left="288" w:right="145"/>
      </w:pPr>
      <w:r>
        <w:rPr>
          <w:i/>
        </w:rPr>
        <w:t>administraciones públicas canarias, estas deberán adoptar las medidas necesarias p</w:t>
      </w:r>
      <w:r>
        <w:rPr>
          <w:i/>
        </w:rPr>
        <w:t>ara evitar que se produzca una duplicidad de evaluaciones. A estos efectos, no deberán someterse a un nuevo proceso de evaluación, como consecuencia de la elaboración y aprobación de un plan de ordenación urbanística o territorial, los aspectos relativos a</w:t>
      </w:r>
      <w:r>
        <w:rPr>
          <w:i/>
        </w:rPr>
        <w:t xml:space="preserve"> infraestructuras de titularidad autonómica cuya planificación sectorial haya sido sometida previamente a la correspondiente evaluación ambiental conforme a lo dispuesto en esta ley. En tales casos, la administración pública competente para la aprobación d</w:t>
      </w:r>
      <w:r>
        <w:rPr>
          <w:i/>
        </w:rPr>
        <w:t xml:space="preserve">el plan de ordenación urbanística o territorial podrá exigir que se tengan en cuenta los aspectos no específicamente considerados en la primera evaluación ambiental. </w:t>
      </w:r>
    </w:p>
    <w:p w:rsidR="00DA121A" w:rsidRDefault="00904DD6">
      <w:pPr>
        <w:numPr>
          <w:ilvl w:val="1"/>
          <w:numId w:val="102"/>
        </w:numPr>
        <w:spacing w:after="11" w:line="248" w:lineRule="auto"/>
        <w:ind w:left="1672" w:right="145" w:hanging="256"/>
      </w:pPr>
      <w:r>
        <w:rPr>
          <w:i/>
        </w:rPr>
        <w:t xml:space="preserve">La evaluación ambiental estratégica posterior de cualquier plan o programa, aunque </w:t>
      </w:r>
    </w:p>
    <w:p w:rsidR="00DA121A" w:rsidRDefault="00904DD6">
      <w:pPr>
        <w:spacing w:after="109" w:line="248" w:lineRule="auto"/>
        <w:ind w:left="288" w:right="145"/>
      </w:pPr>
      <w:r>
        <w:rPr>
          <w:i/>
        </w:rPr>
        <w:t>sea d</w:t>
      </w:r>
      <w:r>
        <w:rPr>
          <w:i/>
        </w:rPr>
        <w:t>e rango superior, deberá acomodarse a la declaración ambiental estratégica o, en su caso, al informe ambiental estratégico recaído con anterioridad. En el supuesto de que el resultado de las evaluaciones fuera contradictorio, deberán justificarse las razon</w:t>
      </w:r>
      <w:r>
        <w:rPr>
          <w:i/>
        </w:rPr>
        <w:t xml:space="preserve">es y motivaciones de la nueva evaluación así como la corrección de la anterior. </w:t>
      </w:r>
    </w:p>
    <w:p w:rsidR="00DA121A" w:rsidRDefault="00904DD6">
      <w:pPr>
        <w:numPr>
          <w:ilvl w:val="1"/>
          <w:numId w:val="102"/>
        </w:numPr>
        <w:spacing w:after="99" w:line="259" w:lineRule="auto"/>
        <w:ind w:left="1672" w:right="145" w:hanging="256"/>
      </w:pPr>
      <w:r>
        <w:rPr>
          <w:i/>
        </w:rPr>
        <w:t xml:space="preserve">A los efectos previstos en el presente artículo, tendrá la consideración de:  </w:t>
      </w:r>
    </w:p>
    <w:p w:rsidR="00DA121A" w:rsidRDefault="00904DD6">
      <w:pPr>
        <w:numPr>
          <w:ilvl w:val="0"/>
          <w:numId w:val="103"/>
        </w:numPr>
        <w:spacing w:after="111" w:line="248" w:lineRule="auto"/>
        <w:ind w:right="145"/>
      </w:pPr>
      <w:r>
        <w:rPr>
          <w:i/>
        </w:rPr>
        <w:t>Promotor: La persona física o jurídica, pública o privada, que tenga atribuida la iniciativa par</w:t>
      </w:r>
      <w:r>
        <w:rPr>
          <w:i/>
        </w:rPr>
        <w:t xml:space="preserve">a la elaboración del correspondiente instrumento de ordenación.  </w:t>
      </w:r>
    </w:p>
    <w:p w:rsidR="00DA121A" w:rsidRDefault="00904DD6">
      <w:pPr>
        <w:numPr>
          <w:ilvl w:val="0"/>
          <w:numId w:val="103"/>
        </w:numPr>
        <w:spacing w:after="111" w:line="248" w:lineRule="auto"/>
        <w:ind w:right="145"/>
      </w:pPr>
      <w:r>
        <w:rPr>
          <w:i/>
        </w:rPr>
        <w:t xml:space="preserve">Órgano sustantivo: El órgano competente para su aprobación. Cuando el órgano sustantivo promueva el instrumento de ordenación, realizará las actuaciones atribuidas al promotor.  </w:t>
      </w:r>
    </w:p>
    <w:p w:rsidR="00DA121A" w:rsidRDefault="00904DD6">
      <w:pPr>
        <w:numPr>
          <w:ilvl w:val="0"/>
          <w:numId w:val="103"/>
        </w:numPr>
        <w:spacing w:after="111" w:line="248" w:lineRule="auto"/>
        <w:ind w:right="145"/>
      </w:pPr>
      <w:r>
        <w:rPr>
          <w:i/>
        </w:rPr>
        <w:t>Órgano ambi</w:t>
      </w:r>
      <w:r>
        <w:rPr>
          <w:i/>
        </w:rPr>
        <w:t>ental: en el caso de los instrumentos autonómicos, lo será el órgano que designe el Gobierno de Canarias; en cuanto a los instrumentos insulares, lo será el órgano que designe el cabildo o, previa delegación, el órgano ambiental autonómico; y en el caso de</w:t>
      </w:r>
      <w:r>
        <w:rPr>
          <w:i/>
        </w:rPr>
        <w:t xml:space="preserve"> los instrumentos municipales, lo será el que pueda designar el ayuntamiento, si cuenta con los recursos suficientes, pudiendo delegar esta competencia en el órgano ambiental autonómico o el órgano ambiental insular de la isla a la que pertenezca, o bien c</w:t>
      </w:r>
      <w:r>
        <w:rPr>
          <w:i/>
        </w:rPr>
        <w:t xml:space="preserve">onstituir un órgano ambiental en mancomunidad con otros municipios.  </w:t>
      </w:r>
    </w:p>
    <w:p w:rsidR="00DA121A" w:rsidRDefault="00904DD6">
      <w:pPr>
        <w:spacing w:after="114" w:line="248" w:lineRule="auto"/>
        <w:ind w:left="288" w:right="145"/>
      </w:pPr>
      <w:r>
        <w:rPr>
          <w:i/>
        </w:rPr>
        <w:t>Asimismo, podrá encomendarse el ejercicio de los aspectos materiales o técnicos de la competencia de los órganos ambientales, en caso de estar constituidos, mediante convenio de encomien</w:t>
      </w:r>
      <w:r>
        <w:rPr>
          <w:i/>
        </w:rPr>
        <w:t xml:space="preserve">da de gestión en los términos de la legislación básica sobre régimen jurídico del sector público.  </w:t>
      </w:r>
    </w:p>
    <w:p w:rsidR="00DA121A" w:rsidRDefault="00904DD6">
      <w:pPr>
        <w:spacing w:after="114" w:line="248" w:lineRule="auto"/>
        <w:ind w:left="288" w:right="145"/>
      </w:pPr>
      <w:r>
        <w:rPr>
          <w:i/>
        </w:rPr>
        <w:t>El acuerdo de delegación o encomienda o de aceptación de las mismas o de aprobación del convenio de encomienda deberá adoptarse por el pleno de la entidad o</w:t>
      </w:r>
      <w:r>
        <w:rPr>
          <w:i/>
        </w:rPr>
        <w:t xml:space="preserve"> por el Gobierno de Canarias, según proceda.  </w:t>
      </w:r>
    </w:p>
    <w:p w:rsidR="00DA121A" w:rsidRDefault="00904DD6">
      <w:pPr>
        <w:spacing w:after="111" w:line="248" w:lineRule="auto"/>
        <w:ind w:left="288" w:right="145"/>
      </w:pPr>
      <w:r>
        <w:rPr>
          <w:i/>
        </w:rPr>
        <w:t>No obstante, en los municipios de menos de 100.000 habitantes de derecho, la evaluación ambiental de la ordenación urbanística estructural de los planes generales de ordenación, así como en los casos de modifi</w:t>
      </w:r>
      <w:r>
        <w:rPr>
          <w:i/>
        </w:rPr>
        <w:t xml:space="preserve">cación sustancial de los mismos, corresponderá al órgano ambiental autonómico.  </w:t>
      </w:r>
    </w:p>
    <w:p w:rsidR="00DA121A" w:rsidRDefault="00904DD6">
      <w:pPr>
        <w:spacing w:after="112" w:line="248" w:lineRule="auto"/>
        <w:ind w:left="288" w:right="145"/>
      </w:pPr>
      <w:r>
        <w:rPr>
          <w:i/>
        </w:rPr>
        <w:t>A estos efectos, se entiende por ordenación urbanística estructural la delimitada por el artículo 136 de esta ley, y por modificación sustancial los supuestos previstos en el artículo 163 de esta ley. Asimismo, podrá encomendarse el ejercicio de los aspect</w:t>
      </w:r>
      <w:r>
        <w:rPr>
          <w:i/>
        </w:rPr>
        <w:t xml:space="preserve">os materiales o técnicos de la competencia de los órganos ambientales, en caso de estar constituidos, mediante convenio.  </w:t>
      </w:r>
    </w:p>
    <w:p w:rsidR="00DA121A" w:rsidRDefault="00904DD6">
      <w:pPr>
        <w:spacing w:after="114" w:line="248" w:lineRule="auto"/>
        <w:ind w:left="288" w:right="145"/>
      </w:pPr>
      <w:r>
        <w:rPr>
          <w:i/>
        </w:rPr>
        <w:t>El acuerdo de delegación deberá adoptarse por el Pleno de la entidad local, y el acuerdo de aceptación de la delegación o de aprobaci</w:t>
      </w:r>
      <w:r>
        <w:rPr>
          <w:i/>
        </w:rPr>
        <w:t>ón del convenio de encomienda, por el Pleno del respectivo cabildo insular o por el Gobierno de Canarias, según proceda. No obstante, en los municipios de menos de 100.000 habitantes de derecho, la evaluación ambiental de la ordenación urbanística estructu</w:t>
      </w:r>
      <w:r>
        <w:rPr>
          <w:i/>
        </w:rPr>
        <w:t xml:space="preserve">ral de los planes generales de ordenación, así como en los casos de modificación sustancial de los mismos, corresponderá al órgano ambiental autonómico.  </w:t>
      </w:r>
    </w:p>
    <w:p w:rsidR="00DA121A" w:rsidRDefault="00904DD6">
      <w:pPr>
        <w:spacing w:after="111" w:line="248" w:lineRule="auto"/>
        <w:ind w:left="288" w:right="145"/>
      </w:pPr>
      <w:r>
        <w:rPr>
          <w:i/>
        </w:rPr>
        <w:t>A estos efectos, se entiende por ordenación urbanística estructural la delimitada por el artículo 1</w:t>
      </w:r>
      <w:r>
        <w:rPr>
          <w:i/>
        </w:rPr>
        <w:t xml:space="preserve">36 de esta ley, y por modificación sustancial los supuestos previstos en el artículo 163 de esta ley.  </w:t>
      </w:r>
    </w:p>
    <w:p w:rsidR="00DA121A" w:rsidRDefault="00904DD6">
      <w:pPr>
        <w:numPr>
          <w:ilvl w:val="0"/>
          <w:numId w:val="104"/>
        </w:numPr>
        <w:spacing w:after="9" w:line="249" w:lineRule="auto"/>
        <w:ind w:right="146" w:hanging="350"/>
        <w:jc w:val="right"/>
      </w:pPr>
      <w:r>
        <w:rPr>
          <w:i/>
        </w:rPr>
        <w:t xml:space="preserve">De acuerdo con la normativa europea y estatal, el órgano ambiental debe contar con </w:t>
      </w:r>
    </w:p>
    <w:p w:rsidR="00DA121A" w:rsidRDefault="00904DD6">
      <w:pPr>
        <w:spacing w:after="108" w:line="248" w:lineRule="auto"/>
        <w:ind w:left="288" w:right="145"/>
      </w:pPr>
      <w:r>
        <w:rPr>
          <w:i/>
        </w:rPr>
        <w:t xml:space="preserve">separación funcional y orgánica respecto del órgano sustantivo. </w:t>
      </w:r>
    </w:p>
    <w:p w:rsidR="00DA121A" w:rsidRDefault="00904DD6">
      <w:pPr>
        <w:numPr>
          <w:ilvl w:val="0"/>
          <w:numId w:val="104"/>
        </w:numPr>
        <w:spacing w:after="9" w:line="249" w:lineRule="auto"/>
        <w:ind w:right="146" w:hanging="350"/>
        <w:jc w:val="right"/>
      </w:pPr>
      <w:r>
        <w:rPr>
          <w:i/>
        </w:rPr>
        <w:t xml:space="preserve">La </w:t>
      </w:r>
      <w:r>
        <w:rPr>
          <w:i/>
        </w:rPr>
        <w:t xml:space="preserve">declaración ambiental estratégica tiene carácter de informe preceptivo y </w:t>
      </w:r>
    </w:p>
    <w:p w:rsidR="00DA121A" w:rsidRDefault="00904DD6">
      <w:pPr>
        <w:spacing w:after="92" w:line="248" w:lineRule="auto"/>
        <w:ind w:left="288" w:right="145"/>
      </w:pPr>
      <w:r>
        <w:rPr>
          <w:i/>
        </w:rPr>
        <w:t>determinante, por lo que su no emisión en plazo podrá interrumpir el plazo de los trámites sucesivos, de conformidad con lo previsto en la legislación de procedimiento administrativo</w:t>
      </w:r>
      <w:r>
        <w:rPr>
          <w:i/>
        </w:rPr>
        <w:t xml:space="preserve"> común. La falta de emisión de la declaración ambiental estratégica en ningún caso podrá entenderse que equivale a una evaluación ambiental favorable.  </w:t>
      </w:r>
    </w:p>
    <w:p w:rsidR="00DA121A" w:rsidRDefault="00904DD6">
      <w:pPr>
        <w:numPr>
          <w:ilvl w:val="0"/>
          <w:numId w:val="104"/>
        </w:numPr>
        <w:spacing w:after="11" w:line="248" w:lineRule="auto"/>
        <w:ind w:right="146" w:hanging="350"/>
        <w:jc w:val="right"/>
      </w:pPr>
      <w:r>
        <w:rPr>
          <w:i/>
        </w:rPr>
        <w:t xml:space="preserve">El Gobierno establecerá reglamentariamente las normas, los criterios y la </w:t>
      </w:r>
    </w:p>
    <w:p w:rsidR="00DA121A" w:rsidRDefault="00904DD6">
      <w:pPr>
        <w:spacing w:after="112" w:line="248" w:lineRule="auto"/>
        <w:ind w:left="288" w:right="145"/>
      </w:pPr>
      <w:r>
        <w:rPr>
          <w:i/>
        </w:rPr>
        <w:t>metodología a utilizar por e</w:t>
      </w:r>
      <w:r>
        <w:rPr>
          <w:i/>
        </w:rPr>
        <w:t>l órgano ambiental en el ejercicio de su función, asegurando la unidad y coherencia de la evaluación ambiental, de acuerdo con criterios públicos y conocidos de antemano, lo más objetivos y reglados que permita el estado del conocimiento científico y técni</w:t>
      </w:r>
      <w:r>
        <w:rPr>
          <w:i/>
        </w:rPr>
        <w:t xml:space="preserve">co y de los métodos de evaluación existentes. 10. En lo no previsto en la presente ley se estará a lo dispuesto en la legislación estatal básica en materia de evaluación ambiental. </w:t>
      </w:r>
    </w:p>
    <w:p w:rsidR="00DA121A" w:rsidRDefault="00904DD6">
      <w:pPr>
        <w:ind w:left="1426" w:right="146"/>
      </w:pPr>
      <w:r>
        <w:t xml:space="preserve">Es de aplicación el artículo Artículo 114  del DECRETO 181/2018, de 26 de </w:t>
      </w:r>
      <w:r>
        <w:t xml:space="preserve">diciembre, </w:t>
      </w:r>
    </w:p>
    <w:p w:rsidR="00DA121A" w:rsidRDefault="00904DD6">
      <w:pPr>
        <w:spacing w:after="109"/>
        <w:ind w:left="288" w:right="146"/>
      </w:pPr>
      <w:r>
        <w:t xml:space="preserve">por el que se aprueba el Reglamento de Planeamiento de Canarias en cuanto a l Solicitud de inicio: </w:t>
      </w:r>
    </w:p>
    <w:p w:rsidR="00DA121A" w:rsidRDefault="00904DD6">
      <w:pPr>
        <w:ind w:left="1426" w:right="146"/>
      </w:pPr>
      <w:r>
        <w:t xml:space="preserve">1. El procedimiento de evaluación ambiental simplificada comienza con la solicitud de </w:t>
      </w:r>
    </w:p>
    <w:p w:rsidR="00DA121A" w:rsidRDefault="00904DD6">
      <w:pPr>
        <w:spacing w:after="111"/>
        <w:ind w:left="288" w:right="146"/>
      </w:pPr>
      <w:r>
        <w:t>inicio de la evaluación. El promotor presentará ante el órgano sustantivo, junto a la documentación exigida por la normativa sectorial, una solicitud de inicio de la Evaluación Ambiental Simplificada, el Documento Ambiental Estratégico, con el contenido ex</w:t>
      </w:r>
      <w:r>
        <w:t xml:space="preserve">igido por la legislación básica, y el Borrador del Plan. </w:t>
      </w:r>
    </w:p>
    <w:p w:rsidR="00DA121A" w:rsidRDefault="00904DD6">
      <w:pPr>
        <w:spacing w:after="106"/>
        <w:ind w:left="1426" w:right="146"/>
      </w:pPr>
      <w:r>
        <w:t xml:space="preserve">Ley 21/2013, de 9 de diciembre, de evaluación ambiental. </w:t>
      </w:r>
    </w:p>
    <w:p w:rsidR="00DA121A" w:rsidRDefault="00904DD6">
      <w:pPr>
        <w:spacing w:after="100" w:line="259" w:lineRule="auto"/>
        <w:ind w:left="1416" w:firstLine="0"/>
        <w:jc w:val="left"/>
      </w:pPr>
      <w:r>
        <w:rPr>
          <w:b/>
        </w:rPr>
        <w:t xml:space="preserve"> </w:t>
      </w:r>
    </w:p>
    <w:p w:rsidR="00DA121A" w:rsidRDefault="00904DD6">
      <w:pPr>
        <w:spacing w:after="4"/>
        <w:ind w:left="1426" w:right="144"/>
      </w:pPr>
      <w:r>
        <w:rPr>
          <w:b/>
        </w:rPr>
        <w:t xml:space="preserve">Segundo. - Es de aplicación el acuerdo del Pleno de 24 de febrero de 2022 </w:t>
      </w:r>
    </w:p>
    <w:p w:rsidR="00DA121A" w:rsidRDefault="00904DD6">
      <w:pPr>
        <w:spacing w:after="114"/>
        <w:ind w:left="279" w:right="144"/>
      </w:pPr>
      <w:r>
        <w:rPr>
          <w:b/>
        </w:rPr>
        <w:t xml:space="preserve">debidamente notificado a la Consejería de Transición Ecológica </w:t>
      </w:r>
      <w:r>
        <w:rPr>
          <w:b/>
        </w:rPr>
        <w:t xml:space="preserve">del Gobierno de Canarias en el que expresamente se dispuso: </w:t>
      </w:r>
    </w:p>
    <w:p w:rsidR="00DA121A" w:rsidRDefault="00904DD6">
      <w:pPr>
        <w:spacing w:after="11" w:line="248" w:lineRule="auto"/>
        <w:ind w:left="1426" w:right="145"/>
      </w:pPr>
      <w:r>
        <w:rPr>
          <w:i/>
        </w:rPr>
        <w:t xml:space="preserve">Primero. - Delegar en el órgano ambiental de la Comunidad Autónoma la evaluación </w:t>
      </w:r>
    </w:p>
    <w:p w:rsidR="00DA121A" w:rsidRDefault="00904DD6">
      <w:pPr>
        <w:spacing w:after="111" w:line="248" w:lineRule="auto"/>
        <w:ind w:left="288" w:right="145"/>
      </w:pPr>
      <w:r>
        <w:rPr>
          <w:i/>
        </w:rPr>
        <w:t>ambiental estratégica, ordinaria o simplificada, de los instrumentos de ordenación urbanística de competencia mun</w:t>
      </w:r>
      <w:r>
        <w:rPr>
          <w:i/>
        </w:rPr>
        <w:t xml:space="preserve">icipal, así como sus modificaciones.  </w:t>
      </w:r>
    </w:p>
    <w:p w:rsidR="00DA121A" w:rsidRDefault="00904DD6">
      <w:pPr>
        <w:spacing w:after="11" w:line="248" w:lineRule="auto"/>
        <w:ind w:left="1426" w:right="145"/>
      </w:pPr>
      <w:r>
        <w:rPr>
          <w:i/>
        </w:rPr>
        <w:t xml:space="preserve">Segundo. - Delegar en el órgano ambiental de la Comunidad Autónoma la evaluación </w:t>
      </w:r>
    </w:p>
    <w:p w:rsidR="00DA121A" w:rsidRDefault="00904DD6">
      <w:pPr>
        <w:spacing w:after="107" w:line="248" w:lineRule="auto"/>
        <w:ind w:left="288" w:right="145"/>
      </w:pPr>
      <w:r>
        <w:rPr>
          <w:i/>
        </w:rPr>
        <w:t>y declaración de impacto ambiental de proyectos que deba tramitar y autorizar el Ayuntamiento.</w:t>
      </w:r>
      <w:r>
        <w:t xml:space="preserve"> </w:t>
      </w:r>
    </w:p>
    <w:p w:rsidR="00DA121A" w:rsidRDefault="00904DD6">
      <w:pPr>
        <w:spacing w:after="112" w:line="262" w:lineRule="auto"/>
        <w:ind w:left="1228" w:right="1437"/>
        <w:jc w:val="center"/>
      </w:pPr>
      <w:r>
        <w:rPr>
          <w:b/>
        </w:rPr>
        <w:t xml:space="preserve">Propuesta de Acuerdo: </w:t>
      </w:r>
    </w:p>
    <w:p w:rsidR="00DA121A" w:rsidRDefault="00904DD6">
      <w:pPr>
        <w:spacing w:after="7" w:line="271" w:lineRule="auto"/>
        <w:ind w:left="1426" w:right="148"/>
      </w:pPr>
      <w:r>
        <w:rPr>
          <w:rFonts w:ascii="Times New Roman" w:eastAsia="Times New Roman" w:hAnsi="Times New Roman" w:cs="Times New Roman"/>
          <w:b/>
          <w:sz w:val="24"/>
        </w:rPr>
        <w:t>Primero</w:t>
      </w:r>
      <w:r>
        <w:rPr>
          <w:rFonts w:ascii="Times New Roman" w:eastAsia="Times New Roman" w:hAnsi="Times New Roman" w:cs="Times New Roman"/>
          <w:sz w:val="24"/>
        </w:rPr>
        <w:t>. - Tomar</w:t>
      </w:r>
      <w:r>
        <w:rPr>
          <w:rFonts w:ascii="Times New Roman" w:eastAsia="Times New Roman" w:hAnsi="Times New Roman" w:cs="Times New Roman"/>
          <w:sz w:val="24"/>
        </w:rPr>
        <w:t xml:space="preserve"> conocimiento del procedimiento de evaluación ambiental estratégica </w:t>
      </w:r>
    </w:p>
    <w:p w:rsidR="00DA121A" w:rsidRDefault="00904DD6">
      <w:pPr>
        <w:spacing w:after="7" w:line="271" w:lineRule="auto"/>
        <w:ind w:left="279" w:right="148"/>
      </w:pPr>
      <w:r>
        <w:rPr>
          <w:rFonts w:ascii="Times New Roman" w:eastAsia="Times New Roman" w:hAnsi="Times New Roman" w:cs="Times New Roman"/>
          <w:sz w:val="24"/>
        </w:rPr>
        <w:t>para la aprobación de la Modificación Menor de iniciativa privada del Plan General de Candelaria, La Fuente-</w:t>
      </w:r>
      <w:r>
        <w:rPr>
          <w:rFonts w:ascii="Times New Roman" w:eastAsia="Times New Roman" w:hAnsi="Times New Roman" w:cs="Times New Roman"/>
          <w:sz w:val="24"/>
        </w:rPr>
        <w:t xml:space="preserve">Afirama y al que se adjunta un ejemplar en soporte digital del documento técnico, así como del documento ambiental estratégico. </w:t>
      </w:r>
    </w:p>
    <w:p w:rsidR="00DA121A" w:rsidRDefault="00904DD6">
      <w:pPr>
        <w:spacing w:after="19" w:line="259" w:lineRule="auto"/>
        <w:ind w:left="1416" w:firstLine="0"/>
        <w:jc w:val="left"/>
      </w:pPr>
      <w:r>
        <w:rPr>
          <w:rFonts w:ascii="Times New Roman" w:eastAsia="Times New Roman" w:hAnsi="Times New Roman" w:cs="Times New Roman"/>
          <w:sz w:val="24"/>
        </w:rPr>
        <w:t xml:space="preserve"> </w:t>
      </w:r>
    </w:p>
    <w:p w:rsidR="00DA121A" w:rsidRDefault="00904DD6">
      <w:pPr>
        <w:spacing w:after="7" w:line="271" w:lineRule="auto"/>
        <w:ind w:left="1426" w:right="148"/>
      </w:pPr>
      <w:r>
        <w:rPr>
          <w:rFonts w:ascii="Times New Roman" w:eastAsia="Times New Roman" w:hAnsi="Times New Roman" w:cs="Times New Roman"/>
          <w:sz w:val="24"/>
        </w:rPr>
        <w:t xml:space="preserve">Se toma conocimiento de los siguientes documentos: </w:t>
      </w:r>
    </w:p>
    <w:p w:rsidR="00DA121A" w:rsidRDefault="00904DD6">
      <w:pPr>
        <w:numPr>
          <w:ilvl w:val="0"/>
          <w:numId w:val="105"/>
        </w:numPr>
        <w:spacing w:after="7" w:line="271" w:lineRule="auto"/>
        <w:ind w:right="148" w:hanging="360"/>
      </w:pPr>
      <w:r>
        <w:rPr>
          <w:rFonts w:ascii="Times New Roman" w:eastAsia="Times New Roman" w:hAnsi="Times New Roman" w:cs="Times New Roman"/>
          <w:sz w:val="24"/>
        </w:rPr>
        <w:t>Borrador para la Modificación Menor del Plan General de Ordenación de Can</w:t>
      </w:r>
      <w:r>
        <w:rPr>
          <w:rFonts w:ascii="Times New Roman" w:eastAsia="Times New Roman" w:hAnsi="Times New Roman" w:cs="Times New Roman"/>
          <w:sz w:val="24"/>
        </w:rPr>
        <w:t xml:space="preserve">delaria La Fuente-Afirama, redactado por D. Gilberto Díaz Díaz arquitecto colegiado 2621 y firmada de fecha 2 de octubre de 2022 </w:t>
      </w:r>
    </w:p>
    <w:p w:rsidR="00DA121A" w:rsidRDefault="00904DD6">
      <w:pPr>
        <w:numPr>
          <w:ilvl w:val="0"/>
          <w:numId w:val="105"/>
        </w:numPr>
        <w:spacing w:after="7" w:line="271" w:lineRule="auto"/>
        <w:ind w:right="148" w:hanging="360"/>
      </w:pPr>
      <w:r>
        <w:rPr>
          <w:rFonts w:ascii="Times New Roman" w:eastAsia="Times New Roman" w:hAnsi="Times New Roman" w:cs="Times New Roman"/>
          <w:sz w:val="24"/>
        </w:rPr>
        <w:t>Documento Ambiental Estratégico, redactado por José Luis Roig Izquierdo, Geólogo colegiado nº4475 y firmada con fecha 9 de feb</w:t>
      </w:r>
      <w:r>
        <w:rPr>
          <w:rFonts w:ascii="Times New Roman" w:eastAsia="Times New Roman" w:hAnsi="Times New Roman" w:cs="Times New Roman"/>
          <w:sz w:val="24"/>
        </w:rPr>
        <w:t xml:space="preserve">rero de 2022 </w:t>
      </w:r>
    </w:p>
    <w:p w:rsidR="00DA121A" w:rsidRDefault="00904DD6">
      <w:pPr>
        <w:spacing w:after="19" w:line="259" w:lineRule="auto"/>
        <w:ind w:left="1416" w:firstLine="0"/>
        <w:jc w:val="left"/>
      </w:pPr>
      <w:r>
        <w:rPr>
          <w:rFonts w:ascii="Times New Roman" w:eastAsia="Times New Roman" w:hAnsi="Times New Roman" w:cs="Times New Roman"/>
          <w:sz w:val="24"/>
        </w:rPr>
        <w:t xml:space="preserve"> </w:t>
      </w:r>
    </w:p>
    <w:p w:rsidR="00DA121A" w:rsidRDefault="00904DD6">
      <w:pPr>
        <w:spacing w:after="7" w:line="271" w:lineRule="auto"/>
        <w:ind w:left="1426" w:right="148"/>
      </w:pPr>
      <w:r>
        <w:rPr>
          <w:rFonts w:ascii="Times New Roman" w:eastAsia="Times New Roman" w:hAnsi="Times New Roman" w:cs="Times New Roman"/>
          <w:b/>
          <w:sz w:val="24"/>
        </w:rPr>
        <w:t>Segundo</w:t>
      </w:r>
      <w:r>
        <w:rPr>
          <w:rFonts w:ascii="Times New Roman" w:eastAsia="Times New Roman" w:hAnsi="Times New Roman" w:cs="Times New Roman"/>
          <w:sz w:val="24"/>
        </w:rPr>
        <w:t xml:space="preserve">.- Someter al procedimiento simplificado de evaluación ambiental estratégica, </w:t>
      </w:r>
    </w:p>
    <w:p w:rsidR="00DA121A" w:rsidRDefault="00904DD6">
      <w:pPr>
        <w:spacing w:after="7" w:line="271" w:lineRule="auto"/>
        <w:ind w:left="279" w:right="148"/>
      </w:pPr>
      <w:r>
        <w:rPr>
          <w:rFonts w:ascii="Times New Roman" w:eastAsia="Times New Roman" w:hAnsi="Times New Roman" w:cs="Times New Roman"/>
          <w:sz w:val="24"/>
        </w:rPr>
        <w:t>a efectos de que, según lo dispuesto en el artículo 86.2.a) de la Ley 4/2017, de 13 de julio, del Suelo y de los Espacios Naturales Protegidos de Canarias</w:t>
      </w:r>
      <w:r>
        <w:rPr>
          <w:rFonts w:ascii="Times New Roman" w:eastAsia="Times New Roman" w:hAnsi="Times New Roman" w:cs="Times New Roman"/>
          <w:sz w:val="24"/>
        </w:rPr>
        <w:t xml:space="preserve"> (LSENPC), y de la Ley 21/2013, 165.3 de la LSENPC y 106.3 del RPC, el órgano ambiental resuelva mediante la emisión del informe ambiental estratégico que la modificación no tiene efectos significativos sobre el medio ambiente, o, en su caso, que procede s</w:t>
      </w:r>
      <w:r>
        <w:rPr>
          <w:rFonts w:ascii="Times New Roman" w:eastAsia="Times New Roman" w:hAnsi="Times New Roman" w:cs="Times New Roman"/>
          <w:sz w:val="24"/>
        </w:rPr>
        <w:t xml:space="preserve">ometer la modificación menor a una evaluación ambiental estratégica ordinaria porque pueda tener efectos significativos sobre el medio ambiente. </w:t>
      </w:r>
    </w:p>
    <w:p w:rsidR="00DA121A" w:rsidRDefault="00904DD6">
      <w:pPr>
        <w:spacing w:after="16" w:line="259" w:lineRule="auto"/>
        <w:ind w:left="1416" w:firstLine="0"/>
        <w:jc w:val="left"/>
      </w:pPr>
      <w:r>
        <w:rPr>
          <w:rFonts w:ascii="Times New Roman" w:eastAsia="Times New Roman" w:hAnsi="Times New Roman" w:cs="Times New Roman"/>
          <w:sz w:val="24"/>
        </w:rPr>
        <w:t xml:space="preserve"> </w:t>
      </w:r>
    </w:p>
    <w:p w:rsidR="00DA121A" w:rsidRDefault="00904DD6">
      <w:pPr>
        <w:spacing w:after="19" w:line="259" w:lineRule="auto"/>
        <w:ind w:left="10" w:right="148"/>
        <w:jc w:val="right"/>
      </w:pPr>
      <w:r>
        <w:rPr>
          <w:rFonts w:ascii="Times New Roman" w:eastAsia="Times New Roman" w:hAnsi="Times New Roman" w:cs="Times New Roman"/>
          <w:b/>
          <w:sz w:val="24"/>
        </w:rPr>
        <w:t>Tercero.</w:t>
      </w:r>
      <w:r>
        <w:rPr>
          <w:rFonts w:ascii="Times New Roman" w:eastAsia="Times New Roman" w:hAnsi="Times New Roman" w:cs="Times New Roman"/>
          <w:sz w:val="24"/>
        </w:rPr>
        <w:t xml:space="preserve"> - Remitir la documentación técnica debidamente autenticada electrónicamente </w:t>
      </w:r>
    </w:p>
    <w:p w:rsidR="00DA121A" w:rsidRDefault="00904DD6">
      <w:pPr>
        <w:spacing w:after="43" w:line="271" w:lineRule="auto"/>
        <w:ind w:left="279" w:right="148"/>
      </w:pPr>
      <w:r>
        <w:rPr>
          <w:rFonts w:ascii="Times New Roman" w:eastAsia="Times New Roman" w:hAnsi="Times New Roman" w:cs="Times New Roman"/>
          <w:sz w:val="24"/>
        </w:rPr>
        <w:t>y el certificado del a</w:t>
      </w:r>
      <w:r>
        <w:rPr>
          <w:rFonts w:ascii="Times New Roman" w:eastAsia="Times New Roman" w:hAnsi="Times New Roman" w:cs="Times New Roman"/>
          <w:sz w:val="24"/>
        </w:rPr>
        <w:t xml:space="preserve">cuerdo adoptado a la Consejería de Transición Ecológica, Lucha contra el Cambio Climático y Planificación Territorial del Gobierno de Canarias.” </w:t>
      </w:r>
    </w:p>
    <w:p w:rsidR="00DA121A" w:rsidRDefault="00904DD6">
      <w:pPr>
        <w:spacing w:after="218"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49" w:lineRule="auto"/>
        <w:ind w:left="279"/>
        <w:jc w:val="left"/>
      </w:pPr>
      <w:r>
        <w:rPr>
          <w:rFonts w:ascii="Times New Roman" w:eastAsia="Times New Roman" w:hAnsi="Times New Roman" w:cs="Times New Roman"/>
          <w:b/>
          <w:sz w:val="24"/>
        </w:rPr>
        <w:t>Consta en el expediente propuesta de la Alcaldesa-</w:t>
      </w:r>
      <w:r>
        <w:rPr>
          <w:rFonts w:ascii="Times New Roman" w:eastAsia="Times New Roman" w:hAnsi="Times New Roman" w:cs="Times New Roman"/>
          <w:b/>
          <w:sz w:val="24"/>
        </w:rPr>
        <w:t xml:space="preserve">Presidenta, de fecha 22 de marzo de 2023, cuyo tenor literal es el siguiente: </w:t>
      </w:r>
    </w:p>
    <w:p w:rsidR="00DA121A" w:rsidRDefault="00904DD6">
      <w:pPr>
        <w:spacing w:after="210" w:line="259" w:lineRule="auto"/>
        <w:ind w:left="284" w:firstLine="0"/>
        <w:jc w:val="left"/>
      </w:pPr>
      <w:r>
        <w:rPr>
          <w:rFonts w:ascii="Times New Roman" w:eastAsia="Times New Roman" w:hAnsi="Times New Roman" w:cs="Times New Roman"/>
          <w:sz w:val="24"/>
        </w:rPr>
        <w:t xml:space="preserve"> </w:t>
      </w:r>
    </w:p>
    <w:p w:rsidR="00DA121A" w:rsidRDefault="00904DD6">
      <w:pPr>
        <w:spacing w:after="111"/>
        <w:ind w:left="288" w:right="146"/>
      </w:pPr>
      <w:r>
        <w:t xml:space="preserve">   “Visto expediente nº 8822/2021, que se tramita en esta Corporación, en relación con la Modificación Menor de iniciativa privada del Plan General de Candelaria, La Fuente-Af</w:t>
      </w:r>
      <w:r>
        <w:t>irama formulada por</w:t>
      </w:r>
      <w:r>
        <w:rPr>
          <w:sz w:val="24"/>
        </w:rPr>
        <w:t xml:space="preserve"> Dircain Inversiones S.L </w:t>
      </w:r>
      <w:r>
        <w:t xml:space="preserve">y vistos informes técnico y jurídico de fecha 20 y 22 de febrero de 2023, respectivamente, se eleva la siguiente </w:t>
      </w:r>
    </w:p>
    <w:p w:rsidR="00DA121A" w:rsidRDefault="00904DD6">
      <w:pPr>
        <w:spacing w:after="95" w:line="259" w:lineRule="auto"/>
        <w:ind w:left="1320" w:firstLine="0"/>
        <w:jc w:val="center"/>
      </w:pPr>
      <w:r>
        <w:t xml:space="preserve"> </w:t>
      </w:r>
    </w:p>
    <w:p w:rsidR="00DA121A" w:rsidRDefault="00904DD6">
      <w:pPr>
        <w:spacing w:after="111"/>
        <w:ind w:left="1426" w:right="144"/>
      </w:pPr>
      <w:r>
        <w:rPr>
          <w:b/>
        </w:rPr>
        <w:t xml:space="preserve">                                INFORME JURÍDICO </w:t>
      </w:r>
      <w:r>
        <w:t xml:space="preserve"> </w:t>
      </w:r>
    </w:p>
    <w:p w:rsidR="00DA121A" w:rsidRDefault="00904DD6">
      <w:pPr>
        <w:spacing w:after="109"/>
        <w:ind w:left="1426" w:right="144"/>
      </w:pPr>
      <w:r>
        <w:rPr>
          <w:b/>
        </w:rPr>
        <w:t>Visto el expediente antedicho, se emite el siguiente informe:</w:t>
      </w:r>
      <w:r>
        <w:t xml:space="preserve"> </w:t>
      </w:r>
    </w:p>
    <w:p w:rsidR="00DA121A" w:rsidRDefault="00904DD6">
      <w:pPr>
        <w:pStyle w:val="Ttulo2"/>
        <w:spacing w:after="98"/>
        <w:ind w:right="1091"/>
      </w:pPr>
      <w:r>
        <w:t>Antecedentes de hecho</w:t>
      </w:r>
      <w:r>
        <w:rPr>
          <w:b w:val="0"/>
        </w:rPr>
        <w:t xml:space="preserve"> </w:t>
      </w:r>
    </w:p>
    <w:p w:rsidR="00DA121A" w:rsidRDefault="00904DD6">
      <w:pPr>
        <w:spacing w:after="130"/>
        <w:ind w:left="269" w:right="144" w:firstLine="1133"/>
      </w:pPr>
      <w:r>
        <w:rPr>
          <w:b/>
        </w:rPr>
        <w:t xml:space="preserve">Primero. - Consta en el expediente informe técnico emitido por la Arquitecta Municipal de fecha 20/03/2023 que transcrito literalmente dice: </w:t>
      </w:r>
    </w:p>
    <w:p w:rsidR="00DA121A" w:rsidRDefault="00904DD6">
      <w:pPr>
        <w:spacing w:after="128"/>
        <w:ind w:left="288" w:right="146"/>
      </w:pPr>
      <w:r>
        <w:t>“Visto el expediente antedic</w:t>
      </w:r>
      <w:r>
        <w:t xml:space="preserve">ho, Nayra Guzmán Hernández, arquitecta municipal, emite el siguiente informe: </w:t>
      </w:r>
    </w:p>
    <w:p w:rsidR="00DA121A" w:rsidRDefault="00904DD6">
      <w:pPr>
        <w:spacing w:after="0" w:line="259" w:lineRule="auto"/>
        <w:ind w:left="284" w:firstLine="0"/>
        <w:jc w:val="left"/>
      </w:pPr>
      <w:r>
        <w:rPr>
          <w:rFonts w:ascii="Times New Roman" w:eastAsia="Times New Roman" w:hAnsi="Times New Roman" w:cs="Times New Roman"/>
          <w:b/>
          <w:sz w:val="24"/>
        </w:rPr>
        <w:t xml:space="preserve"> </w:t>
      </w:r>
    </w:p>
    <w:p w:rsidR="00DA121A" w:rsidRDefault="00904DD6">
      <w:pPr>
        <w:pStyle w:val="Ttulo1"/>
        <w:spacing w:line="259" w:lineRule="auto"/>
        <w:ind w:left="138" w:right="0"/>
      </w:pPr>
      <w:r>
        <w:rPr>
          <w:rFonts w:ascii="Times New Roman" w:eastAsia="Times New Roman" w:hAnsi="Times New Roman" w:cs="Times New Roman"/>
          <w:sz w:val="24"/>
        </w:rPr>
        <w:t xml:space="preserve">ANTECEDENTES </w:t>
      </w:r>
    </w:p>
    <w:p w:rsidR="00DA121A" w:rsidRDefault="00904DD6">
      <w:pPr>
        <w:spacing w:after="100" w:line="259" w:lineRule="auto"/>
        <w:ind w:left="284" w:firstLine="0"/>
        <w:jc w:val="left"/>
      </w:pPr>
      <w:r>
        <w:t xml:space="preserve"> </w:t>
      </w:r>
    </w:p>
    <w:p w:rsidR="00DA121A" w:rsidRDefault="00904DD6">
      <w:pPr>
        <w:spacing w:after="114"/>
        <w:ind w:left="288" w:right="146"/>
      </w:pPr>
      <w:r>
        <w:t xml:space="preserve">Se presenta propuesta de modificación menor, en la zona conocida como La Fuente- </w:t>
      </w:r>
      <w:r>
        <w:t>Afirama, Caletillas. Esta afecta a tres sectores de suelo urbanizable con uso residencial. Uno de los sectores, se encuentra ordenado pormenorizadamente, el SUSO-C1 La Fuente y los otros dos sectores, se encuentran no ordenados, con una ordenación indicati</w:t>
      </w:r>
      <w:r>
        <w:t xml:space="preserve">va, propuesta por el Plan General, los SUSNO-C4 Afirama 1 y SUSNO-C5 Afirama 2 </w:t>
      </w:r>
    </w:p>
    <w:p w:rsidR="00DA121A" w:rsidRDefault="00904DD6">
      <w:pPr>
        <w:spacing w:after="112"/>
        <w:ind w:left="288" w:right="146"/>
      </w:pPr>
      <w:r>
        <w:t xml:space="preserve">Con carácter general, se propone una reordenación de los sectores, para facilitar la ejecución material y puesta en servicio del espacio público. </w:t>
      </w:r>
    </w:p>
    <w:p w:rsidR="00DA121A" w:rsidRDefault="00904DD6">
      <w:pPr>
        <w:spacing w:after="114"/>
        <w:ind w:left="288" w:right="146"/>
      </w:pPr>
      <w:r>
        <w:t>En el caso del SUSO-C1 La Fue</w:t>
      </w:r>
      <w:r>
        <w:t xml:space="preserve">nte, se mantiene la ordenación; únicamente se realiza un pequeño ajuste motivado por la modificación de la calle curva, para así dar continuidad con el tejido urbano propuesto. </w:t>
      </w:r>
    </w:p>
    <w:p w:rsidR="00DA121A" w:rsidRDefault="00904DD6">
      <w:pPr>
        <w:spacing w:after="97"/>
        <w:ind w:left="288" w:right="146"/>
      </w:pPr>
      <w:r>
        <w:t>En los sectores SUSNO C4-Afirama 1 y SUSNO C5-Afirama 2, la modificación manti</w:t>
      </w:r>
      <w:r>
        <w:t xml:space="preserve">ene los límites exteriores de la misma y propone alterar la delimitación entre ambos sectores, así como la ordenación propuesta de manera indicativa por el Plan General. </w:t>
      </w:r>
    </w:p>
    <w:p w:rsidR="00DA121A" w:rsidRDefault="00904DD6">
      <w:pPr>
        <w:spacing w:after="98" w:line="259" w:lineRule="auto"/>
        <w:ind w:left="394" w:firstLine="0"/>
        <w:jc w:val="left"/>
      </w:pPr>
      <w:r>
        <w:t xml:space="preserve"> </w:t>
      </w:r>
    </w:p>
    <w:p w:rsidR="00DA121A" w:rsidRDefault="00904DD6">
      <w:pPr>
        <w:spacing w:after="57" w:line="259" w:lineRule="auto"/>
        <w:ind w:left="0" w:right="1938" w:firstLine="0"/>
        <w:jc w:val="center"/>
      </w:pPr>
      <w:r>
        <w:rPr>
          <w:noProof/>
        </w:rPr>
        <w:drawing>
          <wp:inline distT="0" distB="0" distL="0" distR="0">
            <wp:extent cx="4689485" cy="2758468"/>
            <wp:effectExtent l="0" t="0" r="0" b="0"/>
            <wp:docPr id="34916" name="Picture 34916"/>
            <wp:cNvGraphicFramePr/>
            <a:graphic xmlns:a="http://schemas.openxmlformats.org/drawingml/2006/main">
              <a:graphicData uri="http://schemas.openxmlformats.org/drawingml/2006/picture">
                <pic:pic xmlns:pic="http://schemas.openxmlformats.org/drawingml/2006/picture">
                  <pic:nvPicPr>
                    <pic:cNvPr id="34916" name="Picture 34916"/>
                    <pic:cNvPicPr/>
                  </pic:nvPicPr>
                  <pic:blipFill>
                    <a:blip r:embed="rId42"/>
                    <a:stretch>
                      <a:fillRect/>
                    </a:stretch>
                  </pic:blipFill>
                  <pic:spPr>
                    <a:xfrm>
                      <a:off x="0" y="0"/>
                      <a:ext cx="4689485" cy="2758468"/>
                    </a:xfrm>
                    <a:prstGeom prst="rect">
                      <a:avLst/>
                    </a:prstGeom>
                  </pic:spPr>
                </pic:pic>
              </a:graphicData>
            </a:graphic>
          </wp:inline>
        </w:drawing>
      </w:r>
      <w:r>
        <w:t xml:space="preserve"> </w:t>
      </w:r>
    </w:p>
    <w:p w:rsidR="00DA121A" w:rsidRDefault="00904DD6">
      <w:pPr>
        <w:spacing w:after="103" w:line="259" w:lineRule="auto"/>
        <w:ind w:left="394" w:firstLine="0"/>
        <w:jc w:val="left"/>
      </w:pPr>
      <w:r>
        <w:t xml:space="preserve"> </w:t>
      </w:r>
    </w:p>
    <w:p w:rsidR="00DA121A" w:rsidRDefault="00904DD6">
      <w:pPr>
        <w:spacing w:after="100" w:line="259" w:lineRule="auto"/>
        <w:ind w:left="568" w:right="432"/>
        <w:jc w:val="center"/>
      </w:pPr>
      <w:r>
        <w:t xml:space="preserve">INFORME </w:t>
      </w:r>
    </w:p>
    <w:p w:rsidR="00DA121A" w:rsidRDefault="00904DD6">
      <w:pPr>
        <w:spacing w:after="116"/>
        <w:ind w:left="288" w:right="146"/>
      </w:pPr>
      <w:r>
        <w:t>Se toma conocimiento de la documentación presentada con fecha 2 de oc</w:t>
      </w:r>
      <w:r>
        <w:t xml:space="preserve">tubre de 2022 y registro de entrada 2022-E-RE-5803 , relativa al Borrador para la Modificación Menor de iniciativa privada del Plan General de Ordenación de Candelaria La Fuente-Afirama, presentada por Dircain Inversiones S.L y redactada por el arquitecto </w:t>
      </w:r>
      <w:r>
        <w:t>Gilberto Díaz Díaz, colegiado 2621 y la documentación presentada con fecha 14 de marzo de 2022 y registro de entrada 2022-E-RE1155 ,relativa al Documento Ambiental Estratégico, redactado por José Luis Roig Izquierdo, Geólogo colegiado nº4475, para el inici</w:t>
      </w:r>
      <w:r>
        <w:t xml:space="preserve">o del Procedimiento de Evaluación Ambiental Estratégica Simplificada. </w:t>
      </w:r>
    </w:p>
    <w:p w:rsidR="00DA121A" w:rsidRDefault="00904DD6">
      <w:pPr>
        <w:spacing w:after="106" w:line="259" w:lineRule="auto"/>
        <w:ind w:left="394" w:firstLine="0"/>
        <w:jc w:val="left"/>
      </w:pPr>
      <w:r>
        <w:t xml:space="preserve"> </w:t>
      </w:r>
    </w:p>
    <w:p w:rsidR="00DA121A" w:rsidRDefault="00904DD6">
      <w:pPr>
        <w:spacing w:after="112"/>
        <w:ind w:left="288" w:right="146"/>
      </w:pPr>
      <w:r>
        <w:t xml:space="preserve">La documentación relativa a la Modificación Menor de Planeamiento, consta de los siguientes documentos: </w:t>
      </w:r>
    </w:p>
    <w:p w:rsidR="00DA121A" w:rsidRDefault="00904DD6">
      <w:pPr>
        <w:spacing w:after="114"/>
        <w:ind w:left="288" w:right="146"/>
      </w:pPr>
      <w:r>
        <w:t xml:space="preserve">Borrador para la Modificación Menor del Plan General de Ordenación de Candelaria La FuenteAfirama, redactado por D. Gilberto Díaz Díaz arquitecto colegiado 2621 y firmada de fecha 2 de octubre de 2022 </w:t>
      </w:r>
    </w:p>
    <w:p w:rsidR="00DA121A" w:rsidRDefault="00904DD6">
      <w:pPr>
        <w:spacing w:after="112"/>
        <w:ind w:left="288" w:right="146"/>
      </w:pPr>
      <w:r>
        <w:t>Documento Ambiental Estratégico, redactado por José Lu</w:t>
      </w:r>
      <w:r>
        <w:t xml:space="preserve">is Roig Izquierdo, Geólogo colegiado nº4475 y firmada con fecha 9 de febrero de 2022 </w:t>
      </w:r>
    </w:p>
    <w:p w:rsidR="00DA121A" w:rsidRDefault="00904DD6">
      <w:pPr>
        <w:spacing w:after="98" w:line="259" w:lineRule="auto"/>
        <w:ind w:left="284" w:firstLine="0"/>
        <w:jc w:val="left"/>
      </w:pPr>
      <w:r>
        <w:t xml:space="preserve"> </w:t>
      </w:r>
    </w:p>
    <w:p w:rsidR="00DA121A" w:rsidRDefault="00904DD6">
      <w:pPr>
        <w:pStyle w:val="Ttulo2"/>
        <w:spacing w:after="96"/>
        <w:ind w:right="1174"/>
      </w:pPr>
      <w:r>
        <w:t xml:space="preserve">Fundamentos de derecho </w:t>
      </w:r>
      <w:r>
        <w:rPr>
          <w:b w:val="0"/>
        </w:rPr>
        <w:t xml:space="preserve"> </w:t>
      </w:r>
    </w:p>
    <w:p w:rsidR="00DA121A" w:rsidRDefault="00904DD6">
      <w:pPr>
        <w:spacing w:after="13" w:line="250" w:lineRule="auto"/>
        <w:ind w:left="10" w:right="144"/>
        <w:jc w:val="right"/>
      </w:pPr>
      <w:r>
        <w:rPr>
          <w:b/>
        </w:rPr>
        <w:t xml:space="preserve">Primero. - El procedimiento de evaluación ambiental estratégica de las </w:t>
      </w:r>
    </w:p>
    <w:p w:rsidR="00DA121A" w:rsidRDefault="00904DD6">
      <w:pPr>
        <w:spacing w:after="4"/>
        <w:ind w:left="279" w:right="144"/>
      </w:pPr>
      <w:r>
        <w:rPr>
          <w:b/>
        </w:rPr>
        <w:t>modificaciones del plan general se regula en el artículo 86 de la Ley d</w:t>
      </w:r>
      <w:r>
        <w:rPr>
          <w:b/>
        </w:rPr>
        <w:t xml:space="preserve">el Suelo y de los Espacios Naturales Protegidos de Canarias (LSENPC): </w:t>
      </w:r>
    </w:p>
    <w:p w:rsidR="00DA121A" w:rsidRDefault="00904DD6">
      <w:pPr>
        <w:tabs>
          <w:tab w:val="center" w:pos="284"/>
          <w:tab w:val="center" w:pos="3224"/>
        </w:tabs>
        <w:spacing w:after="119" w:line="248" w:lineRule="auto"/>
        <w:ind w:left="0" w:firstLine="0"/>
        <w:jc w:val="left"/>
      </w:pPr>
      <w:r>
        <w:rPr>
          <w:rFonts w:ascii="Calibri" w:eastAsia="Calibri" w:hAnsi="Calibri" w:cs="Calibri"/>
        </w:rPr>
        <w:tab/>
      </w:r>
      <w:r>
        <w:rPr>
          <w:i/>
        </w:rPr>
        <w:t xml:space="preserve">  </w:t>
      </w:r>
      <w:r>
        <w:rPr>
          <w:i/>
        </w:rPr>
        <w:tab/>
        <w:t xml:space="preserve">Artículo 86. Evaluación ambiental estratégica.  </w:t>
      </w:r>
    </w:p>
    <w:p w:rsidR="00DA121A" w:rsidRDefault="00904DD6">
      <w:pPr>
        <w:numPr>
          <w:ilvl w:val="0"/>
          <w:numId w:val="106"/>
        </w:numPr>
        <w:spacing w:after="11" w:line="248" w:lineRule="auto"/>
        <w:ind w:left="1744" w:right="145" w:hanging="328"/>
      </w:pPr>
      <w:r>
        <w:rPr>
          <w:i/>
        </w:rPr>
        <w:t xml:space="preserve">La aprobación, modificación sustancial y adaptación de los instrumentos de </w:t>
      </w:r>
    </w:p>
    <w:p w:rsidR="00DA121A" w:rsidRDefault="00904DD6">
      <w:pPr>
        <w:spacing w:after="111" w:line="248" w:lineRule="auto"/>
        <w:ind w:left="288" w:right="145"/>
      </w:pPr>
      <w:r>
        <w:rPr>
          <w:i/>
        </w:rPr>
        <w:t>ordenación territorial, ambiental y urbanística se somet</w:t>
      </w:r>
      <w:r>
        <w:rPr>
          <w:i/>
        </w:rPr>
        <w:t xml:space="preserve">erán al procedimiento de evaluación ambiental de planes y programas, en los términos contemplados en la legislación básica estatal y en la presente ley.  </w:t>
      </w:r>
    </w:p>
    <w:p w:rsidR="00DA121A" w:rsidRDefault="00904DD6">
      <w:pPr>
        <w:numPr>
          <w:ilvl w:val="0"/>
          <w:numId w:val="106"/>
        </w:numPr>
        <w:spacing w:after="11" w:line="248" w:lineRule="auto"/>
        <w:ind w:left="1744" w:right="145" w:hanging="328"/>
      </w:pPr>
      <w:r>
        <w:rPr>
          <w:i/>
        </w:rPr>
        <w:t xml:space="preserve">En el marco de la legislación básica del Estado, serán objeto de evaluación ambiental </w:t>
      </w:r>
    </w:p>
    <w:p w:rsidR="00DA121A" w:rsidRDefault="00904DD6">
      <w:pPr>
        <w:spacing w:after="109" w:line="248" w:lineRule="auto"/>
        <w:ind w:left="288" w:right="145"/>
      </w:pPr>
      <w:r>
        <w:rPr>
          <w:i/>
        </w:rPr>
        <w:t xml:space="preserve">estratégica simplificada:  </w:t>
      </w:r>
    </w:p>
    <w:p w:rsidR="00DA121A" w:rsidRDefault="00904DD6">
      <w:pPr>
        <w:numPr>
          <w:ilvl w:val="0"/>
          <w:numId w:val="107"/>
        </w:numPr>
        <w:spacing w:after="111" w:line="248" w:lineRule="auto"/>
        <w:ind w:right="145" w:hanging="259"/>
      </w:pPr>
      <w:r>
        <w:rPr>
          <w:i/>
        </w:rPr>
        <w:t xml:space="preserve">Los instrumentos de ordenación que establezcan el uso, a nivel municipal, de zonas de reducida extensión.  </w:t>
      </w:r>
    </w:p>
    <w:p w:rsidR="00DA121A" w:rsidRDefault="00904DD6">
      <w:pPr>
        <w:numPr>
          <w:ilvl w:val="0"/>
          <w:numId w:val="107"/>
        </w:numPr>
        <w:spacing w:after="108" w:line="248" w:lineRule="auto"/>
        <w:ind w:right="145" w:hanging="259"/>
      </w:pPr>
      <w:r>
        <w:rPr>
          <w:i/>
        </w:rPr>
        <w:t xml:space="preserve">Las modificaciones menores de los instrumentos de ordenación. </w:t>
      </w:r>
    </w:p>
    <w:p w:rsidR="00DA121A" w:rsidRDefault="00904DD6">
      <w:pPr>
        <w:numPr>
          <w:ilvl w:val="0"/>
          <w:numId w:val="107"/>
        </w:numPr>
        <w:spacing w:after="111" w:line="248" w:lineRule="auto"/>
        <w:ind w:right="145" w:hanging="259"/>
      </w:pPr>
      <w:r>
        <w:rPr>
          <w:i/>
        </w:rPr>
        <w:t xml:space="preserve">Los proyectos de interés insular o autonómico que contengan ordenación.  </w:t>
      </w:r>
    </w:p>
    <w:p w:rsidR="00DA121A" w:rsidRDefault="00904DD6">
      <w:pPr>
        <w:numPr>
          <w:ilvl w:val="0"/>
          <w:numId w:val="107"/>
        </w:numPr>
        <w:spacing w:after="108" w:line="248" w:lineRule="auto"/>
        <w:ind w:right="145" w:hanging="259"/>
      </w:pPr>
      <w:r>
        <w:rPr>
          <w:i/>
        </w:rPr>
        <w:t xml:space="preserve">La ordenación pormenorizada de un plan general.  </w:t>
      </w:r>
    </w:p>
    <w:p w:rsidR="00DA121A" w:rsidRDefault="00904DD6">
      <w:pPr>
        <w:numPr>
          <w:ilvl w:val="0"/>
          <w:numId w:val="107"/>
        </w:numPr>
        <w:spacing w:after="111" w:line="248" w:lineRule="auto"/>
        <w:ind w:right="145" w:hanging="259"/>
      </w:pPr>
      <w:r>
        <w:rPr>
          <w:i/>
        </w:rPr>
        <w:t xml:space="preserve">Los planes parciales y especiales que desarrollen planes generales que hayan sido sometidos a evaluación ambiental estratégica.  </w:t>
      </w:r>
    </w:p>
    <w:p w:rsidR="00DA121A" w:rsidRDefault="00904DD6">
      <w:pPr>
        <w:spacing w:after="112" w:line="248" w:lineRule="auto"/>
        <w:ind w:left="288" w:right="145"/>
      </w:pPr>
      <w:r>
        <w:rPr>
          <w:i/>
        </w:rPr>
        <w:t>No</w:t>
      </w:r>
      <w:r>
        <w:rPr>
          <w:i/>
        </w:rPr>
        <w:t xml:space="preserve"> obstante, cuando el plan parcial o el plan especial no se ajusten, en todo o en parte, a las determinaciones ambientales del plan general deberán someterse a evaluación ambiental estratégica ordinaria en la parte que no cumplan con las mismas.  </w:t>
      </w:r>
    </w:p>
    <w:p w:rsidR="00DA121A" w:rsidRDefault="00904DD6">
      <w:pPr>
        <w:numPr>
          <w:ilvl w:val="1"/>
          <w:numId w:val="107"/>
        </w:numPr>
        <w:spacing w:after="11" w:line="248" w:lineRule="auto"/>
        <w:ind w:right="145" w:hanging="257"/>
      </w:pPr>
      <w:r>
        <w:rPr>
          <w:i/>
        </w:rPr>
        <w:t>En los ca</w:t>
      </w:r>
      <w:r>
        <w:rPr>
          <w:i/>
        </w:rPr>
        <w:t xml:space="preserve">sos en que los planes se estructurasen en distintos ámbitos jerárquicos de </w:t>
      </w:r>
    </w:p>
    <w:p w:rsidR="00DA121A" w:rsidRDefault="00904DD6">
      <w:pPr>
        <w:spacing w:after="114" w:line="248" w:lineRule="auto"/>
        <w:ind w:left="288" w:right="145"/>
      </w:pPr>
      <w:r>
        <w:rPr>
          <w:i/>
        </w:rPr>
        <w:t>decisión de una misma administración pública canaria, cuando sea preciso llevar a cabo la evaluación ambiental de cada uno de ellos, esta deberá realizarse teniendo en cuenta el co</w:t>
      </w:r>
      <w:r>
        <w:rPr>
          <w:i/>
        </w:rPr>
        <w:t>ntenido y el grado de especificación del plan, la fase del proceso de decisión en que se encuentre y la medida en que la evaluación de determinados aspectos pueda ser más adecuada en fases distintas de dicho proceso, con objeto de evitar la duplicidad de e</w:t>
      </w:r>
      <w:r>
        <w:rPr>
          <w:i/>
        </w:rPr>
        <w:t>valuaciones. A estos efectos, el correspondiente estudio ambiental estratégico del plan deberá elaborarse a partir de la evaluación ya realizada y de las decisiones tomadas en la evaluación del instrumento superior, sin perjuicio además de la utilización d</w:t>
      </w:r>
      <w:r>
        <w:rPr>
          <w:i/>
        </w:rPr>
        <w:t xml:space="preserve">e la información pertinente disponible, que, estando actualizada y siendo completa en lo relativo a los efectos medioambientales del nuevo plan o programa, se hubiera aprobado en otras fases del proceso de decisión.  </w:t>
      </w:r>
    </w:p>
    <w:p w:rsidR="00DA121A" w:rsidRDefault="00904DD6">
      <w:pPr>
        <w:numPr>
          <w:ilvl w:val="1"/>
          <w:numId w:val="107"/>
        </w:numPr>
        <w:spacing w:after="11" w:line="248" w:lineRule="auto"/>
        <w:ind w:right="145" w:hanging="257"/>
      </w:pPr>
      <w:r>
        <w:rPr>
          <w:i/>
        </w:rPr>
        <w:t>Cuando exista una concurrencia de plan</w:t>
      </w:r>
      <w:r>
        <w:rPr>
          <w:i/>
        </w:rPr>
        <w:t xml:space="preserve">es o programas promovidos por diferentes </w:t>
      </w:r>
    </w:p>
    <w:p w:rsidR="00DA121A" w:rsidRDefault="00904DD6">
      <w:pPr>
        <w:spacing w:after="114" w:line="248" w:lineRule="auto"/>
        <w:ind w:left="288" w:right="145"/>
      </w:pPr>
      <w:r>
        <w:rPr>
          <w:i/>
        </w:rPr>
        <w:t>administraciones públicas canarias, estas deberán adoptar las medidas necesarias para evitar que se produzca una duplicidad de evaluaciones. A estos efectos, no deberán someterse a un nuevo proceso de evaluación, c</w:t>
      </w:r>
      <w:r>
        <w:rPr>
          <w:i/>
        </w:rPr>
        <w:t>omo consecuencia de la elaboración y aprobación de un plan de ordenación urbanística o territorial, los aspectos relativos a infraestructuras de titularidad autonómica cuya planificación sectorial haya sido sometida previamente a la correspondiente evaluac</w:t>
      </w:r>
      <w:r>
        <w:rPr>
          <w:i/>
        </w:rPr>
        <w:t>ión ambiental conforme a lo dispuesto en esta ley. En tales casos, la administración pública competente para la aprobación del plan de ordenación urbanística o territorial podrá exigir que se tengan en cuenta los aspectos no específicamente considerados en</w:t>
      </w:r>
      <w:r>
        <w:rPr>
          <w:i/>
        </w:rPr>
        <w:t xml:space="preserve"> la primera evaluación ambiental. </w:t>
      </w:r>
    </w:p>
    <w:p w:rsidR="00DA121A" w:rsidRDefault="00904DD6">
      <w:pPr>
        <w:numPr>
          <w:ilvl w:val="1"/>
          <w:numId w:val="107"/>
        </w:numPr>
        <w:spacing w:after="11" w:line="248" w:lineRule="auto"/>
        <w:ind w:right="145" w:hanging="257"/>
      </w:pPr>
      <w:r>
        <w:rPr>
          <w:i/>
        </w:rPr>
        <w:t xml:space="preserve">La evaluación ambiental estratégica posterior de cualquier plan o programa, aunque </w:t>
      </w:r>
    </w:p>
    <w:p w:rsidR="00DA121A" w:rsidRDefault="00904DD6">
      <w:pPr>
        <w:spacing w:after="0" w:line="248" w:lineRule="auto"/>
        <w:ind w:left="288" w:right="145"/>
      </w:pPr>
      <w:r>
        <w:rPr>
          <w:i/>
        </w:rPr>
        <w:t xml:space="preserve">sea de rango superior, deberá acomodarse a la declaración ambiental estratégica o, en su caso, al informe ambiental estratégico recaído con anterioridad. En el supuesto de que el resultado de las evaluaciones fuera contradictorio, deberán justificarse las </w:t>
      </w:r>
      <w:r>
        <w:rPr>
          <w:i/>
        </w:rPr>
        <w:t xml:space="preserve">razones y motivaciones de la nueva evaluación, así como la corrección de la anterior. </w:t>
      </w:r>
    </w:p>
    <w:p w:rsidR="00DA121A" w:rsidRDefault="00904DD6">
      <w:pPr>
        <w:numPr>
          <w:ilvl w:val="1"/>
          <w:numId w:val="107"/>
        </w:numPr>
        <w:spacing w:after="99" w:line="259" w:lineRule="auto"/>
        <w:ind w:right="145" w:hanging="257"/>
      </w:pPr>
      <w:r>
        <w:rPr>
          <w:i/>
        </w:rPr>
        <w:t xml:space="preserve">A los efectos previstos en el presente artículo, tendrá la consideración de:  </w:t>
      </w:r>
    </w:p>
    <w:p w:rsidR="00DA121A" w:rsidRDefault="00904DD6">
      <w:pPr>
        <w:numPr>
          <w:ilvl w:val="0"/>
          <w:numId w:val="108"/>
        </w:numPr>
        <w:spacing w:after="111" w:line="248" w:lineRule="auto"/>
        <w:ind w:right="145"/>
      </w:pPr>
      <w:r>
        <w:rPr>
          <w:i/>
        </w:rPr>
        <w:t>Promotor: La persona física o jurídica, pública o privada, que tenga atribuida la iniciati</w:t>
      </w:r>
      <w:r>
        <w:rPr>
          <w:i/>
        </w:rPr>
        <w:t xml:space="preserve">va para la elaboración del correspondiente instrumento de ordenación.  </w:t>
      </w:r>
    </w:p>
    <w:p w:rsidR="00DA121A" w:rsidRDefault="00904DD6">
      <w:pPr>
        <w:numPr>
          <w:ilvl w:val="0"/>
          <w:numId w:val="108"/>
        </w:numPr>
        <w:spacing w:after="111" w:line="248" w:lineRule="auto"/>
        <w:ind w:right="145"/>
      </w:pPr>
      <w:r>
        <w:rPr>
          <w:i/>
        </w:rPr>
        <w:t xml:space="preserve">Órgano sustantivo: El órgano competente para su aprobación. Cuando el órgano sustantivo promueva el instrumento de ordenación, realizará las actuaciones atribuidas al promotor.  </w:t>
      </w:r>
    </w:p>
    <w:p w:rsidR="00DA121A" w:rsidRDefault="00904DD6">
      <w:pPr>
        <w:numPr>
          <w:ilvl w:val="0"/>
          <w:numId w:val="108"/>
        </w:numPr>
        <w:spacing w:after="111" w:line="248" w:lineRule="auto"/>
        <w:ind w:right="145"/>
      </w:pPr>
      <w:r>
        <w:rPr>
          <w:i/>
        </w:rPr>
        <w:t>Órgan</w:t>
      </w:r>
      <w:r>
        <w:rPr>
          <w:i/>
        </w:rPr>
        <w:t>o ambiental: en el caso de los instrumentos autonómicos, lo será el órgano que designe el Gobierno de Canarias; en cuanto a los instrumentos insulares, lo será el órgano que designe el cabildo o, previa delegación, el órgano ambiental autonómico; y en el c</w:t>
      </w:r>
      <w:r>
        <w:rPr>
          <w:i/>
        </w:rPr>
        <w:t xml:space="preserve">aso de los instrumentos municipales, lo será el que pueda designar el ayuntamiento, si cuenta con los recursos suficientes, pudiendo delegar esta competencia en el órgano ambiental autonómico o el órgano ambiental insular de la isla a la que pertenezca, o </w:t>
      </w:r>
      <w:r>
        <w:rPr>
          <w:i/>
        </w:rPr>
        <w:t xml:space="preserve">bien constituir un órgano ambiental en mancomunidad con otros municipios.  </w:t>
      </w:r>
    </w:p>
    <w:p w:rsidR="00DA121A" w:rsidRDefault="00904DD6">
      <w:pPr>
        <w:spacing w:after="114" w:line="248" w:lineRule="auto"/>
        <w:ind w:left="288" w:right="145"/>
      </w:pPr>
      <w:r>
        <w:rPr>
          <w:i/>
        </w:rPr>
        <w:t>Asimismo, podrá encomendarse el ejercicio de los aspectos materiales o técnicos de la competencia de los órganos ambientales, en caso de estar constituidos, mediante convenio de en</w:t>
      </w:r>
      <w:r>
        <w:rPr>
          <w:i/>
        </w:rPr>
        <w:t xml:space="preserve">comienda de gestión en los términos de la legislación básica sobre régimen jurídico del sector público.  </w:t>
      </w:r>
    </w:p>
    <w:p w:rsidR="00DA121A" w:rsidRDefault="00904DD6">
      <w:pPr>
        <w:spacing w:after="111" w:line="248" w:lineRule="auto"/>
        <w:ind w:left="288" w:right="145"/>
      </w:pPr>
      <w:r>
        <w:rPr>
          <w:i/>
        </w:rPr>
        <w:t>El acuerdo de delegación o encomienda o de aceptación de las mismas o de aprobación del convenio de encomienda deberá adoptarse por el pleno de la ent</w:t>
      </w:r>
      <w:r>
        <w:rPr>
          <w:i/>
        </w:rPr>
        <w:t xml:space="preserve">idad o por el Gobierno de Canarias, según proceda.  </w:t>
      </w:r>
    </w:p>
    <w:p w:rsidR="00DA121A" w:rsidRDefault="00904DD6">
      <w:pPr>
        <w:spacing w:after="114" w:line="248" w:lineRule="auto"/>
        <w:ind w:left="288" w:right="145"/>
      </w:pPr>
      <w:r>
        <w:rPr>
          <w:i/>
        </w:rPr>
        <w:t xml:space="preserve">No obstante, en los municipios de menos de 100.000 habitantes de derecho, la evaluación ambiental de la ordenación urbanística estructural de los planes generales de ordenación, así como en los casos de </w:t>
      </w:r>
      <w:r>
        <w:rPr>
          <w:i/>
        </w:rPr>
        <w:t xml:space="preserve">modificación sustancial de los mismos, corresponderá al órgano ambiental autonómico.  </w:t>
      </w:r>
    </w:p>
    <w:p w:rsidR="00DA121A" w:rsidRDefault="00904DD6">
      <w:pPr>
        <w:spacing w:after="111" w:line="248" w:lineRule="auto"/>
        <w:ind w:left="288" w:right="145"/>
      </w:pPr>
      <w:r>
        <w:rPr>
          <w:i/>
        </w:rPr>
        <w:t xml:space="preserve">A estos efectos, se entiende por ordenación urbanística estructural la delimitada por el artículo 136 de esta ley, y por modificación sustancial los supuestos previstos </w:t>
      </w:r>
      <w:r>
        <w:rPr>
          <w:i/>
        </w:rPr>
        <w:t xml:space="preserve">en el artículo 163 de esta ley. Asimismo, podrá encomendarse el ejercicio de los aspectos materiales o técnicos de la competencia de los órganos ambientales, en caso de estar constituidos, mediante convenio.  </w:t>
      </w:r>
    </w:p>
    <w:p w:rsidR="00DA121A" w:rsidRDefault="00904DD6">
      <w:pPr>
        <w:spacing w:after="114" w:line="248" w:lineRule="auto"/>
        <w:ind w:left="288" w:right="145"/>
      </w:pPr>
      <w:r>
        <w:rPr>
          <w:i/>
        </w:rPr>
        <w:t xml:space="preserve">El acuerdo de delegación deberá adoptarse por </w:t>
      </w:r>
      <w:r>
        <w:rPr>
          <w:i/>
        </w:rPr>
        <w:t>el Pleno de la entidad local, y el acuerdo de aceptación de la delegación o de aprobación del convenio de encomienda, por el Pleno del respectivo cabildo insular o por el Gobierno de Canarias, según proceda. No obstante, en los municipios de menos de 100.0</w:t>
      </w:r>
      <w:r>
        <w:rPr>
          <w:i/>
        </w:rPr>
        <w:t xml:space="preserve">00 habitantes de derecho, la evaluación ambiental de la ordenación urbanística estructural de los planes generales de ordenación, así como en los casos de modificación sustancial de los mismos, corresponderá al órgano ambiental autonómico.  </w:t>
      </w:r>
    </w:p>
    <w:p w:rsidR="00DA121A" w:rsidRDefault="00904DD6">
      <w:pPr>
        <w:spacing w:after="114" w:line="248" w:lineRule="auto"/>
        <w:ind w:left="288" w:right="145"/>
      </w:pPr>
      <w:r>
        <w:rPr>
          <w:i/>
        </w:rPr>
        <w:t>A estos efecto</w:t>
      </w:r>
      <w:r>
        <w:rPr>
          <w:i/>
        </w:rPr>
        <w:t xml:space="preserve">s, se entiende por ordenación urbanística estructural la delimitada por el artículo 136 de esta ley, y por modificación sustancial los supuestos previstos en el artículo 163 de esta ley.  </w:t>
      </w:r>
    </w:p>
    <w:p w:rsidR="00DA121A" w:rsidRDefault="00904DD6">
      <w:pPr>
        <w:numPr>
          <w:ilvl w:val="0"/>
          <w:numId w:val="109"/>
        </w:numPr>
        <w:spacing w:after="9" w:line="249" w:lineRule="auto"/>
        <w:ind w:right="146" w:hanging="326"/>
        <w:jc w:val="right"/>
      </w:pPr>
      <w:r>
        <w:rPr>
          <w:i/>
        </w:rPr>
        <w:t xml:space="preserve">De acuerdo con la normativa europea y estatal, el órgano ambiental </w:t>
      </w:r>
      <w:r>
        <w:rPr>
          <w:i/>
        </w:rPr>
        <w:t xml:space="preserve">debe contar con </w:t>
      </w:r>
    </w:p>
    <w:p w:rsidR="00DA121A" w:rsidRDefault="00904DD6">
      <w:pPr>
        <w:spacing w:after="108" w:line="248" w:lineRule="auto"/>
        <w:ind w:left="288" w:right="145"/>
      </w:pPr>
      <w:r>
        <w:rPr>
          <w:i/>
        </w:rPr>
        <w:t xml:space="preserve">separación funcional y orgánica respecto del órgano sustantivo. </w:t>
      </w:r>
    </w:p>
    <w:p w:rsidR="00DA121A" w:rsidRDefault="00904DD6">
      <w:pPr>
        <w:numPr>
          <w:ilvl w:val="0"/>
          <w:numId w:val="109"/>
        </w:numPr>
        <w:spacing w:after="9" w:line="249" w:lineRule="auto"/>
        <w:ind w:right="146" w:hanging="326"/>
        <w:jc w:val="right"/>
      </w:pPr>
      <w:r>
        <w:rPr>
          <w:i/>
        </w:rPr>
        <w:t xml:space="preserve">La declaración ambiental estratégica tiene carácter de informe preceptivo y </w:t>
      </w:r>
    </w:p>
    <w:p w:rsidR="00DA121A" w:rsidRDefault="00904DD6">
      <w:pPr>
        <w:spacing w:after="111" w:line="248" w:lineRule="auto"/>
        <w:ind w:left="288" w:right="145"/>
      </w:pPr>
      <w:r>
        <w:rPr>
          <w:i/>
        </w:rPr>
        <w:t>determinante, por lo que su no emisión en plazo podrá interrumpir el plazo de los trámites sucesi</w:t>
      </w:r>
      <w:r>
        <w:rPr>
          <w:i/>
        </w:rPr>
        <w:t xml:space="preserve">vos, de conformidad con lo previsto en la legislación de procedimiento administrativo común. La falta de emisión de la declaración ambiental estratégica en ningún caso podrá entenderse que equivale a una evaluación ambiental favorable.  </w:t>
      </w:r>
    </w:p>
    <w:p w:rsidR="00DA121A" w:rsidRDefault="00904DD6">
      <w:pPr>
        <w:numPr>
          <w:ilvl w:val="0"/>
          <w:numId w:val="109"/>
        </w:numPr>
        <w:spacing w:after="110" w:line="249" w:lineRule="auto"/>
        <w:ind w:right="146" w:hanging="326"/>
        <w:jc w:val="right"/>
      </w:pPr>
      <w:r>
        <w:rPr>
          <w:i/>
        </w:rPr>
        <w:t>El Gobierno establecerá reglamentariamente las normas, los criterios y la metodología a utilizar por el órgano ambiental en el ejercicio de su función, asegurando la unidad y coherencia de la evaluación ambiental, de acuerdo con criterios públicos y conoci</w:t>
      </w:r>
      <w:r>
        <w:rPr>
          <w:i/>
        </w:rPr>
        <w:t>dos de antemano, lo más objetivos y reglados que permita el estado del conocimiento científico y técnico y de los métodos de evaluación existentes. 10. En lo no previsto en la presente ley se estará a lo dispuesto en la legislación estatal básica en materi</w:t>
      </w:r>
      <w:r>
        <w:rPr>
          <w:i/>
        </w:rPr>
        <w:t xml:space="preserve">a de evaluación ambiental. </w:t>
      </w:r>
    </w:p>
    <w:p w:rsidR="00DA121A" w:rsidRDefault="00904DD6">
      <w:pPr>
        <w:ind w:left="1426" w:right="146"/>
      </w:pPr>
      <w:r>
        <w:t xml:space="preserve">Es de aplicación el artículo Artículo 114 del DECRETO 181/2018, de 26 de diciembre, </w:t>
      </w:r>
    </w:p>
    <w:p w:rsidR="00DA121A" w:rsidRDefault="00904DD6">
      <w:pPr>
        <w:spacing w:after="109"/>
        <w:ind w:left="288" w:right="146"/>
      </w:pPr>
      <w:r>
        <w:t xml:space="preserve">por el que se aprueba el Reglamento de Planeamiento de Canarias en cuanto a l Solicitud de inicio: </w:t>
      </w:r>
    </w:p>
    <w:p w:rsidR="00DA121A" w:rsidRDefault="00904DD6">
      <w:pPr>
        <w:ind w:left="1426" w:right="146"/>
      </w:pPr>
      <w:r>
        <w:t>1. El procedimiento de evaluación ambiental</w:t>
      </w:r>
      <w:r>
        <w:t xml:space="preserve"> simplificada comienza con la solicitud de </w:t>
      </w:r>
    </w:p>
    <w:p w:rsidR="00DA121A" w:rsidRDefault="00904DD6">
      <w:pPr>
        <w:spacing w:after="112"/>
        <w:ind w:left="288" w:right="146"/>
      </w:pPr>
      <w:r>
        <w:t>inicio de la evaluación. El promotor presentará ante el órgano sustantivo, junto a la documentación exigida por la normativa sectorial, una solicitud de inicio de la Evaluación Ambiental Simplificada, el Document</w:t>
      </w:r>
      <w:r>
        <w:t xml:space="preserve">o Ambiental Estratégico, con el contenido exigido por la legislación básica, y el Borrador del Plan. </w:t>
      </w:r>
    </w:p>
    <w:p w:rsidR="00DA121A" w:rsidRDefault="00904DD6">
      <w:pPr>
        <w:spacing w:after="109"/>
        <w:ind w:left="1426" w:right="146"/>
      </w:pPr>
      <w:r>
        <w:t xml:space="preserve">Ley 21/2013, de 9 de diciembre, de evaluación ambiental. </w:t>
      </w:r>
    </w:p>
    <w:p w:rsidR="00DA121A" w:rsidRDefault="00904DD6">
      <w:pPr>
        <w:spacing w:after="98" w:line="259" w:lineRule="auto"/>
        <w:ind w:left="1416" w:firstLine="0"/>
        <w:jc w:val="left"/>
      </w:pPr>
      <w:r>
        <w:rPr>
          <w:b/>
        </w:rPr>
        <w:t xml:space="preserve"> </w:t>
      </w:r>
    </w:p>
    <w:p w:rsidR="00DA121A" w:rsidRDefault="00904DD6">
      <w:pPr>
        <w:spacing w:after="4"/>
        <w:ind w:left="1426" w:right="144"/>
      </w:pPr>
      <w:r>
        <w:rPr>
          <w:b/>
        </w:rPr>
        <w:t xml:space="preserve">Segundo. - Es de aplicación el acuerdo del Pleno de 24 de febrero de 2022 </w:t>
      </w:r>
    </w:p>
    <w:p w:rsidR="00DA121A" w:rsidRDefault="00904DD6">
      <w:pPr>
        <w:spacing w:after="114"/>
        <w:ind w:left="279" w:right="144"/>
      </w:pPr>
      <w:r>
        <w:rPr>
          <w:b/>
        </w:rPr>
        <w:t>debidamente notific</w:t>
      </w:r>
      <w:r>
        <w:rPr>
          <w:b/>
        </w:rPr>
        <w:t xml:space="preserve">ado a la Consejería de Transición Ecológica del Gobierno de Canarias en el que expresamente se dispuso: </w:t>
      </w:r>
    </w:p>
    <w:p w:rsidR="00DA121A" w:rsidRDefault="00904DD6">
      <w:pPr>
        <w:spacing w:after="11" w:line="248" w:lineRule="auto"/>
        <w:ind w:left="1426" w:right="145"/>
      </w:pPr>
      <w:r>
        <w:rPr>
          <w:i/>
        </w:rPr>
        <w:t xml:space="preserve">Primero. - Delegar en el órgano ambiental de la Comunidad Autónoma la evaluación </w:t>
      </w:r>
    </w:p>
    <w:p w:rsidR="00DA121A" w:rsidRDefault="00904DD6">
      <w:pPr>
        <w:spacing w:after="111" w:line="248" w:lineRule="auto"/>
        <w:ind w:left="288" w:right="145"/>
      </w:pPr>
      <w:r>
        <w:rPr>
          <w:i/>
        </w:rPr>
        <w:t xml:space="preserve">ambiental estratégica, ordinaria o simplificada, de los instrumentos </w:t>
      </w:r>
      <w:r>
        <w:rPr>
          <w:i/>
        </w:rPr>
        <w:t xml:space="preserve">de ordenación urbanística de competencia municipal, así como sus modificaciones.  </w:t>
      </w:r>
    </w:p>
    <w:p w:rsidR="00DA121A" w:rsidRDefault="00904DD6">
      <w:pPr>
        <w:spacing w:after="11" w:line="248" w:lineRule="auto"/>
        <w:ind w:left="1426" w:right="145"/>
      </w:pPr>
      <w:r>
        <w:rPr>
          <w:i/>
        </w:rPr>
        <w:t xml:space="preserve">Segundo. - Delegar en el órgano ambiental de la Comunidad Autónoma la evaluación </w:t>
      </w:r>
    </w:p>
    <w:p w:rsidR="00DA121A" w:rsidRDefault="00904DD6">
      <w:pPr>
        <w:spacing w:after="108" w:line="248" w:lineRule="auto"/>
        <w:ind w:left="288" w:right="145"/>
      </w:pPr>
      <w:r>
        <w:rPr>
          <w:i/>
        </w:rPr>
        <w:t xml:space="preserve">y declaración de impacto ambiental de proyectos que deba tramitar y autorizar el Ayuntamiento. </w:t>
      </w:r>
    </w:p>
    <w:p w:rsidR="00DA121A" w:rsidRDefault="00904DD6">
      <w:pPr>
        <w:spacing w:after="98" w:line="259" w:lineRule="auto"/>
        <w:ind w:left="1416" w:firstLine="0"/>
        <w:jc w:val="left"/>
      </w:pPr>
      <w:r>
        <w:rPr>
          <w:b/>
          <w:i/>
        </w:rPr>
        <w:t xml:space="preserve"> </w:t>
      </w:r>
    </w:p>
    <w:p w:rsidR="00DA121A" w:rsidRDefault="00904DD6">
      <w:pPr>
        <w:spacing w:after="96" w:line="262" w:lineRule="auto"/>
        <w:ind w:left="1228" w:right="1437"/>
        <w:jc w:val="center"/>
      </w:pPr>
      <w:r>
        <w:rPr>
          <w:b/>
        </w:rPr>
        <w:t xml:space="preserve">Propuesta de Acuerdo: </w:t>
      </w:r>
    </w:p>
    <w:p w:rsidR="00DA121A" w:rsidRDefault="00904DD6">
      <w:pPr>
        <w:spacing w:after="30"/>
        <w:ind w:left="1426" w:right="146"/>
      </w:pPr>
      <w:r>
        <w:rPr>
          <w:b/>
        </w:rPr>
        <w:t>Primero</w:t>
      </w:r>
      <w:r>
        <w:t xml:space="preserve">. - Tomar conocimiento del procedimiento de evaluación ambiental estratégica </w:t>
      </w:r>
    </w:p>
    <w:p w:rsidR="00DA121A" w:rsidRDefault="00904DD6">
      <w:pPr>
        <w:ind w:left="288" w:right="146"/>
      </w:pPr>
      <w:r>
        <w:t>para la aprobación de la Modificación Menor de ini</w:t>
      </w:r>
      <w:r>
        <w:t>ciativa privada del Plan General de Candelaria, La Fuente-Afirama y al que se adjunta un ejemplar en soporte digital del documento técnico, así como del documento ambiental estratégico.</w:t>
      </w:r>
      <w:r>
        <w:rPr>
          <w:rFonts w:ascii="Times New Roman" w:eastAsia="Times New Roman" w:hAnsi="Times New Roman" w:cs="Times New Roman"/>
          <w:sz w:val="24"/>
        </w:rPr>
        <w:t xml:space="preserve"> </w:t>
      </w:r>
    </w:p>
    <w:p w:rsidR="00DA121A" w:rsidRDefault="00904DD6">
      <w:pPr>
        <w:spacing w:after="16" w:line="259" w:lineRule="auto"/>
        <w:ind w:left="1416" w:firstLine="0"/>
        <w:jc w:val="left"/>
      </w:pPr>
      <w:r>
        <w:t xml:space="preserve"> </w:t>
      </w:r>
    </w:p>
    <w:p w:rsidR="00DA121A" w:rsidRDefault="00904DD6">
      <w:pPr>
        <w:spacing w:after="42"/>
        <w:ind w:left="1426" w:right="146"/>
      </w:pPr>
      <w:r>
        <w:t xml:space="preserve">Se toma conocimiento de los siguientes documentos: </w:t>
      </w:r>
    </w:p>
    <w:p w:rsidR="00DA121A" w:rsidRDefault="00904DD6">
      <w:pPr>
        <w:numPr>
          <w:ilvl w:val="0"/>
          <w:numId w:val="110"/>
        </w:numPr>
        <w:spacing w:after="40"/>
        <w:ind w:right="146" w:hanging="360"/>
      </w:pPr>
      <w:r>
        <w:t xml:space="preserve">Borrador para la Modificación Menor del Plan General de Ordenación de Candelaria La Fuente-Afirama, redactado por D. Gilberto Díaz Díaz arquitecto colegiado 2621 y firmada de fecha 2 de octubre de 2022 </w:t>
      </w:r>
    </w:p>
    <w:p w:rsidR="00DA121A" w:rsidRDefault="00904DD6">
      <w:pPr>
        <w:numPr>
          <w:ilvl w:val="0"/>
          <w:numId w:val="110"/>
        </w:numPr>
        <w:spacing w:after="29"/>
        <w:ind w:right="146" w:hanging="360"/>
      </w:pPr>
      <w:r>
        <w:t>Documento Ambiental Estratégico, redactado por José L</w:t>
      </w:r>
      <w:r>
        <w:t xml:space="preserve">uis Roig Izquierdo, Geólogo colegiado nº4475 y firmada con fecha 9 de febrero de 2022 </w:t>
      </w:r>
    </w:p>
    <w:p w:rsidR="00DA121A" w:rsidRDefault="00904DD6">
      <w:pPr>
        <w:spacing w:after="14" w:line="259" w:lineRule="auto"/>
        <w:ind w:left="1416" w:firstLine="0"/>
        <w:jc w:val="left"/>
      </w:pPr>
      <w:r>
        <w:t xml:space="preserve"> </w:t>
      </w:r>
    </w:p>
    <w:p w:rsidR="00DA121A" w:rsidRDefault="00904DD6">
      <w:pPr>
        <w:spacing w:after="30"/>
        <w:ind w:left="1426" w:right="146"/>
      </w:pPr>
      <w:r>
        <w:rPr>
          <w:b/>
        </w:rPr>
        <w:t>Segundo</w:t>
      </w:r>
      <w:r>
        <w:t xml:space="preserve">.- Someter al procedimiento simplificado de evaluación ambiental estratégica, </w:t>
      </w:r>
    </w:p>
    <w:p w:rsidR="00DA121A" w:rsidRDefault="00904DD6">
      <w:pPr>
        <w:spacing w:after="26"/>
        <w:ind w:left="288" w:right="146"/>
      </w:pPr>
      <w:r>
        <w:t>a efectos de que, según lo dispuesto en el artículo 86.2.a) de la Ley 4/2017, de 13 de julio, del Suelo y de los Espacios Naturales Protegidos de Canarias (LSENPC), y de la Ley 21/2013, 165.3 de la LSENPC y 106.3 del RPC, el órgano ambiental resuelva media</w:t>
      </w:r>
      <w:r>
        <w:t>nte la emisión del informe ambiental estratégico que la modificación no tiene efectos significativos sobre el medio ambiente, o, en su caso, que procede someter la modificación menor a una evaluación ambiental estratégica ordinaria porque pueda tener efect</w:t>
      </w:r>
      <w:r>
        <w:t>os significativos sobre el medio ambiente.</w:t>
      </w:r>
      <w:r>
        <w:rPr>
          <w:rFonts w:ascii="Times New Roman" w:eastAsia="Times New Roman" w:hAnsi="Times New Roman" w:cs="Times New Roman"/>
          <w:sz w:val="24"/>
        </w:rPr>
        <w:t xml:space="preserve"> </w:t>
      </w:r>
    </w:p>
    <w:p w:rsidR="00DA121A" w:rsidRDefault="00904DD6">
      <w:pPr>
        <w:spacing w:after="14" w:line="259" w:lineRule="auto"/>
        <w:ind w:left="1416" w:firstLine="0"/>
        <w:jc w:val="left"/>
      </w:pPr>
      <w:r>
        <w:t xml:space="preserve"> </w:t>
      </w:r>
    </w:p>
    <w:p w:rsidR="00DA121A" w:rsidRDefault="00904DD6">
      <w:pPr>
        <w:spacing w:after="27" w:line="250" w:lineRule="auto"/>
        <w:ind w:left="10" w:right="146"/>
        <w:jc w:val="right"/>
      </w:pPr>
      <w:r>
        <w:rPr>
          <w:b/>
        </w:rPr>
        <w:t>Tercero.</w:t>
      </w:r>
      <w:r>
        <w:t xml:space="preserve"> - Remitir la documentación técnica debidamente autenticada electrónica-</w:t>
      </w:r>
    </w:p>
    <w:p w:rsidR="00DA121A" w:rsidRDefault="00904DD6">
      <w:pPr>
        <w:spacing w:line="296" w:lineRule="auto"/>
        <w:ind w:left="288" w:right="146"/>
      </w:pPr>
      <w:r>
        <w:t>mente y el certificado del acuerdo adoptado a la Consejería de Transición Ecológica, Lucha contra el Cambio Climático y Planifica</w:t>
      </w:r>
      <w:r>
        <w:t>ción Territorial del Gobierno de Canarias.”</w:t>
      </w:r>
      <w:r>
        <w:rPr>
          <w:rFonts w:ascii="Times New Roman" w:eastAsia="Times New Roman" w:hAnsi="Times New Roman" w:cs="Times New Roman"/>
          <w:sz w:val="24"/>
        </w:rPr>
        <w:t xml:space="preserve"> </w:t>
      </w:r>
    </w:p>
    <w:p w:rsidR="00DA121A" w:rsidRDefault="00904DD6">
      <w:pPr>
        <w:spacing w:after="17" w:line="259" w:lineRule="auto"/>
        <w:ind w:left="1416" w:firstLine="0"/>
        <w:jc w:val="left"/>
      </w:pPr>
      <w:r>
        <w:t xml:space="preserve"> </w:t>
      </w:r>
    </w:p>
    <w:p w:rsidR="00DA121A" w:rsidRDefault="00904DD6">
      <w:pPr>
        <w:spacing w:after="16" w:line="259" w:lineRule="auto"/>
        <w:ind w:left="1416" w:firstLine="0"/>
        <w:jc w:val="left"/>
      </w:pPr>
      <w:r>
        <w:t xml:space="preserve"> </w:t>
      </w:r>
    </w:p>
    <w:p w:rsidR="00DA121A" w:rsidRDefault="00904DD6">
      <w:pPr>
        <w:spacing w:after="109"/>
        <w:ind w:left="288" w:right="146"/>
      </w:pPr>
      <w:r>
        <w:t xml:space="preserve">Por lo que se eleva a esta propuesta al Pleno del Ayuntamiento, que resolverá como mejor proceda </w:t>
      </w:r>
    </w:p>
    <w:p w:rsidR="00DA121A" w:rsidRDefault="00904DD6">
      <w:pPr>
        <w:spacing w:after="213" w:line="259" w:lineRule="auto"/>
        <w:ind w:left="284" w:firstLine="0"/>
        <w:jc w:val="left"/>
      </w:pPr>
      <w:r>
        <w:t xml:space="preserve"> </w:t>
      </w:r>
    </w:p>
    <w:p w:rsidR="00DA121A" w:rsidRDefault="00904DD6">
      <w:pPr>
        <w:spacing w:after="4"/>
        <w:ind w:left="279" w:right="144"/>
      </w:pPr>
      <w:r>
        <w:rPr>
          <w:b/>
        </w:rPr>
        <w:t>DICTAMEN FAVORABLE DE LA COMISIÓN INFORMATIVA DE P.G. URBANÍSTICA Y AMBIENTAL, OBRAS y SERVICIOS PÚBLICOS D</w:t>
      </w:r>
      <w:r>
        <w:rPr>
          <w:b/>
        </w:rPr>
        <w:t xml:space="preserve">E 27 DE MARZO DE 2023.  </w:t>
      </w:r>
    </w:p>
    <w:p w:rsidR="00DA121A" w:rsidRDefault="00904DD6">
      <w:pPr>
        <w:spacing w:after="0" w:line="259" w:lineRule="auto"/>
        <w:ind w:left="284" w:firstLine="0"/>
        <w:jc w:val="left"/>
      </w:pPr>
      <w:r>
        <w:rPr>
          <w:b/>
        </w:rPr>
        <w:t xml:space="preserve"> </w:t>
      </w:r>
    </w:p>
    <w:p w:rsidR="00DA121A" w:rsidRDefault="00904DD6">
      <w:pPr>
        <w:ind w:left="288" w:right="146"/>
      </w:pPr>
      <w:r>
        <w:t xml:space="preserve">Votos a favor: 4. </w:t>
      </w:r>
    </w:p>
    <w:p w:rsidR="00DA121A" w:rsidRDefault="00904DD6">
      <w:pPr>
        <w:spacing w:after="0" w:line="259" w:lineRule="auto"/>
        <w:ind w:left="284" w:firstLine="0"/>
        <w:jc w:val="left"/>
      </w:pPr>
      <w:r>
        <w:t xml:space="preserve"> </w:t>
      </w:r>
    </w:p>
    <w:p w:rsidR="00DA121A" w:rsidRDefault="00904DD6">
      <w:pPr>
        <w:ind w:left="288" w:right="146"/>
      </w:pPr>
      <w:r>
        <w:t xml:space="preserve">Los 4 concejales del Grupo Socialista:  Don Reinaldo José Triviño Blanco, Doña Hilaria Cecilia </w:t>
      </w:r>
    </w:p>
    <w:p w:rsidR="00DA121A" w:rsidRDefault="00904DD6">
      <w:pPr>
        <w:tabs>
          <w:tab w:val="center" w:pos="578"/>
          <w:tab w:val="center" w:pos="2003"/>
          <w:tab w:val="center" w:pos="3404"/>
          <w:tab w:val="center" w:pos="4771"/>
          <w:tab w:val="center" w:pos="6064"/>
          <w:tab w:val="center" w:pos="7289"/>
          <w:tab w:val="center" w:pos="8714"/>
          <w:tab w:val="right" w:pos="10005"/>
        </w:tabs>
        <w:ind w:left="0" w:firstLine="0"/>
        <w:jc w:val="left"/>
      </w:pPr>
      <w:r>
        <w:rPr>
          <w:rFonts w:ascii="Calibri" w:eastAsia="Calibri" w:hAnsi="Calibri" w:cs="Calibri"/>
        </w:rPr>
        <w:tab/>
      </w:r>
      <w:r>
        <w:t xml:space="preserve">Otazo </w:t>
      </w:r>
      <w:r>
        <w:tab/>
        <w:t xml:space="preserve">González, </w:t>
      </w:r>
      <w:r>
        <w:tab/>
        <w:t xml:space="preserve">Doña </w:t>
      </w:r>
      <w:r>
        <w:tab/>
        <w:t xml:space="preserve">Margarita </w:t>
      </w:r>
      <w:r>
        <w:tab/>
        <w:t xml:space="preserve">Eva </w:t>
      </w:r>
      <w:r>
        <w:tab/>
        <w:t xml:space="preserve">Tendero </w:t>
      </w:r>
      <w:r>
        <w:tab/>
        <w:t xml:space="preserve">Barroso </w:t>
      </w:r>
      <w:r>
        <w:tab/>
        <w:t xml:space="preserve">y  </w:t>
      </w:r>
    </w:p>
    <w:p w:rsidR="00DA121A" w:rsidRDefault="00904DD6">
      <w:pPr>
        <w:ind w:left="288" w:right="146"/>
      </w:pPr>
      <w:r>
        <w:t xml:space="preserve">Don Jorge Baute Delgado. </w:t>
      </w:r>
    </w:p>
    <w:p w:rsidR="00DA121A" w:rsidRDefault="00904DD6">
      <w:pPr>
        <w:spacing w:after="0" w:line="259" w:lineRule="auto"/>
        <w:ind w:left="284" w:firstLine="0"/>
        <w:jc w:val="left"/>
      </w:pPr>
      <w:r>
        <w:t xml:space="preserve"> </w:t>
      </w:r>
    </w:p>
    <w:p w:rsidR="00DA121A" w:rsidRDefault="00904DD6">
      <w:pPr>
        <w:ind w:left="288" w:right="146"/>
      </w:pPr>
      <w:r>
        <w:t xml:space="preserve">Votos en contra: 0. </w:t>
      </w:r>
    </w:p>
    <w:p w:rsidR="00DA121A" w:rsidRDefault="00904DD6">
      <w:pPr>
        <w:spacing w:after="0" w:line="259" w:lineRule="auto"/>
        <w:ind w:left="284" w:firstLine="0"/>
        <w:jc w:val="left"/>
      </w:pPr>
      <w:r>
        <w:t xml:space="preserve"> </w:t>
      </w:r>
    </w:p>
    <w:p w:rsidR="00DA121A" w:rsidRDefault="00904DD6">
      <w:pPr>
        <w:ind w:left="288" w:right="146"/>
      </w:pPr>
      <w:r>
        <w:t xml:space="preserve">Abstenciones: 3. </w:t>
      </w:r>
    </w:p>
    <w:p w:rsidR="00DA121A" w:rsidRDefault="00904DD6">
      <w:pPr>
        <w:spacing w:after="0" w:line="259" w:lineRule="auto"/>
        <w:ind w:left="284" w:firstLine="0"/>
        <w:jc w:val="left"/>
      </w:pPr>
      <w:r>
        <w:t xml:space="preserve"> </w:t>
      </w:r>
    </w:p>
    <w:p w:rsidR="00DA121A" w:rsidRDefault="00904DD6">
      <w:pPr>
        <w:ind w:left="288" w:right="146"/>
      </w:pPr>
      <w:r>
        <w:t xml:space="preserve">El concejal del Grupo Popular, Don Jacobo López Fariña. </w:t>
      </w:r>
    </w:p>
    <w:p w:rsidR="00DA121A" w:rsidRDefault="00904DD6">
      <w:pPr>
        <w:spacing w:after="0" w:line="259" w:lineRule="auto"/>
        <w:ind w:left="284" w:firstLine="0"/>
        <w:jc w:val="left"/>
      </w:pPr>
      <w:r>
        <w:t xml:space="preserve"> </w:t>
      </w:r>
    </w:p>
    <w:p w:rsidR="00DA121A" w:rsidRDefault="00904DD6">
      <w:pPr>
        <w:ind w:left="288" w:right="146"/>
      </w:pPr>
      <w:r>
        <w:t>La concejal del Grupo Mixto (SSP), Doña Lourdes del Carmen Mondéjar Rondón.</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La concejal del Grupo Mixto (CC-PNC): Doña Ángela Cruz Perera.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3464"/>
      </w:pPr>
      <w:r>
        <w:rPr>
          <w:b/>
        </w:rPr>
        <w:t>JUNTA DE PORTAVOCES DE 27 D</w:t>
      </w:r>
      <w:r>
        <w:rPr>
          <w:b/>
        </w:rPr>
        <w:t xml:space="preserve">E MARZO DE 2023  </w:t>
      </w:r>
      <w:r>
        <w:t xml:space="preserve">Quedó oída.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4"/>
        <w:ind w:left="279" w:right="144"/>
      </w:pPr>
      <w:r>
        <w:rPr>
          <w:b/>
        </w:rPr>
        <w:t xml:space="preserve">TOMA DE CONOCIMIENTO EN EL PLENO DE  30 DE MARZO DE 2023 </w:t>
      </w:r>
    </w:p>
    <w:p w:rsidR="00DA121A" w:rsidRDefault="00904DD6">
      <w:pPr>
        <w:spacing w:after="0" w:line="259" w:lineRule="auto"/>
        <w:ind w:left="186" w:firstLine="0"/>
        <w:jc w:val="center"/>
      </w:pPr>
      <w:r>
        <w:rPr>
          <w:b/>
        </w:rPr>
        <w:t xml:space="preserve"> </w:t>
      </w:r>
    </w:p>
    <w:p w:rsidR="00DA121A" w:rsidRDefault="00904DD6">
      <w:pPr>
        <w:tabs>
          <w:tab w:val="center" w:pos="284"/>
          <w:tab w:val="center" w:pos="3469"/>
        </w:tabs>
        <w:ind w:left="0" w:firstLine="0"/>
        <w:jc w:val="left"/>
      </w:pPr>
      <w:r>
        <w:rPr>
          <w:rFonts w:ascii="Calibri" w:eastAsia="Calibri" w:hAnsi="Calibri" w:cs="Calibri"/>
        </w:rPr>
        <w:tab/>
      </w:r>
      <w:r>
        <w:t xml:space="preserve"> </w:t>
      </w:r>
      <w:r>
        <w:tab/>
        <w:t xml:space="preserve">Los 18 concejales presentes quedaron enterrados: </w:t>
      </w:r>
    </w:p>
    <w:p w:rsidR="00DA121A" w:rsidRDefault="00904DD6">
      <w:pPr>
        <w:ind w:left="288" w:right="146"/>
      </w:pPr>
      <w:r>
        <w:t xml:space="preserve">11 concejales del Grupo Socialista: Doña María Concepción Brito Núñez, Doña Don Jorge Baute Delgado, Doña Olivia Concepción Pérez Díaz, Don José Francisco Pinto Ramos, Doña Hilaria Cecilia Otazo González, Don Airam Pérez Chinea, Doña Margarita Eva Tendero </w:t>
      </w:r>
      <w:r>
        <w:t xml:space="preserve">Barroso, Don Manuel Alberto González Pestano, Doña María del Carmen Clemente Díaz, Don Olegario Francisco Alonso Bello y Don Reinaldo José Triviño Blanco.  </w:t>
      </w:r>
    </w:p>
    <w:p w:rsidR="00DA121A" w:rsidRDefault="00904DD6">
      <w:pPr>
        <w:spacing w:after="0" w:line="259" w:lineRule="auto"/>
        <w:ind w:left="284" w:firstLine="0"/>
        <w:jc w:val="left"/>
      </w:pPr>
      <w:r>
        <w:t xml:space="preserve"> </w:t>
      </w:r>
    </w:p>
    <w:p w:rsidR="00DA121A" w:rsidRDefault="00904DD6">
      <w:pPr>
        <w:ind w:left="288" w:right="146"/>
      </w:pPr>
      <w:r>
        <w:t>3 concejales del Grupo Popular: Don Jacobo López Fariña, Doña Raquel Martín Castro y Don David Cr</w:t>
      </w:r>
      <w:r>
        <w:t>ego Cháves.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ind w:left="288" w:right="146"/>
      </w:pPr>
      <w:r>
        <w:t xml:space="preserve">2 de los concejales del Grupo Mixto (CC-PNC): Doña Ángela Cruz Perera y Don Emilio Jesús Atiénzar Armas. </w:t>
      </w:r>
    </w:p>
    <w:p w:rsidR="00DA121A" w:rsidRDefault="00904DD6">
      <w:pPr>
        <w:spacing w:after="0" w:line="259" w:lineRule="auto"/>
        <w:ind w:left="284" w:firstLine="0"/>
        <w:jc w:val="left"/>
      </w:pPr>
      <w:r>
        <w:t xml:space="preserve"> </w:t>
      </w:r>
    </w:p>
    <w:p w:rsidR="00DA121A" w:rsidRDefault="00904DD6">
      <w:pPr>
        <w:ind w:left="288" w:right="146"/>
      </w:pPr>
      <w:r>
        <w:t xml:space="preserve">1 de la concejal del Grupo Mixto (Cs), Doña Marta Plasencia Gutiérrez.  </w:t>
      </w:r>
    </w:p>
    <w:p w:rsidR="00DA121A" w:rsidRDefault="00904DD6">
      <w:pPr>
        <w:spacing w:after="0" w:line="259" w:lineRule="auto"/>
        <w:ind w:left="284" w:firstLine="0"/>
        <w:jc w:val="left"/>
      </w:pPr>
      <w:r>
        <w:t xml:space="preserve"> </w:t>
      </w:r>
    </w:p>
    <w:p w:rsidR="00DA121A" w:rsidRDefault="00904DD6">
      <w:pPr>
        <w:ind w:left="288" w:right="146"/>
      </w:pPr>
      <w:r>
        <w:t>1 de la concejal del Grupo Mixto (VxC): Doña Alicia Merced</w:t>
      </w:r>
      <w:r>
        <w:t xml:space="preserve">es Marrero Meneses.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rPr>
          <w:b/>
        </w:rPr>
        <w:t xml:space="preserve"> </w:t>
      </w:r>
    </w:p>
    <w:p w:rsidR="00DA121A" w:rsidRDefault="00904DD6">
      <w:pPr>
        <w:spacing w:after="208"/>
        <w:ind w:left="1426" w:right="144"/>
      </w:pPr>
      <w:r>
        <w:rPr>
          <w:b/>
        </w:rPr>
        <w:t xml:space="preserve">            ACUERDO DEL PLENO DE 30 DE MARZO DE 2023.</w:t>
      </w:r>
      <w:r>
        <w:rPr>
          <w:rFonts w:ascii="Times New Roman" w:eastAsia="Times New Roman" w:hAnsi="Times New Roman" w:cs="Times New Roman"/>
          <w:sz w:val="24"/>
        </w:rPr>
        <w:t xml:space="preserve"> </w:t>
      </w:r>
    </w:p>
    <w:p w:rsidR="00DA121A" w:rsidRDefault="00904DD6">
      <w:pPr>
        <w:spacing w:after="27"/>
        <w:ind w:left="269" w:right="144" w:firstLine="708"/>
      </w:pPr>
      <w:r>
        <w:rPr>
          <w:b/>
        </w:rPr>
        <w:t>Primero. - Tomar conocimiento del procedimiento de evaluación ambiental estratégica para la aprobación de la Modificación Menor de iniciativa privada del Plan General de Cande</w:t>
      </w:r>
      <w:r>
        <w:rPr>
          <w:b/>
        </w:rPr>
        <w:t xml:space="preserve">laria, La Fuente-Afirama y al que se adjunta un ejemplar en soporte digital del documento técnico, así como del documento ambiental estratégico. </w:t>
      </w:r>
    </w:p>
    <w:p w:rsidR="00DA121A" w:rsidRDefault="00904DD6">
      <w:pPr>
        <w:spacing w:after="42"/>
        <w:ind w:left="1002" w:right="144"/>
      </w:pPr>
      <w:r>
        <w:rPr>
          <w:b/>
        </w:rPr>
        <w:t xml:space="preserve">Se toma conocimiento de los siguientes documentos: </w:t>
      </w:r>
    </w:p>
    <w:p w:rsidR="00DA121A" w:rsidRDefault="00904DD6">
      <w:pPr>
        <w:numPr>
          <w:ilvl w:val="0"/>
          <w:numId w:val="111"/>
        </w:numPr>
        <w:spacing w:after="42"/>
        <w:ind w:right="144" w:hanging="360"/>
      </w:pPr>
      <w:r>
        <w:rPr>
          <w:b/>
        </w:rPr>
        <w:t xml:space="preserve">Borrador para la Modificación Menor del </w:t>
      </w:r>
      <w:r>
        <w:rPr>
          <w:b/>
        </w:rPr>
        <w:t xml:space="preserve">Plan General de Ordenación de Candelaria La Fuente-Afirama, redactado por D. Gilberto Díaz Díaz arquitecto colegiado 2621 y firmada de fecha 2 de octubre de 2022 </w:t>
      </w:r>
    </w:p>
    <w:p w:rsidR="00DA121A" w:rsidRDefault="00904DD6">
      <w:pPr>
        <w:numPr>
          <w:ilvl w:val="0"/>
          <w:numId w:val="111"/>
        </w:numPr>
        <w:spacing w:after="26"/>
        <w:ind w:right="144" w:hanging="360"/>
      </w:pPr>
      <w:r>
        <w:rPr>
          <w:b/>
        </w:rPr>
        <w:t>Documento Ambiental Estratégico, redactado por José Luis Roig Izquierdo, Geólogo colegiado nº</w:t>
      </w:r>
      <w:r>
        <w:rPr>
          <w:b/>
        </w:rPr>
        <w:t xml:space="preserve">4475 y firmada con fecha 9 de febrero de 2022 </w:t>
      </w:r>
    </w:p>
    <w:p w:rsidR="00DA121A" w:rsidRDefault="00904DD6">
      <w:pPr>
        <w:spacing w:after="19" w:line="259" w:lineRule="auto"/>
        <w:ind w:left="1416" w:firstLine="0"/>
        <w:jc w:val="left"/>
      </w:pPr>
      <w:r>
        <w:rPr>
          <w:b/>
        </w:rPr>
        <w:t xml:space="preserve"> </w:t>
      </w:r>
    </w:p>
    <w:p w:rsidR="00DA121A" w:rsidRDefault="00904DD6">
      <w:pPr>
        <w:spacing w:after="13" w:line="250" w:lineRule="auto"/>
        <w:ind w:left="10" w:right="144"/>
        <w:jc w:val="right"/>
      </w:pPr>
      <w:r>
        <w:rPr>
          <w:b/>
        </w:rPr>
        <w:t>Segundo.- Someter al procedimiento simplificado de evaluación ambiental estra-</w:t>
      </w:r>
    </w:p>
    <w:p w:rsidR="00DA121A" w:rsidRDefault="00904DD6">
      <w:pPr>
        <w:spacing w:after="26"/>
        <w:ind w:left="279" w:right="144"/>
      </w:pPr>
      <w:r>
        <w:rPr>
          <w:b/>
        </w:rPr>
        <w:t>tégica, a efectos de que, según lo dispuesto en el artículo 86.2.a) de la Ley 4/2017, de 13 de julio, del Suelo y de los Espacio</w:t>
      </w:r>
      <w:r>
        <w:rPr>
          <w:b/>
        </w:rPr>
        <w:t>s Naturales Protegidos de Canarias (LSENPC), y de la Ley 21/2013, 165.3 de la LSENPC y 106.3 del RPC, el órgano ambiental resuelva mediante la emisión del informe ambiental estratégico que la modificación no tiene efectos significativos sobre el medio ambi</w:t>
      </w:r>
      <w:r>
        <w:rPr>
          <w:b/>
        </w:rPr>
        <w:t xml:space="preserve">ente, o, en su caso, que procede someter la modificación menor a una evaluación ambiental estratégica ordinaria porque pueda tener efectos significativos sobre el medio ambiente. </w:t>
      </w:r>
    </w:p>
    <w:p w:rsidR="00DA121A" w:rsidRDefault="00904DD6">
      <w:pPr>
        <w:spacing w:after="100" w:line="259" w:lineRule="auto"/>
        <w:ind w:left="284" w:firstLine="0"/>
        <w:jc w:val="left"/>
      </w:pPr>
      <w:r>
        <w:rPr>
          <w:b/>
        </w:rPr>
        <w:t xml:space="preserve"> </w:t>
      </w:r>
    </w:p>
    <w:p w:rsidR="00DA121A" w:rsidRDefault="00904DD6">
      <w:pPr>
        <w:spacing w:after="114"/>
        <w:ind w:left="269" w:right="144" w:firstLine="708"/>
      </w:pPr>
      <w:r>
        <w:rPr>
          <w:b/>
        </w:rPr>
        <w:t>Tercero. - Remitir la documentación técnica debidamente autenticada electr</w:t>
      </w:r>
      <w:r>
        <w:rPr>
          <w:b/>
        </w:rPr>
        <w:t>ónicamente y el certificado del acuerdo adoptado a la Consejería de Transición Ecológica, Lucha contra el Cambio Climático y Planificación Territorial del Gobierno de Canarias</w:t>
      </w:r>
      <w:r>
        <w:t xml:space="preserve">. </w:t>
      </w:r>
    </w:p>
    <w:p w:rsidR="00DA121A" w:rsidRDefault="00904DD6">
      <w:pPr>
        <w:spacing w:after="100" w:line="259" w:lineRule="auto"/>
        <w:ind w:left="992" w:firstLine="0"/>
        <w:jc w:val="left"/>
      </w:pPr>
      <w:r>
        <w:t xml:space="preserve"> </w:t>
      </w:r>
    </w:p>
    <w:p w:rsidR="00DA121A" w:rsidRDefault="00904DD6">
      <w:pPr>
        <w:spacing w:after="98" w:line="259" w:lineRule="auto"/>
        <w:ind w:left="992" w:firstLine="0"/>
        <w:jc w:val="left"/>
      </w:pPr>
      <w:r>
        <w:t xml:space="preserve"> </w:t>
      </w:r>
    </w:p>
    <w:p w:rsidR="00DA121A" w:rsidRDefault="00904DD6">
      <w:pPr>
        <w:spacing w:after="100" w:line="259" w:lineRule="auto"/>
        <w:ind w:left="992" w:firstLine="0"/>
        <w:jc w:val="left"/>
      </w:pPr>
      <w:r>
        <w:t xml:space="preserve"> </w:t>
      </w:r>
    </w:p>
    <w:p w:rsidR="00DA121A" w:rsidRDefault="00904DD6">
      <w:pPr>
        <w:spacing w:after="98" w:line="259" w:lineRule="auto"/>
        <w:ind w:left="992" w:firstLine="0"/>
        <w:jc w:val="left"/>
      </w:pPr>
      <w:r>
        <w:t xml:space="preserve"> </w:t>
      </w:r>
    </w:p>
    <w:p w:rsidR="00DA121A" w:rsidRDefault="00904DD6">
      <w:pPr>
        <w:spacing w:after="98" w:line="259" w:lineRule="auto"/>
        <w:ind w:left="992"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4"/>
        <w:ind w:left="279" w:right="144"/>
      </w:pPr>
      <w:r>
        <w:rPr>
          <w:rFonts w:ascii="Times New Roman" w:eastAsia="Times New Roman" w:hAnsi="Times New Roman" w:cs="Times New Roman"/>
          <w:sz w:val="24"/>
        </w:rPr>
        <w:t xml:space="preserve">  </w:t>
      </w:r>
      <w:r>
        <w:rPr>
          <w:b/>
        </w:rPr>
        <w:t>13.- Urgencias.</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t xml:space="preserve"> </w:t>
      </w:r>
    </w:p>
    <w:p w:rsidR="00DA121A" w:rsidRDefault="00904DD6">
      <w:pPr>
        <w:numPr>
          <w:ilvl w:val="0"/>
          <w:numId w:val="112"/>
        </w:numPr>
        <w:spacing w:after="0" w:line="259" w:lineRule="auto"/>
        <w:ind w:hanging="360"/>
        <w:jc w:val="left"/>
      </w:pPr>
      <w:r>
        <w:rPr>
          <w:b/>
          <w:u w:val="single" w:color="000000"/>
        </w:rPr>
        <w:t>Control y Fiscalización de los Órganos de Gobierno</w:t>
      </w:r>
      <w:r>
        <w:rPr>
          <w:b/>
        </w:rPr>
        <w:t>.</w:t>
      </w:r>
      <w:r>
        <w:rPr>
          <w:rFonts w:ascii="Times New Roman" w:eastAsia="Times New Roman" w:hAnsi="Times New Roman" w:cs="Times New Roman"/>
          <w:b/>
          <w:i/>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14.- Dación de Cuenta de los Decretos de la Alcaldía-Presidencia y de los Concejales delegados. </w:t>
      </w:r>
    </w:p>
    <w:p w:rsidR="00DA121A" w:rsidRDefault="00904DD6">
      <w:pPr>
        <w:spacing w:after="0" w:line="259" w:lineRule="auto"/>
        <w:ind w:left="284" w:firstLine="0"/>
        <w:jc w:val="left"/>
      </w:pPr>
      <w:r>
        <w:t xml:space="preserve"> </w:t>
      </w:r>
    </w:p>
    <w:p w:rsidR="00DA121A" w:rsidRDefault="00904DD6">
      <w:pPr>
        <w:ind w:left="288" w:right="146"/>
      </w:pPr>
      <w:r>
        <w:t>El Secretario entrega un Cd con los Decretos a cada uno de  los portavoces de los grupos municipales</w:t>
      </w:r>
      <w:r>
        <w:t xml:space="preserve">. </w:t>
      </w:r>
    </w:p>
    <w:p w:rsidR="00DA121A" w:rsidRDefault="00904DD6">
      <w:pPr>
        <w:spacing w:after="0" w:line="259" w:lineRule="auto"/>
        <w:ind w:left="284" w:firstLine="0"/>
        <w:jc w:val="left"/>
      </w:pPr>
      <w:r>
        <w:t xml:space="preserve"> </w:t>
      </w:r>
    </w:p>
    <w:p w:rsidR="00DA121A" w:rsidRDefault="00904DD6">
      <w:pPr>
        <w:spacing w:after="4"/>
        <w:ind w:left="279" w:right="223"/>
      </w:pPr>
      <w:r>
        <w:rPr>
          <w:b/>
        </w:rPr>
        <w:t xml:space="preserve">15.- </w:t>
      </w:r>
      <w:r>
        <w:rPr>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b/>
        </w:rPr>
        <w:t xml:space="preserve">cal </w:t>
      </w:r>
      <w:r>
        <w:t>No hay.</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b/>
        </w:rPr>
        <w:t xml:space="preserve"> </w:t>
      </w:r>
    </w:p>
    <w:p w:rsidR="00DA121A" w:rsidRDefault="00904DD6">
      <w:pPr>
        <w:spacing w:after="0" w:line="259" w:lineRule="auto"/>
        <w:ind w:left="284" w:firstLine="0"/>
        <w:jc w:val="left"/>
      </w:pPr>
      <w:r>
        <w:t xml:space="preserve"> </w:t>
      </w:r>
    </w:p>
    <w:p w:rsidR="00DA121A" w:rsidRDefault="00904DD6">
      <w:pPr>
        <w:numPr>
          <w:ilvl w:val="0"/>
          <w:numId w:val="112"/>
        </w:numPr>
        <w:spacing w:after="0" w:line="259"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t xml:space="preserve">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16.- Ruegos y preguntas.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43"/>
        <w:ind w:left="279" w:right="3004"/>
      </w:pPr>
      <w:r>
        <w:rPr>
          <w:b/>
        </w:rPr>
        <w:t xml:space="preserve">INTERVIENE LA SEÑORA ALCALDESA-PRESIDENTA. - </w:t>
      </w:r>
      <w:r>
        <w:t xml:space="preserve"> Pasamos a los Ruegos y Preguntas. </w:t>
      </w:r>
    </w:p>
    <w:p w:rsidR="00DA121A" w:rsidRDefault="00904DD6">
      <w:pPr>
        <w:ind w:left="288" w:right="146"/>
      </w:pPr>
      <w:r>
        <w:t>Ruegos, si, Doña Alicia. -</w:t>
      </w:r>
      <w:r>
        <w:rPr>
          <w:rFonts w:ascii="Times New Roman" w:eastAsia="Times New Roman" w:hAnsi="Times New Roman" w:cs="Times New Roman"/>
          <w:sz w:val="24"/>
        </w:rPr>
        <w:t xml:space="preserve"> </w:t>
      </w:r>
    </w:p>
    <w:p w:rsidR="00DA121A" w:rsidRDefault="00904DD6">
      <w:pPr>
        <w:spacing w:after="16" w:line="259" w:lineRule="auto"/>
        <w:ind w:left="284" w:firstLine="0"/>
        <w:jc w:val="left"/>
      </w:pPr>
      <w:r>
        <w:rPr>
          <w:b/>
        </w:rPr>
        <w:t xml:space="preserve"> </w:t>
      </w:r>
    </w:p>
    <w:p w:rsidR="00DA121A" w:rsidRDefault="00904DD6">
      <w:pPr>
        <w:spacing w:after="30"/>
        <w:ind w:left="279" w:right="144"/>
      </w:pPr>
      <w:r>
        <w:rPr>
          <w:b/>
        </w:rPr>
        <w:t xml:space="preserve">INTERVIENE DOÑA ALICIA MERCEDES MARRERO MENESES. - </w:t>
      </w:r>
    </w:p>
    <w:p w:rsidR="00DA121A" w:rsidRDefault="00904DD6">
      <w:pPr>
        <w:spacing w:after="26"/>
        <w:ind w:left="288" w:right="146"/>
      </w:pPr>
      <w:r>
        <w:t>Ha pasado varios años desde el inicio del expediente a la empresa Dani Ran en el asunto del talud de Bajo La Cuesta, ruego se proceda a informar del estado actual del expediente realizado por esta Administración y los avances que se han conseguido si los h</w:t>
      </w:r>
      <w:r>
        <w:t xml:space="preserve">ubiere. – </w:t>
      </w:r>
    </w:p>
    <w:p w:rsidR="00DA121A" w:rsidRDefault="00904DD6">
      <w:pPr>
        <w:spacing w:after="17" w:line="259" w:lineRule="auto"/>
        <w:ind w:left="284" w:firstLine="0"/>
        <w:jc w:val="left"/>
      </w:pPr>
      <w:r>
        <w:rPr>
          <w:b/>
        </w:rPr>
        <w:t xml:space="preserve"> </w:t>
      </w:r>
    </w:p>
    <w:p w:rsidR="00DA121A" w:rsidRDefault="00904DD6">
      <w:pPr>
        <w:spacing w:after="32"/>
        <w:ind w:left="279" w:right="144"/>
      </w:pPr>
      <w:r>
        <w:rPr>
          <w:b/>
        </w:rPr>
        <w:t xml:space="preserve">INTERVIENE LA SEÑORA ALCALDESA-PRESIDENTA. - </w:t>
      </w:r>
    </w:p>
    <w:p w:rsidR="00DA121A" w:rsidRDefault="00904DD6">
      <w:pPr>
        <w:spacing w:after="27"/>
        <w:ind w:left="288" w:right="146"/>
      </w:pPr>
      <w:r>
        <w:t xml:space="preserve">Gracias. </w:t>
      </w:r>
    </w:p>
    <w:p w:rsidR="00DA121A" w:rsidRDefault="00904DD6">
      <w:pPr>
        <w:spacing w:after="25"/>
        <w:ind w:left="288" w:right="146"/>
      </w:pPr>
      <w:r>
        <w:t xml:space="preserve">No tenemos ninguna información nueva de Dani Ran, no. Está lo último, no se Airam si hay alguna novedad, lo consultamos en ejecutiva que había algún tema, pero no, que nos conste ahora mismo no hay ninguna información, nueva, me refiero. </w:t>
      </w:r>
    </w:p>
    <w:p w:rsidR="00DA121A" w:rsidRDefault="00904DD6">
      <w:pPr>
        <w:spacing w:after="30"/>
        <w:ind w:left="288" w:right="146"/>
      </w:pPr>
      <w:r>
        <w:t>Doña Marta, ruego</w:t>
      </w:r>
      <w:r>
        <w:t xml:space="preserve">s. </w:t>
      </w:r>
    </w:p>
    <w:p w:rsidR="00DA121A" w:rsidRDefault="00904DD6">
      <w:pPr>
        <w:spacing w:after="16" w:line="259" w:lineRule="auto"/>
        <w:ind w:left="284" w:firstLine="0"/>
        <w:jc w:val="left"/>
      </w:pPr>
      <w:r>
        <w:t xml:space="preserve"> </w:t>
      </w:r>
    </w:p>
    <w:p w:rsidR="00DA121A" w:rsidRDefault="00904DD6">
      <w:pPr>
        <w:spacing w:after="25"/>
        <w:ind w:left="288" w:right="146"/>
      </w:pPr>
      <w:r>
        <w:t xml:space="preserve">(Dña. Marta Plasencia Gutiérrez (se encuentra en video conferencia) habla, pero no se escucha lo que dice) </w:t>
      </w:r>
    </w:p>
    <w:p w:rsidR="00DA121A" w:rsidRDefault="00904DD6">
      <w:pPr>
        <w:spacing w:after="19" w:line="259" w:lineRule="auto"/>
        <w:ind w:left="284" w:firstLine="0"/>
        <w:jc w:val="left"/>
      </w:pPr>
      <w:r>
        <w:t xml:space="preserve"> </w:t>
      </w:r>
    </w:p>
    <w:p w:rsidR="00DA121A" w:rsidRDefault="00904DD6">
      <w:pPr>
        <w:spacing w:after="28"/>
        <w:ind w:left="288" w:right="146"/>
      </w:pPr>
      <w:r>
        <w:t xml:space="preserve">Gracias, Doña Ángela, no hay ruegos. </w:t>
      </w:r>
    </w:p>
    <w:p w:rsidR="00DA121A" w:rsidRDefault="00904DD6">
      <w:pPr>
        <w:spacing w:after="27"/>
        <w:ind w:left="288" w:right="146"/>
      </w:pPr>
      <w:r>
        <w:t xml:space="preserve">Don Jacobo, perdón Don David.  </w:t>
      </w:r>
    </w:p>
    <w:p w:rsidR="00DA121A" w:rsidRDefault="00904DD6">
      <w:pPr>
        <w:spacing w:after="0" w:line="259" w:lineRule="auto"/>
        <w:ind w:left="284" w:firstLine="0"/>
        <w:jc w:val="left"/>
      </w:pPr>
      <w:r>
        <w:t xml:space="preserve"> </w:t>
      </w:r>
    </w:p>
    <w:p w:rsidR="00DA121A" w:rsidRDefault="00904DD6">
      <w:pPr>
        <w:spacing w:after="30"/>
        <w:ind w:left="279" w:right="144"/>
      </w:pPr>
      <w:r>
        <w:rPr>
          <w:b/>
        </w:rPr>
        <w:t xml:space="preserve">INTERVIENE DON DAVID CREGO CHAVES. - </w:t>
      </w:r>
    </w:p>
    <w:p w:rsidR="00DA121A" w:rsidRDefault="00904DD6">
      <w:pPr>
        <w:spacing w:after="30"/>
        <w:ind w:left="288" w:right="146"/>
      </w:pPr>
      <w:r>
        <w:t xml:space="preserve">Gracias señora Alcaldesa. </w:t>
      </w:r>
    </w:p>
    <w:p w:rsidR="00DA121A" w:rsidRDefault="00904DD6">
      <w:pPr>
        <w:spacing w:after="27"/>
        <w:ind w:left="288" w:right="146"/>
      </w:pPr>
      <w:r>
        <w:t xml:space="preserve">En </w:t>
      </w:r>
      <w:r>
        <w:t>primer lugar, los vecinos de la Calle La Rosa en Barranco Hondo, se quejan de la falta de alumbrado en la calle, nos han enviado algunos videos de que no, de que está averiado, no está funcionando, entonces rogamos solventen este problema para dar a los ve</w:t>
      </w:r>
      <w:r>
        <w:t xml:space="preserve">cinos el servicio de alumbrado, por favor. -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LA SEÑORA ALCALDESA-PRESIDENTA. - </w:t>
      </w:r>
    </w:p>
    <w:p w:rsidR="00DA121A" w:rsidRDefault="00904DD6">
      <w:pPr>
        <w:spacing w:after="27"/>
        <w:ind w:left="288" w:right="146"/>
      </w:pPr>
      <w:r>
        <w:t xml:space="preserve">Llano de la Rosa, entiendo, Calle de la Rosa no, Llano de la Rosa, bien </w:t>
      </w:r>
    </w:p>
    <w:p w:rsidR="00DA121A" w:rsidRDefault="00904DD6">
      <w:pPr>
        <w:spacing w:after="14" w:line="259" w:lineRule="auto"/>
        <w:ind w:left="284" w:firstLine="0"/>
        <w:jc w:val="left"/>
      </w:pPr>
      <w:r>
        <w:t xml:space="preserve"> </w:t>
      </w:r>
    </w:p>
    <w:p w:rsidR="00DA121A" w:rsidRDefault="00904DD6">
      <w:pPr>
        <w:spacing w:after="32"/>
        <w:ind w:left="279" w:right="144"/>
      </w:pPr>
      <w:r>
        <w:rPr>
          <w:b/>
        </w:rPr>
        <w:t xml:space="preserve">INTERVIENE DON DAVID CREGO CHAVES. - </w:t>
      </w:r>
    </w:p>
    <w:p w:rsidR="00DA121A" w:rsidRDefault="00904DD6">
      <w:pPr>
        <w:spacing w:after="27"/>
        <w:ind w:left="288" w:right="146"/>
      </w:pPr>
      <w:r>
        <w:t xml:space="preserve">Perdón si no se me entendió, si, si Llano de la Rosa, Llano de la Rosa. - </w:t>
      </w:r>
    </w:p>
    <w:p w:rsidR="00DA121A" w:rsidRDefault="00904DD6">
      <w:pPr>
        <w:spacing w:after="14" w:line="259" w:lineRule="auto"/>
        <w:ind w:left="284" w:firstLine="0"/>
        <w:jc w:val="left"/>
      </w:pPr>
      <w:r>
        <w:t xml:space="preserve"> </w:t>
      </w:r>
    </w:p>
    <w:p w:rsidR="00DA121A" w:rsidRDefault="00904DD6">
      <w:pPr>
        <w:spacing w:after="27"/>
        <w:ind w:left="279" w:right="3424"/>
      </w:pPr>
      <w:r>
        <w:rPr>
          <w:b/>
        </w:rPr>
        <w:t xml:space="preserve">INTERVIENE LA SEÑORA ALCALDESA-PRESIDENTA. - </w:t>
      </w:r>
      <w:r>
        <w:t xml:space="preserve">Calle de La Rosa no me sonaba. </w:t>
      </w:r>
    </w:p>
    <w:p w:rsidR="00DA121A" w:rsidRDefault="00904DD6">
      <w:pPr>
        <w:spacing w:after="27"/>
        <w:ind w:left="288" w:right="146"/>
      </w:pPr>
      <w:r>
        <w:t xml:space="preserve">Sabes algo Jorge.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DON JORGE BAUTE DELGADO. - </w:t>
      </w:r>
    </w:p>
    <w:p w:rsidR="00DA121A" w:rsidRDefault="00904DD6">
      <w:pPr>
        <w:spacing w:after="26"/>
        <w:ind w:left="288" w:right="146"/>
      </w:pPr>
      <w:r>
        <w:t>Si, en esa zona al igual que en otras calles aledañas tenemos un problema de potencia. Tenemos, Endesa en este caso está conectando los contadores digitales, eso conlleva que tenemos contratada una potencia determinada y el consumo es superior, entonces ha</w:t>
      </w:r>
      <w:r>
        <w:t xml:space="preserve">ce que salte el contador. </w:t>
      </w:r>
    </w:p>
    <w:p w:rsidR="00DA121A" w:rsidRDefault="00904DD6">
      <w:pPr>
        <w:spacing w:after="28"/>
        <w:ind w:left="288" w:right="146"/>
      </w:pPr>
      <w:r>
        <w:t>Desde ayer estamos tratando con el gestor que tenemos asignado por parte de Endesa para dar, para contratar el incremento de potencia y poder solucionar el problema. Ya no solo pasa en este caso en Barranco Hondo sino hay otras c</w:t>
      </w:r>
      <w:r>
        <w:t xml:space="preserve">alles también que están sufriendo lo mismo. El caso como nuestra propia vivienda, cuando tienes contratado X kilovatios y el consumo es superior, con el contador digital hace que salten, entonces, donde estamos detectando esos problemas, está a través del </w:t>
      </w:r>
      <w:r>
        <w:t xml:space="preserve">gestor como decía anteriormente, pues se está intentando contratar más potencia para subsanarlo. –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LA SEÑORA ALCALDESA-PRESIDENTA. - </w:t>
      </w:r>
    </w:p>
    <w:p w:rsidR="00DA121A" w:rsidRDefault="00904DD6">
      <w:pPr>
        <w:spacing w:after="28"/>
        <w:ind w:left="288" w:right="146"/>
      </w:pPr>
      <w:r>
        <w:t xml:space="preserve">Si, nos ha llegado a FECAM también que está pasado en todos los municipios. – </w:t>
      </w:r>
    </w:p>
    <w:p w:rsidR="00DA121A" w:rsidRDefault="00904DD6">
      <w:pPr>
        <w:spacing w:after="16" w:line="259" w:lineRule="auto"/>
        <w:ind w:left="284" w:firstLine="0"/>
        <w:jc w:val="left"/>
      </w:pPr>
      <w:r>
        <w:t xml:space="preserve"> </w:t>
      </w:r>
    </w:p>
    <w:p w:rsidR="00DA121A" w:rsidRDefault="00904DD6">
      <w:pPr>
        <w:spacing w:after="30"/>
        <w:ind w:left="279" w:right="144"/>
      </w:pPr>
      <w:r>
        <w:rPr>
          <w:b/>
        </w:rPr>
        <w:t>INTERVIENE DON JORGE BAUTE</w:t>
      </w:r>
      <w:r>
        <w:rPr>
          <w:b/>
        </w:rPr>
        <w:t xml:space="preserve"> DELGADO. - </w:t>
      </w:r>
    </w:p>
    <w:p w:rsidR="00DA121A" w:rsidRDefault="00904DD6">
      <w:pPr>
        <w:spacing w:after="28"/>
        <w:ind w:left="288" w:right="146"/>
      </w:pPr>
      <w:r>
        <w:t xml:space="preserve">En todos los municipios porque en todos existe este problema. –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LA SEÑORA ALCALDESA-PRESIDENTA. - </w:t>
      </w:r>
    </w:p>
    <w:p w:rsidR="00DA121A" w:rsidRDefault="00904DD6">
      <w:pPr>
        <w:spacing w:after="28"/>
        <w:ind w:left="288" w:right="146"/>
      </w:pPr>
      <w:r>
        <w:t xml:space="preserve">Bueno en todos no me atrevería ahora mismo, no lo sé, pero si nos han llegado consultas de varios municipios en este sentido y con las gestiones que hemos hecho se nos ha comentado eso. –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DON JORGE BAUTE DELGADO. - </w:t>
      </w:r>
    </w:p>
    <w:p w:rsidR="00DA121A" w:rsidRDefault="00904DD6">
      <w:pPr>
        <w:spacing w:after="27"/>
        <w:ind w:left="288" w:right="146"/>
      </w:pPr>
      <w:r>
        <w:t>Si, según nos decía el ges</w:t>
      </w:r>
      <w:r>
        <w:t xml:space="preserve">tor es común que al activar los contadores digitales está sucediendo por todos lados estos problemas.   </w:t>
      </w:r>
    </w:p>
    <w:p w:rsidR="00DA121A" w:rsidRDefault="00904DD6">
      <w:pPr>
        <w:spacing w:after="16" w:line="259" w:lineRule="auto"/>
        <w:ind w:left="284" w:firstLine="0"/>
        <w:jc w:val="left"/>
      </w:pPr>
      <w:r>
        <w:t xml:space="preserve"> </w:t>
      </w:r>
    </w:p>
    <w:p w:rsidR="00DA121A" w:rsidRDefault="00904DD6">
      <w:pPr>
        <w:spacing w:after="30"/>
        <w:ind w:left="279" w:right="144"/>
      </w:pPr>
      <w:r>
        <w:rPr>
          <w:b/>
        </w:rPr>
        <w:t xml:space="preserve">INTERVIENE LA SEÑORA ALCALDESA-PRESIDENTA. - </w:t>
      </w:r>
    </w:p>
    <w:p w:rsidR="00DA121A" w:rsidRDefault="00904DD6">
      <w:pPr>
        <w:spacing w:after="27"/>
        <w:ind w:left="288" w:right="146"/>
      </w:pPr>
      <w:r>
        <w:t xml:space="preserve">Bien, algún ruego más.  </w:t>
      </w:r>
    </w:p>
    <w:p w:rsidR="00DA121A" w:rsidRDefault="00904DD6">
      <w:pPr>
        <w:spacing w:after="14" w:line="259" w:lineRule="auto"/>
        <w:ind w:left="284" w:firstLine="0"/>
        <w:jc w:val="left"/>
      </w:pPr>
      <w:r>
        <w:t xml:space="preserve"> </w:t>
      </w:r>
    </w:p>
    <w:p w:rsidR="00DA121A" w:rsidRDefault="00904DD6">
      <w:pPr>
        <w:spacing w:after="32"/>
        <w:ind w:left="279" w:right="144"/>
      </w:pPr>
      <w:r>
        <w:rPr>
          <w:b/>
        </w:rPr>
        <w:t xml:space="preserve">INTERVIENE DON DAVID CREGO CHAVES. - </w:t>
      </w:r>
    </w:p>
    <w:p w:rsidR="00DA121A" w:rsidRDefault="00904DD6">
      <w:pPr>
        <w:spacing w:after="25"/>
        <w:ind w:left="288" w:right="146"/>
      </w:pPr>
      <w:r>
        <w:t>Si, en la Avenida Marítima a la altura</w:t>
      </w:r>
      <w:r>
        <w:t xml:space="preserve"> de la entrada de la Playa de Punta Larga, está la semirotonda que hay ahí, donde está la sucursal bancaria 7 hay una parte del terreno que tiene un pequeño socavón, justo cuando se da la curva, rogamos que se pueda, que lleva ya un tiempo, si se puede sol</w:t>
      </w:r>
      <w:r>
        <w:t xml:space="preserve">ventar esa parte, independientemente de que una parte vaya en un futuro plan de asfaltado.  </w:t>
      </w:r>
    </w:p>
    <w:p w:rsidR="00DA121A" w:rsidRDefault="00904DD6">
      <w:pPr>
        <w:spacing w:after="16" w:line="259" w:lineRule="auto"/>
        <w:ind w:left="284" w:firstLine="0"/>
        <w:jc w:val="left"/>
      </w:pPr>
      <w:r>
        <w:t xml:space="preserve"> </w:t>
      </w:r>
    </w:p>
    <w:p w:rsidR="00DA121A" w:rsidRDefault="00904DD6">
      <w:pPr>
        <w:spacing w:after="30"/>
        <w:ind w:left="279" w:right="144"/>
      </w:pPr>
      <w:r>
        <w:rPr>
          <w:b/>
        </w:rPr>
        <w:t xml:space="preserve">INTERVIENE DON JORGE BAUTE DELGADO. - </w:t>
      </w:r>
    </w:p>
    <w:p w:rsidR="00DA121A" w:rsidRDefault="00904DD6">
      <w:pPr>
        <w:spacing w:after="27"/>
        <w:ind w:left="288" w:right="146"/>
      </w:pPr>
      <w:r>
        <w:t xml:space="preserve">Te refieres a la canalización de pluviales que está allí.  </w:t>
      </w:r>
    </w:p>
    <w:p w:rsidR="00DA121A" w:rsidRDefault="00904DD6">
      <w:pPr>
        <w:spacing w:after="14" w:line="259" w:lineRule="auto"/>
        <w:ind w:left="284" w:firstLine="0"/>
        <w:jc w:val="left"/>
      </w:pPr>
      <w:r>
        <w:t xml:space="preserve"> </w:t>
      </w:r>
    </w:p>
    <w:p w:rsidR="00DA121A" w:rsidRDefault="00904DD6">
      <w:pPr>
        <w:spacing w:after="32"/>
        <w:ind w:left="279" w:right="144"/>
      </w:pPr>
      <w:r>
        <w:rPr>
          <w:b/>
        </w:rPr>
        <w:t xml:space="preserve">INTERVIENE DON DAVID CREGO CHAVES. - </w:t>
      </w:r>
    </w:p>
    <w:p w:rsidR="00DA121A" w:rsidRDefault="00904DD6">
      <w:pPr>
        <w:spacing w:after="25"/>
        <w:ind w:left="288" w:right="146"/>
      </w:pPr>
      <w:r>
        <w:t>No, no, justo en la ca</w:t>
      </w:r>
      <w:r>
        <w:t xml:space="preserve">lle cuando la Avenida Marítima, justo cuando llegas a la entrada de la Playa de Punta Larga, está la rotonda hacia la subida, que subes hacia la Avenida Los Menceyes, hacia la rambla, pues justo ahí en la curva hay un pequeño hueco.  </w:t>
      </w:r>
    </w:p>
    <w:p w:rsidR="00DA121A" w:rsidRDefault="00904DD6">
      <w:pPr>
        <w:spacing w:after="14" w:line="259" w:lineRule="auto"/>
        <w:ind w:left="284" w:firstLine="0"/>
        <w:jc w:val="left"/>
      </w:pPr>
      <w:r>
        <w:t xml:space="preserve"> </w:t>
      </w:r>
    </w:p>
    <w:p w:rsidR="00DA121A" w:rsidRDefault="00904DD6">
      <w:pPr>
        <w:spacing w:after="32"/>
        <w:ind w:left="279" w:right="144"/>
      </w:pPr>
      <w:r>
        <w:rPr>
          <w:b/>
        </w:rPr>
        <w:t xml:space="preserve">INTERVIENE DON JORGE BAUTE DELGADO. - </w:t>
      </w:r>
    </w:p>
    <w:p w:rsidR="00DA121A" w:rsidRDefault="00904DD6">
      <w:pPr>
        <w:spacing w:after="27"/>
        <w:ind w:left="288" w:right="146"/>
      </w:pPr>
      <w:r>
        <w:t xml:space="preserve">Lo tenemos en cuenta. </w:t>
      </w:r>
    </w:p>
    <w:p w:rsidR="00DA121A" w:rsidRDefault="00904DD6">
      <w:pPr>
        <w:spacing w:after="27"/>
        <w:ind w:left="288" w:right="146"/>
      </w:pPr>
      <w:r>
        <w:t xml:space="preserve">Gracias. - </w:t>
      </w:r>
    </w:p>
    <w:p w:rsidR="00DA121A" w:rsidRDefault="00904DD6">
      <w:pPr>
        <w:spacing w:after="14" w:line="259" w:lineRule="auto"/>
        <w:ind w:left="284" w:firstLine="0"/>
        <w:jc w:val="left"/>
      </w:pPr>
      <w:r>
        <w:t xml:space="preserve"> </w:t>
      </w:r>
    </w:p>
    <w:p w:rsidR="00DA121A" w:rsidRDefault="00904DD6">
      <w:pPr>
        <w:spacing w:after="34"/>
        <w:ind w:left="279" w:right="144"/>
      </w:pPr>
      <w:r>
        <w:rPr>
          <w:b/>
        </w:rPr>
        <w:t xml:space="preserve">INTERVIENE LA SEÑORA ALCALDESA-PRESIDENTA. - </w:t>
      </w:r>
    </w:p>
    <w:p w:rsidR="00DA121A" w:rsidRDefault="00904DD6">
      <w:pPr>
        <w:spacing w:after="28"/>
        <w:ind w:left="288" w:right="146"/>
      </w:pPr>
      <w:r>
        <w:t xml:space="preserve">Algún otro ruego. –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DON DAVID CREGO CHAVES. - </w:t>
      </w:r>
    </w:p>
    <w:p w:rsidR="00DA121A" w:rsidRDefault="00904DD6">
      <w:pPr>
        <w:spacing w:after="26"/>
        <w:ind w:left="288" w:right="146"/>
      </w:pPr>
      <w:r>
        <w:t>Si, por último, los usuarios del pabellón del instituto de Punta Larga qu</w:t>
      </w:r>
      <w:r>
        <w:t>e hacen uso de las instalaciones deportivas, se quejan que cuando salen de entrenar esa zona, esa subida hacia el instituto no tiene iluminación y suele ser peligrosa para ver si se puede poner una farola que les ilumine el camino, justo donde está la para</w:t>
      </w:r>
      <w:r>
        <w:t xml:space="preserve">da de guaguas en la Rambla de Los Menceyes, el camino que sube hacia la entrada del instituto. – </w:t>
      </w:r>
    </w:p>
    <w:p w:rsidR="00DA121A" w:rsidRDefault="00904DD6">
      <w:pPr>
        <w:spacing w:after="16" w:line="259" w:lineRule="auto"/>
        <w:ind w:left="284" w:firstLine="0"/>
        <w:jc w:val="left"/>
      </w:pPr>
      <w:r>
        <w:t xml:space="preserve"> </w:t>
      </w:r>
    </w:p>
    <w:p w:rsidR="00DA121A" w:rsidRDefault="00904DD6">
      <w:pPr>
        <w:spacing w:after="30"/>
        <w:ind w:left="279" w:right="144"/>
      </w:pPr>
      <w:r>
        <w:rPr>
          <w:b/>
        </w:rPr>
        <w:t xml:space="preserve">INTERVIENE DON JORGE BAUTE DELGADO. - </w:t>
      </w:r>
    </w:p>
    <w:p w:rsidR="00DA121A" w:rsidRDefault="00904DD6">
      <w:pPr>
        <w:spacing w:after="27"/>
        <w:ind w:left="288" w:right="146"/>
      </w:pPr>
      <w:r>
        <w:t xml:space="preserve">Ya, podemos intentarlo, todos sabemos que aquello es privado. -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DON DAVID CREGO CHAVES. - </w:t>
      </w:r>
    </w:p>
    <w:p w:rsidR="00DA121A" w:rsidRDefault="00904DD6">
      <w:pPr>
        <w:spacing w:after="30"/>
        <w:ind w:left="288" w:right="146"/>
      </w:pPr>
      <w:r>
        <w:t xml:space="preserve">Ya, ya, yo entiendo, si, eso fue lo que les expliqué. - </w:t>
      </w:r>
    </w:p>
    <w:p w:rsidR="00DA121A" w:rsidRDefault="00904DD6">
      <w:pPr>
        <w:spacing w:after="14" w:line="259" w:lineRule="auto"/>
        <w:ind w:left="284" w:firstLine="0"/>
        <w:jc w:val="left"/>
      </w:pPr>
      <w:r>
        <w:t xml:space="preserve"> </w:t>
      </w:r>
    </w:p>
    <w:p w:rsidR="00DA121A" w:rsidRDefault="00904DD6">
      <w:pPr>
        <w:spacing w:after="31"/>
        <w:ind w:left="279" w:right="144"/>
      </w:pPr>
      <w:r>
        <w:rPr>
          <w:b/>
        </w:rPr>
        <w:t xml:space="preserve">INTERVIENE DON JORGE BAUTE DELGADO. - </w:t>
      </w:r>
    </w:p>
    <w:p w:rsidR="00DA121A" w:rsidRDefault="00904DD6">
      <w:pPr>
        <w:spacing w:after="28"/>
        <w:ind w:left="288" w:right="146"/>
      </w:pPr>
      <w:r>
        <w:t xml:space="preserve">Había una farola que creo que tiene un foco puesto. – </w:t>
      </w:r>
    </w:p>
    <w:p w:rsidR="00DA121A" w:rsidRDefault="00904DD6">
      <w:pPr>
        <w:spacing w:after="0" w:line="259" w:lineRule="auto"/>
        <w:ind w:left="284" w:firstLine="0"/>
        <w:jc w:val="left"/>
      </w:pPr>
      <w:r>
        <w:t xml:space="preserve"> </w:t>
      </w:r>
    </w:p>
    <w:p w:rsidR="00DA121A" w:rsidRDefault="00904DD6">
      <w:pPr>
        <w:spacing w:after="30"/>
        <w:ind w:left="279" w:right="144"/>
      </w:pPr>
      <w:r>
        <w:rPr>
          <w:b/>
        </w:rPr>
        <w:t xml:space="preserve">INTERVIENE DON DAVID CREGO CHAVES. - </w:t>
      </w:r>
    </w:p>
    <w:p w:rsidR="00DA121A" w:rsidRDefault="00904DD6">
      <w:pPr>
        <w:spacing w:after="28"/>
        <w:ind w:left="288" w:right="146"/>
      </w:pPr>
      <w:r>
        <w:t xml:space="preserve">Había un foco si mal no recuerdo desde la farola que está pegada a los cubos de basura, ahí había un foco que alumbraba hacia arriba. – </w:t>
      </w:r>
    </w:p>
    <w:p w:rsidR="00DA121A" w:rsidRDefault="00904DD6">
      <w:pPr>
        <w:spacing w:after="14" w:line="259" w:lineRule="auto"/>
        <w:ind w:left="284" w:firstLine="0"/>
        <w:jc w:val="left"/>
      </w:pPr>
      <w:r>
        <w:t xml:space="preserve"> </w:t>
      </w:r>
    </w:p>
    <w:p w:rsidR="00DA121A" w:rsidRDefault="00904DD6">
      <w:pPr>
        <w:spacing w:after="31"/>
        <w:ind w:left="279" w:right="144"/>
      </w:pPr>
      <w:r>
        <w:rPr>
          <w:b/>
        </w:rPr>
        <w:t xml:space="preserve">INTERVIENE DON JORGE BAUTE DELGADO. - </w:t>
      </w:r>
    </w:p>
    <w:p w:rsidR="00DA121A" w:rsidRDefault="00904DD6">
      <w:pPr>
        <w:spacing w:after="30"/>
        <w:ind w:left="288" w:right="146"/>
      </w:pPr>
      <w:r>
        <w:t xml:space="preserve">Valoramos a ver si lo podemos mejorar, claro. – </w:t>
      </w:r>
    </w:p>
    <w:p w:rsidR="00DA121A" w:rsidRDefault="00904DD6">
      <w:pPr>
        <w:spacing w:after="14" w:line="259" w:lineRule="auto"/>
        <w:ind w:left="284" w:firstLine="0"/>
        <w:jc w:val="left"/>
      </w:pPr>
      <w:r>
        <w:t xml:space="preserve"> </w:t>
      </w:r>
    </w:p>
    <w:p w:rsidR="00DA121A" w:rsidRDefault="00904DD6">
      <w:pPr>
        <w:spacing w:after="34"/>
        <w:ind w:left="279" w:right="144"/>
      </w:pPr>
      <w:r>
        <w:rPr>
          <w:b/>
        </w:rPr>
        <w:t xml:space="preserve">INTERVIENE DON DAVID CREGO </w:t>
      </w:r>
      <w:r>
        <w:rPr>
          <w:b/>
        </w:rPr>
        <w:t xml:space="preserve">CHAVES. - </w:t>
      </w:r>
    </w:p>
    <w:p w:rsidR="00DA121A" w:rsidRDefault="00904DD6">
      <w:pPr>
        <w:spacing w:after="28"/>
        <w:ind w:left="288" w:right="146"/>
      </w:pPr>
      <w:r>
        <w:t xml:space="preserve">Perfecto. – </w:t>
      </w:r>
    </w:p>
    <w:p w:rsidR="00DA121A" w:rsidRDefault="00904DD6">
      <w:pPr>
        <w:spacing w:after="14" w:line="259" w:lineRule="auto"/>
        <w:ind w:left="284" w:firstLine="0"/>
        <w:jc w:val="left"/>
      </w:pPr>
      <w:r>
        <w:t xml:space="preserve"> </w:t>
      </w:r>
    </w:p>
    <w:p w:rsidR="00DA121A" w:rsidRDefault="00904DD6">
      <w:pPr>
        <w:spacing w:after="33"/>
        <w:ind w:left="279" w:right="144"/>
      </w:pPr>
      <w:r>
        <w:rPr>
          <w:b/>
        </w:rPr>
        <w:t xml:space="preserve">INTERVIENE LA SEÑORA ALCALDESA-PRESIDENTA. - </w:t>
      </w:r>
    </w:p>
    <w:p w:rsidR="00DA121A" w:rsidRDefault="00904DD6">
      <w:pPr>
        <w:spacing w:after="28"/>
        <w:ind w:left="288" w:right="146"/>
      </w:pPr>
      <w:r>
        <w:t xml:space="preserve">La parte nuestra porque en el itinerario privado no lo podemos. –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DON DAVID CREGO CHAVES. - </w:t>
      </w:r>
    </w:p>
    <w:p w:rsidR="00DA121A" w:rsidRDefault="00904DD6">
      <w:pPr>
        <w:spacing w:after="30"/>
        <w:ind w:left="288" w:right="146"/>
      </w:pPr>
      <w:r>
        <w:t xml:space="preserve">Si, entiendo.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LA SEÑORA ALCALDESA-PRESIDENTA. - </w:t>
      </w:r>
    </w:p>
    <w:p w:rsidR="00DA121A" w:rsidRDefault="00904DD6">
      <w:pPr>
        <w:spacing w:after="28"/>
        <w:ind w:left="288" w:right="146"/>
      </w:pPr>
      <w:r>
        <w:t xml:space="preserve">Gracias. </w:t>
      </w:r>
    </w:p>
    <w:p w:rsidR="00DA121A" w:rsidRDefault="00904DD6">
      <w:pPr>
        <w:spacing w:after="27"/>
        <w:ind w:left="288" w:right="146"/>
      </w:pPr>
      <w:r>
        <w:t xml:space="preserve">Pasamos a las preguntas. Preguntas Doña Alicia. - </w:t>
      </w:r>
    </w:p>
    <w:p w:rsidR="00DA121A" w:rsidRDefault="00904DD6">
      <w:pPr>
        <w:spacing w:after="17" w:line="259" w:lineRule="auto"/>
        <w:ind w:left="284" w:firstLine="0"/>
        <w:jc w:val="left"/>
      </w:pPr>
      <w:r>
        <w:t xml:space="preserve"> </w:t>
      </w:r>
    </w:p>
    <w:p w:rsidR="00DA121A" w:rsidRDefault="00904DD6">
      <w:pPr>
        <w:spacing w:after="30"/>
        <w:ind w:left="279" w:right="144"/>
      </w:pPr>
      <w:r>
        <w:rPr>
          <w:b/>
        </w:rPr>
        <w:t xml:space="preserve">INTERVIENE DOÑA ALICIA MERCEDES MARRERO MENESES. – </w:t>
      </w:r>
    </w:p>
    <w:p w:rsidR="00DA121A" w:rsidRDefault="00904DD6">
      <w:pPr>
        <w:spacing w:after="28"/>
        <w:ind w:left="288" w:right="146"/>
      </w:pPr>
      <w:r>
        <w:t>Bueno, tenemos constancia de la Resolución dictada por la Administración del Diputado del Común, de fecha agosto de 2022, en el caso de una vecina de n</w:t>
      </w:r>
      <w:r>
        <w:t>uestro municipio, madre soltera con dos hijos que lleva bastante tiempo buscando una solución al grave problema de conseguir una vivienda digna para su familia. Esta Resolución de fecha de agosto de 2022, reitero, indica que sin más dilación se activen los</w:t>
      </w:r>
      <w:r>
        <w:t xml:space="preserve"> mecanismos necesarios para conseguir una vivienda para esta vecina. En octubre del 2022 la Diputación del Común al no recibir respuesta ni del Instituto Canario de Vivienda ni de esta Institución Municipal, requiere nuevamente a ambas en busca de una solu</w:t>
      </w:r>
      <w:r>
        <w:t xml:space="preserve">ción que ya se demora bastante tiempo. </w:t>
      </w:r>
    </w:p>
    <w:p w:rsidR="00DA121A" w:rsidRDefault="00904DD6">
      <w:pPr>
        <w:spacing w:after="26"/>
        <w:ind w:left="288" w:right="146"/>
      </w:pPr>
      <w:r>
        <w:t xml:space="preserve">En septiembre de 2022, esta vecina de nuestro municipio presenta escrito, instando al Ayuntamiento sobre que le informen y comuniquen qué gestiones se están realizando al respecto de esta Resolución. – </w:t>
      </w:r>
    </w:p>
    <w:p w:rsidR="00DA121A" w:rsidRDefault="00904DD6">
      <w:pPr>
        <w:spacing w:after="17" w:line="259" w:lineRule="auto"/>
        <w:ind w:left="284" w:firstLine="0"/>
        <w:jc w:val="left"/>
      </w:pPr>
      <w:r>
        <w:t xml:space="preserve"> </w:t>
      </w:r>
    </w:p>
    <w:p w:rsidR="00DA121A" w:rsidRDefault="00904DD6">
      <w:pPr>
        <w:spacing w:after="30"/>
        <w:ind w:left="279" w:right="144"/>
      </w:pPr>
      <w:r>
        <w:rPr>
          <w:b/>
        </w:rPr>
        <w:t xml:space="preserve">INTERVIENE </w:t>
      </w:r>
      <w:r>
        <w:rPr>
          <w:b/>
        </w:rPr>
        <w:t xml:space="preserve">LA SEÑORA ALCALDESA-PRESIDENTA. – </w:t>
      </w:r>
    </w:p>
    <w:p w:rsidR="00DA121A" w:rsidRDefault="00904DD6">
      <w:pPr>
        <w:spacing w:after="27"/>
        <w:ind w:left="288" w:right="146"/>
      </w:pPr>
      <w:r>
        <w:t xml:space="preserve">Olivia, si tenemos conocimiento, si.  </w:t>
      </w:r>
    </w:p>
    <w:p w:rsidR="00DA121A" w:rsidRDefault="00904DD6">
      <w:pPr>
        <w:spacing w:after="15" w:line="259" w:lineRule="auto"/>
        <w:ind w:left="284" w:firstLine="0"/>
        <w:jc w:val="left"/>
      </w:pPr>
      <w:r>
        <w:t xml:space="preserve"> </w:t>
      </w:r>
    </w:p>
    <w:p w:rsidR="00DA121A" w:rsidRDefault="00904DD6">
      <w:pPr>
        <w:spacing w:after="28"/>
        <w:ind w:left="279" w:right="3398"/>
      </w:pPr>
      <w:r>
        <w:rPr>
          <w:b/>
        </w:rPr>
        <w:t xml:space="preserve">INTERVIENE EL SEÑOR SECRETARIO GENERAL. – </w:t>
      </w:r>
      <w:r>
        <w:t xml:space="preserve">Nombres no se pueden. - </w:t>
      </w:r>
    </w:p>
    <w:p w:rsidR="00DA121A" w:rsidRDefault="00904DD6">
      <w:pPr>
        <w:spacing w:after="15" w:line="259" w:lineRule="auto"/>
        <w:ind w:left="284" w:firstLine="0"/>
        <w:jc w:val="left"/>
      </w:pPr>
      <w:r>
        <w:t xml:space="preserve"> </w:t>
      </w:r>
    </w:p>
    <w:p w:rsidR="00DA121A" w:rsidRDefault="00904DD6">
      <w:pPr>
        <w:spacing w:after="28"/>
        <w:ind w:left="279" w:right="2404"/>
      </w:pPr>
      <w:r>
        <w:rPr>
          <w:b/>
        </w:rPr>
        <w:t xml:space="preserve">INTERVIENE LA SEÑORA ALCALDESA-PRESIDENTA. – </w:t>
      </w:r>
      <w:r>
        <w:t xml:space="preserve">Evidentemente no, </w:t>
      </w:r>
    </w:p>
    <w:p w:rsidR="00DA121A" w:rsidRDefault="00904DD6">
      <w:pPr>
        <w:spacing w:after="0" w:line="259" w:lineRule="auto"/>
        <w:ind w:left="284" w:firstLine="0"/>
        <w:jc w:val="left"/>
      </w:pPr>
      <w:r>
        <w:t xml:space="preserve"> </w:t>
      </w:r>
    </w:p>
    <w:p w:rsidR="00DA121A" w:rsidRDefault="00904DD6">
      <w:pPr>
        <w:spacing w:after="31"/>
        <w:ind w:left="279" w:right="144"/>
      </w:pPr>
      <w:r>
        <w:rPr>
          <w:b/>
        </w:rPr>
        <w:t xml:space="preserve">INTERVIENE DOÑA OLIVIA PÉREZ DÍAZ. – </w:t>
      </w:r>
    </w:p>
    <w:p w:rsidR="00DA121A" w:rsidRDefault="00904DD6">
      <w:pPr>
        <w:spacing w:after="30"/>
        <w:ind w:left="288" w:right="146"/>
      </w:pPr>
      <w:r>
        <w:t xml:space="preserve">Por supuesto datos personales de ninguna manera. –  </w:t>
      </w:r>
    </w:p>
    <w:p w:rsidR="00DA121A" w:rsidRDefault="00904DD6">
      <w:pPr>
        <w:spacing w:after="15" w:line="259" w:lineRule="auto"/>
        <w:ind w:left="284" w:firstLine="0"/>
        <w:jc w:val="left"/>
      </w:pPr>
      <w:r>
        <w:t xml:space="preserve"> </w:t>
      </w:r>
    </w:p>
    <w:p w:rsidR="00DA121A" w:rsidRDefault="00904DD6">
      <w:pPr>
        <w:spacing w:after="28"/>
        <w:ind w:left="279" w:right="3950"/>
      </w:pPr>
      <w:r>
        <w:rPr>
          <w:b/>
        </w:rPr>
        <w:t xml:space="preserve">INTERVIENE EL SEÑOR SECRETARIO GENERAL. – </w:t>
      </w:r>
      <w:r>
        <w:t xml:space="preserve">No, no se puede y menos en un Pleno. </w:t>
      </w:r>
    </w:p>
    <w:p w:rsidR="00DA121A" w:rsidRDefault="00904DD6">
      <w:pPr>
        <w:spacing w:after="17" w:line="259" w:lineRule="auto"/>
        <w:ind w:left="284" w:firstLine="0"/>
        <w:jc w:val="left"/>
      </w:pPr>
      <w:r>
        <w:t xml:space="preserve"> </w:t>
      </w:r>
    </w:p>
    <w:p w:rsidR="00DA121A" w:rsidRDefault="00904DD6">
      <w:pPr>
        <w:spacing w:after="31"/>
        <w:ind w:left="279" w:right="144"/>
      </w:pPr>
      <w:r>
        <w:rPr>
          <w:b/>
        </w:rPr>
        <w:t xml:space="preserve">INTERVIENE DOÑA OLIVIA PÉREZ DÍAZ. – </w:t>
      </w:r>
    </w:p>
    <w:p w:rsidR="00DA121A" w:rsidRDefault="00904DD6">
      <w:pPr>
        <w:spacing w:after="27"/>
        <w:ind w:left="288" w:right="146"/>
      </w:pPr>
      <w:r>
        <w:t>Este no es el foro, entiendo para hacer ese tipo de pregunta, si están interesado</w:t>
      </w:r>
      <w:r>
        <w:t xml:space="preserve">s, existe un servicio que se llama Servicios Sociales donde las técnicas hacen los seguimientos de los casos y bueno, desgraciadamente el caso puede pertenecer a cualquier persona del municipio que está en esa misma situación, no tenemos vivienda, se está </w:t>
      </w:r>
      <w:r>
        <w:t>trabajando con que se resuelva el plan, como se llama eso, de las Huertas de Don Pablo, con lo que se facilitaría que el proyecto que ya está en vivienda desde hace años, añísimos, se pueda llevar a cabo y desgraciadamente los alquileres en Candelaria ahor</w:t>
      </w:r>
      <w:r>
        <w:t>a mismo están en la situación en la que están, con lo cual eso se hace casi imposible para los recursos municipales, perdona, para los recursos de las unidades familiares y por otro lado, nosotros insistimos en la necesidad que la gente se ponga como deman</w:t>
      </w:r>
      <w:r>
        <w:t xml:space="preserve">dante de empleo, perdona, demandante de vivienda, que los ayudamos en el procedimiento incluso, les pedimos cita para conseguir documentos y por otro lado tenemos la situación personal de este caso en concreto, es un caso que se conoce desde los Servicios </w:t>
      </w:r>
      <w:r>
        <w:t xml:space="preserve">Sociales y creo que no está desatendida. </w:t>
      </w:r>
    </w:p>
    <w:p w:rsidR="00DA121A" w:rsidRDefault="00904DD6">
      <w:pPr>
        <w:spacing w:after="25"/>
        <w:ind w:left="288" w:right="146"/>
      </w:pPr>
      <w:r>
        <w:t>Ya se le ha respondido al Diputado del Común en reiteradas ocasiones y justamente hemos recibido hace poco otra solicitud requiriendo respuesta, que ya se está trabajando la respuesta una de las trabajadoras social</w:t>
      </w:r>
      <w:r>
        <w:t xml:space="preserve">es. </w:t>
      </w:r>
    </w:p>
    <w:p w:rsidR="00DA121A" w:rsidRDefault="00904DD6">
      <w:pPr>
        <w:spacing w:after="30"/>
        <w:ind w:left="288" w:right="146"/>
      </w:pPr>
      <w:r>
        <w:t xml:space="preserve">Y quería hacer otro comentario, perdona quería indicarte otra que no recuerdo exactamente.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DOÑA ALICIA MERCEDES MARRERO MENESES.  </w:t>
      </w:r>
    </w:p>
    <w:p w:rsidR="00DA121A" w:rsidRDefault="00904DD6">
      <w:pPr>
        <w:spacing w:after="29"/>
        <w:ind w:left="288" w:right="146"/>
      </w:pPr>
      <w:r>
        <w:t xml:space="preserve">O sea, que entonces esto es que se le ha contestado y ella de alguna manera se ha dirigido a nuestra formación… </w:t>
      </w:r>
    </w:p>
    <w:p w:rsidR="00DA121A" w:rsidRDefault="00904DD6">
      <w:pPr>
        <w:spacing w:after="18" w:line="259" w:lineRule="auto"/>
        <w:ind w:left="284" w:firstLine="0"/>
        <w:jc w:val="left"/>
      </w:pPr>
      <w:r>
        <w:t xml:space="preserve"> </w:t>
      </w:r>
    </w:p>
    <w:p w:rsidR="00DA121A" w:rsidRDefault="00904DD6">
      <w:pPr>
        <w:spacing w:after="30"/>
        <w:ind w:left="279" w:right="144"/>
      </w:pPr>
      <w:r>
        <w:rPr>
          <w:b/>
        </w:rPr>
        <w:t xml:space="preserve">INTERVIENE DOÑA OLIVIA PÉREZ DÍAZ. – </w:t>
      </w:r>
    </w:p>
    <w:p w:rsidR="00DA121A" w:rsidRDefault="00904DD6">
      <w:pPr>
        <w:spacing w:after="26"/>
        <w:ind w:left="288" w:right="146"/>
      </w:pPr>
      <w:r>
        <w:t>Perdona son dos expedientes diferentes, uno el que se le dio respuesta al Diputado del Común el por qué</w:t>
      </w:r>
      <w:r>
        <w:t xml:space="preserve"> no podía acceder a cierto tipo de recursos y, esta segunda opción es, ya recuerdo lo que te iba a decir, los recursos que hay ahora mismo son Base 25 y providencia, pero para poder acceder a ese tipo de recursos tiene que haber un lanzamiento judicial par</w:t>
      </w:r>
      <w:r>
        <w:t>a que se activen estos recursos, esto lo digo de manera general, no en este caso en concreto, que bueno, afortunadamente no es el caso, vale, entonces si no existe ese lanzamiento, no se pueden activar estos recursos con lo cual, ahora mismo es volver, rei</w:t>
      </w:r>
      <w:r>
        <w:t xml:space="preserve">tero, desgraciadamente es la situación de muchas otras personas no solo de Candelaria, de toda la nación, vale, de toda la provincia y de toda España. </w:t>
      </w:r>
    </w:p>
    <w:p w:rsidR="00DA121A" w:rsidRDefault="00904DD6">
      <w:pPr>
        <w:spacing w:after="28"/>
        <w:ind w:left="288" w:right="146"/>
      </w:pPr>
      <w:r>
        <w:t xml:space="preserve">Gracias.  </w:t>
      </w:r>
    </w:p>
    <w:p w:rsidR="00DA121A" w:rsidRDefault="00904DD6">
      <w:pPr>
        <w:spacing w:after="14" w:line="259" w:lineRule="auto"/>
        <w:ind w:left="284" w:firstLine="0"/>
        <w:jc w:val="left"/>
      </w:pPr>
      <w:r>
        <w:t xml:space="preserve"> </w:t>
      </w:r>
    </w:p>
    <w:p w:rsidR="00DA121A" w:rsidRDefault="00904DD6">
      <w:pPr>
        <w:spacing w:after="0" w:line="259" w:lineRule="auto"/>
        <w:ind w:left="284" w:firstLine="0"/>
        <w:jc w:val="left"/>
      </w:pPr>
      <w:r>
        <w:rPr>
          <w:b/>
        </w:rPr>
        <w:t xml:space="preserve"> </w:t>
      </w:r>
    </w:p>
    <w:p w:rsidR="00DA121A" w:rsidRDefault="00904DD6">
      <w:pPr>
        <w:spacing w:after="17" w:line="259" w:lineRule="auto"/>
        <w:ind w:left="284" w:firstLine="0"/>
        <w:jc w:val="left"/>
      </w:pPr>
      <w:r>
        <w:rPr>
          <w:b/>
        </w:rPr>
        <w:t xml:space="preserve"> </w:t>
      </w:r>
    </w:p>
    <w:p w:rsidR="00DA121A" w:rsidRDefault="00904DD6">
      <w:pPr>
        <w:spacing w:after="32"/>
        <w:ind w:left="279" w:right="144"/>
      </w:pPr>
      <w:r>
        <w:rPr>
          <w:b/>
        </w:rPr>
        <w:t xml:space="preserve">INTERVIENE LA SEÑORA ALCALDESA-PRESIDENTA. – </w:t>
      </w:r>
    </w:p>
    <w:p w:rsidR="00DA121A" w:rsidRDefault="00904DD6">
      <w:pPr>
        <w:spacing w:after="27"/>
        <w:ind w:left="288" w:right="146"/>
      </w:pPr>
      <w:r>
        <w:t xml:space="preserve">Gracias Olivia. </w:t>
      </w:r>
    </w:p>
    <w:p w:rsidR="00DA121A" w:rsidRDefault="00904DD6">
      <w:pPr>
        <w:spacing w:after="29"/>
        <w:ind w:left="288" w:right="146"/>
      </w:pPr>
      <w:r>
        <w:t xml:space="preserve">Pregunta Doña Marta. </w:t>
      </w:r>
    </w:p>
    <w:p w:rsidR="00DA121A" w:rsidRDefault="00904DD6">
      <w:pPr>
        <w:spacing w:after="28"/>
        <w:ind w:left="288" w:right="146"/>
      </w:pPr>
      <w:r>
        <w:t xml:space="preserve">Gracias, Doña Ángela, pregunta. – </w:t>
      </w:r>
    </w:p>
    <w:p w:rsidR="00DA121A" w:rsidRDefault="00904DD6">
      <w:pPr>
        <w:spacing w:after="16" w:line="259" w:lineRule="auto"/>
        <w:ind w:left="284" w:firstLine="0"/>
        <w:jc w:val="left"/>
      </w:pPr>
      <w:r>
        <w:t xml:space="preserve"> </w:t>
      </w:r>
    </w:p>
    <w:p w:rsidR="00DA121A" w:rsidRDefault="00904DD6">
      <w:pPr>
        <w:spacing w:after="30"/>
        <w:ind w:left="279" w:right="144"/>
      </w:pPr>
      <w:r>
        <w:rPr>
          <w:b/>
        </w:rPr>
        <w:t xml:space="preserve">INTERVIENE DOÑA ÁNGELA CRUZ PERERA. - </w:t>
      </w:r>
    </w:p>
    <w:p w:rsidR="00DA121A" w:rsidRDefault="00904DD6">
      <w:pPr>
        <w:spacing w:after="26"/>
        <w:ind w:left="288" w:right="146"/>
      </w:pPr>
      <w:r>
        <w:t>Si, me gustaría que nos informara, los solares que se encuentran entre el pabellón y el nuevo comedor del Colegio Público de Punta Larga y el otro solar que se encuentra anexo a la</w:t>
      </w:r>
      <w:r>
        <w:t xml:space="preserve"> antigua estación de guaguas de Candelaria están utilizados por </w:t>
      </w:r>
      <w:r>
        <w:rPr>
          <w:i/>
        </w:rPr>
        <w:t>rulots</w:t>
      </w:r>
      <w:r>
        <w:t xml:space="preserve"> y por auto caravanas para aparcar o para acampar, hay algún, esto, abierto, se ha establecido algún convenio con ellos, alguna cosa o ha sido de motu propio.  </w:t>
      </w:r>
    </w:p>
    <w:p w:rsidR="00DA121A" w:rsidRDefault="00904DD6">
      <w:pPr>
        <w:spacing w:after="30"/>
        <w:ind w:left="279" w:right="144"/>
      </w:pPr>
      <w:r>
        <w:rPr>
          <w:b/>
        </w:rPr>
        <w:t>INTERVIENE LA SEÑORA ALCA</w:t>
      </w:r>
      <w:r>
        <w:rPr>
          <w:b/>
        </w:rPr>
        <w:t xml:space="preserve">LDESA-PRESIDENTA. – </w:t>
      </w:r>
    </w:p>
    <w:p w:rsidR="00DA121A" w:rsidRDefault="00904DD6">
      <w:pPr>
        <w:spacing w:after="26"/>
        <w:ind w:left="288" w:right="146"/>
      </w:pPr>
      <w:r>
        <w:t>Fran, no sé si tú tienes alguna información más, pero por el momento lo que sabemos, esas son parcelas, en el caso de la que está junto al pabellón es una parcela municipal, la que está junto a la estación de guaguas no es municipal, p</w:t>
      </w:r>
      <w:r>
        <w:t xml:space="preserve">ero se permite, está abierta y como aparcamiento pues se está aparcando y estábamos, precisamente estábamos en investigación con ese tema.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DON OLEGARIO FRANCISCO ALONSO BELLO. - </w:t>
      </w:r>
    </w:p>
    <w:p w:rsidR="00DA121A" w:rsidRDefault="00904DD6">
      <w:pPr>
        <w:spacing w:after="26"/>
        <w:ind w:left="288" w:right="146"/>
      </w:pPr>
      <w:r>
        <w:t>Buenos días, lo que se está haciendo un seguimiento de las cara</w:t>
      </w:r>
      <w:r>
        <w:t>vanas que están ahí estacionadas que creemos que hay algunas que las están dejando, o sea, no están siendo utilizadas para vivir, sino que están utilizando esa zona como aparcamiento, entonces se está haciendo un seguimiento de esos vehículos que están est</w:t>
      </w:r>
      <w:r>
        <w:t xml:space="preserve">acionados ahí. – </w:t>
      </w:r>
    </w:p>
    <w:p w:rsidR="00DA121A" w:rsidRDefault="00904DD6">
      <w:pPr>
        <w:spacing w:after="17" w:line="259" w:lineRule="auto"/>
        <w:ind w:left="284" w:firstLine="0"/>
        <w:jc w:val="left"/>
      </w:pPr>
      <w:r>
        <w:t xml:space="preserve"> </w:t>
      </w:r>
    </w:p>
    <w:p w:rsidR="00DA121A" w:rsidRDefault="00904DD6">
      <w:pPr>
        <w:spacing w:after="30"/>
        <w:ind w:left="279" w:right="144"/>
      </w:pPr>
      <w:r>
        <w:rPr>
          <w:b/>
        </w:rPr>
        <w:t xml:space="preserve">INTERVIENE LA SEÑORA ALCALDESA-PRESIDENTA. – </w:t>
      </w:r>
    </w:p>
    <w:p w:rsidR="00DA121A" w:rsidRDefault="00904DD6">
      <w:pPr>
        <w:spacing w:after="26"/>
        <w:ind w:left="288" w:right="146"/>
      </w:pPr>
      <w:r>
        <w:t>Y viendo si hay rotación o no, porque si no hay rotación no pueden quedarse allí de manera indefinida, entonces si hay rotación es un aparcamiento, no se puede impedir, pero si no hay rotaci</w:t>
      </w:r>
      <w:r>
        <w:t xml:space="preserve">ón hay, ese es el seguimiento al que se refiere el compañero para tomar las medidas que, como vehículo abandonado, como vamos, lo que proceda según la normativa que se nos permita, entonces porque no está habilitado como un sitio de acampada.  </w:t>
      </w:r>
    </w:p>
    <w:p w:rsidR="00DA121A" w:rsidRDefault="00904DD6">
      <w:pPr>
        <w:spacing w:after="26"/>
        <w:ind w:left="288" w:right="146"/>
      </w:pPr>
      <w:r>
        <w:t>Ustedes sab</w:t>
      </w:r>
      <w:r>
        <w:t>en que, en los periodos festivos, sobre todo en verano y demás pues si se habilitaban como tal, incluso se habilitaba en la parcela municipal algún servicio, pero puntualmente para esa semana de fiestas y demás, pero o de manera habitual como estamos obser</w:t>
      </w:r>
      <w:r>
        <w:t xml:space="preserve">vando en los últimos meses. </w:t>
      </w:r>
    </w:p>
    <w:p w:rsidR="00DA121A" w:rsidRDefault="00904DD6">
      <w:pPr>
        <w:spacing w:after="44"/>
        <w:ind w:left="288" w:right="146"/>
      </w:pPr>
      <w:r>
        <w:t>Esto claro que es una, que vamos, la utilización de las auto caravanas tiene que regularse de hecho ahí se está trabajando porque entendemos que es una problemática también ahora mismo de acceso a zonas habilitadas para los ser</w:t>
      </w:r>
      <w:r>
        <w:t>vicios en toda Canarias, de hecho, se ha estado trabajando en ese tema, pero es muy complejo también, en nuestro caso es muy complejo habilitar porque cerca de la costa que es donde se quiere, parcelas nosotros, en nuestro caso no tenemos con lo cual, buen</w:t>
      </w:r>
      <w:r>
        <w:t xml:space="preserve">o es complicado, pero tampoco se pueden utilizar de manera indefinida zonas que son para la rotación de los vecinos y que a lo mejor tampoco son pues son vecinos del municipio, con lo cual, bueno pues dejar algo ahí, por eso es el seguimiento no, entiendo </w:t>
      </w:r>
      <w:r>
        <w:t xml:space="preserve">que es esto no Fran, de acuerdo, esa es la situación. </w:t>
      </w:r>
    </w:p>
    <w:p w:rsidR="00DA121A" w:rsidRDefault="00904DD6">
      <w:pPr>
        <w:spacing w:after="30"/>
        <w:ind w:left="288" w:right="146"/>
      </w:pPr>
      <w:r>
        <w:t xml:space="preserve">Don David, preguntas. – </w:t>
      </w:r>
    </w:p>
    <w:p w:rsidR="00DA121A" w:rsidRDefault="00904DD6">
      <w:pPr>
        <w:spacing w:after="14" w:line="259" w:lineRule="auto"/>
        <w:ind w:left="284" w:firstLine="0"/>
        <w:jc w:val="left"/>
      </w:pPr>
      <w:r>
        <w:t xml:space="preserve"> </w:t>
      </w:r>
    </w:p>
    <w:p w:rsidR="00DA121A" w:rsidRDefault="00904DD6">
      <w:pPr>
        <w:spacing w:after="30"/>
        <w:ind w:left="279" w:right="144"/>
      </w:pPr>
      <w:r>
        <w:rPr>
          <w:b/>
        </w:rPr>
        <w:t xml:space="preserve">INTERVIENE DON DAVID CREGO CHAVES. - </w:t>
      </w:r>
    </w:p>
    <w:p w:rsidR="00DA121A" w:rsidRDefault="00904DD6">
      <w:pPr>
        <w:spacing w:after="26"/>
        <w:ind w:left="288" w:right="146"/>
      </w:pPr>
      <w:r>
        <w:t>Si, recientemente aprobamos la modificación presupuestaria en la que se destinaron más de 80000 euros para la expropiación de la parcela que hablamos de Barranco Hondo, entonces al Grupo Municipal Popular nos gustaría saber para qué uso va a estar destinad</w:t>
      </w:r>
      <w:r>
        <w:t xml:space="preserve">a la parcela, además de que ponga votación pública en la modificación, a que va a ir destinada. - </w:t>
      </w:r>
    </w:p>
    <w:p w:rsidR="00DA121A" w:rsidRDefault="00904DD6">
      <w:pPr>
        <w:spacing w:after="15" w:line="259" w:lineRule="auto"/>
        <w:ind w:left="284" w:firstLine="0"/>
        <w:jc w:val="left"/>
      </w:pPr>
      <w:r>
        <w:t xml:space="preserve"> </w:t>
      </w:r>
    </w:p>
    <w:p w:rsidR="00DA121A" w:rsidRDefault="00904DD6">
      <w:pPr>
        <w:spacing w:after="30"/>
        <w:ind w:left="279" w:right="144"/>
      </w:pPr>
      <w:r>
        <w:rPr>
          <w:b/>
        </w:rPr>
        <w:t xml:space="preserve">INTERVIENE LA SEÑORA ALCALDESA-PRESIDENTA. – </w:t>
      </w:r>
    </w:p>
    <w:p w:rsidR="00DA121A" w:rsidRDefault="00904DD6">
      <w:pPr>
        <w:spacing w:after="26"/>
        <w:ind w:left="288" w:right="146"/>
      </w:pPr>
      <w:r>
        <w:t>La expropiación que llevamos en el punto de la modificación presupuestaria, si, no, es una expropiación que e</w:t>
      </w:r>
      <w:r>
        <w:t>s obligatoria realizar, pero todavía no se ha analizado el uso destinado, estamos ahí valorando por la situación, digamos por las condiciones de la parcela tendremos que decidir, pero todavía, hay varias propuestas, pero no hemos tomado todavía una decisió</w:t>
      </w:r>
      <w:r>
        <w:t>n al respecto, pero si hay que, pero si es una, vamos, a instancias también de la propiedad que hay que expropiarlo pues llevamos ya desde hace varios años con la iniciativa y hay que terminarla, con lo cual, bueno es algo que había que hacerlo si o si, ha</w:t>
      </w:r>
      <w:r>
        <w:t xml:space="preserve">y otras parcelas así en el Plan General y bueno en este caso vamos a ampliar, vamos a continuar con el procedimiento y dotar el crédito para poder hacerla ya pública. </w:t>
      </w:r>
    </w:p>
    <w:p w:rsidR="00DA121A" w:rsidRDefault="00904DD6">
      <w:pPr>
        <w:spacing w:after="30"/>
        <w:ind w:left="288" w:right="146"/>
      </w:pPr>
      <w:r>
        <w:t xml:space="preserve">Alguna otra pregunta.  </w:t>
      </w:r>
    </w:p>
    <w:p w:rsidR="00DA121A" w:rsidRDefault="00904DD6">
      <w:pPr>
        <w:spacing w:after="14" w:line="259" w:lineRule="auto"/>
        <w:ind w:left="284" w:firstLine="0"/>
        <w:jc w:val="left"/>
      </w:pPr>
      <w:r>
        <w:t xml:space="preserve"> </w:t>
      </w:r>
    </w:p>
    <w:p w:rsidR="00DA121A" w:rsidRDefault="00904DD6">
      <w:pPr>
        <w:spacing w:after="4"/>
        <w:ind w:left="279" w:right="144"/>
      </w:pPr>
      <w:r>
        <w:rPr>
          <w:b/>
        </w:rPr>
        <w:t xml:space="preserve">INTERVIENE DON DAVID CREGO CHAVES. - </w:t>
      </w:r>
    </w:p>
    <w:p w:rsidR="00DA121A" w:rsidRDefault="00904DD6">
      <w:pPr>
        <w:ind w:left="288" w:right="146"/>
      </w:pPr>
      <w:r>
        <w:t xml:space="preserve">Sí, en el pasado mes de </w:t>
      </w:r>
      <w:r>
        <w:t>enero le preguntamos al Grupo de Gobierno sobre el tema de la entrada en funcionamiento de las cantinas de los centros deportivos, se nos contestó que iban a intentar estar para el mes de febrero y estamos ya llegando al mes de abril y aún no sabemos si va</w:t>
      </w:r>
      <w:r>
        <w:t xml:space="preserve">n a salir a licitación y si van a entrar en funcionamiento en esta digamos temporada, entonces sabemos finalmente cuándo se van a poner en funcionamiento, cuándo van a entrar en licitación.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INTERVIENE MANUEL ALBERTO GONZÁLEZ PESTANO. - </w:t>
      </w:r>
    </w:p>
    <w:p w:rsidR="00DA121A" w:rsidRDefault="00904DD6">
      <w:pPr>
        <w:ind w:left="288" w:right="146"/>
      </w:pPr>
      <w:r>
        <w:t>Si, buenos días</w:t>
      </w:r>
      <w:r>
        <w:t>, si nada lo remedia pues entiendo que ya la semana que viene debe estar concluido todo el trámite administrativo de los distintos técnicos, de tres partes, mañana viernes están terminadas dos, me falta saber si la tercera pues ya lo ha terminado su trabaj</w:t>
      </w:r>
      <w:r>
        <w:t>o. Como digo, me permites la broma, si nada lo remedia en este mes de abril saldrán ya, toca la Semana Santa, pero yo imagino que la semana siguiente de la Semana Santa ya pudiera estar todo para iniciar el trámite de la publicación porque ya te digo, hemo</w:t>
      </w:r>
      <w:r>
        <w:t xml:space="preserve">s conciliado todas esas partes, me consta que de las tres aristas una ya está concluida, la otra la termina mañana, me falta el otro técnico que está implicado en esta cuestión y ya digo, estamos en el final de los finales. –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INTERVIENE LA SEÑORA ALCAD</w:t>
      </w:r>
      <w:r>
        <w:rPr>
          <w:b/>
        </w:rPr>
        <w:t xml:space="preserve">ESA-PRESIDENTA. - </w:t>
      </w:r>
    </w:p>
    <w:p w:rsidR="00DA121A" w:rsidRDefault="00904DD6">
      <w:pPr>
        <w:ind w:left="288" w:right="146"/>
      </w:pPr>
      <w:r>
        <w:t xml:space="preserve">Gracias Manolo,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INTERVIENE DON DAVID CREGO CHAVES. - </w:t>
      </w:r>
    </w:p>
    <w:p w:rsidR="00DA121A" w:rsidRDefault="00904DD6">
      <w:pPr>
        <w:ind w:left="288" w:right="146"/>
      </w:pPr>
      <w:r>
        <w:t xml:space="preserve">Gracias. –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INTERVIENE LA SEÑORA ALCADESA-PRESIDENTA. - </w:t>
      </w:r>
    </w:p>
    <w:p w:rsidR="00DA121A" w:rsidRDefault="00904DD6">
      <w:pPr>
        <w:ind w:left="288" w:right="146"/>
      </w:pPr>
      <w:r>
        <w:t xml:space="preserve">Ultima pregunta. –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INTERVIENE DON DAVID GREGO CHAVES. - </w:t>
      </w:r>
    </w:p>
    <w:p w:rsidR="00DA121A" w:rsidRDefault="00904DD6">
      <w:pPr>
        <w:ind w:left="288" w:right="146"/>
      </w:pPr>
      <w:r>
        <w:t xml:space="preserve">Si, bueno como saben estamos a las puertas de un periodo vacacional previo al verano y todavía no tenemos noticias del funcionamiento de la piscina municipal ni sabemos que es lo que va a ocurrir finalmente con ella, entonces queremos preguntar si sabemos </w:t>
      </w:r>
      <w:r>
        <w:t xml:space="preserve">si se va a abrir la piscina municipal finalmente o seguirá cerrada.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INTERVIENE LA SEÑORA ALCADESA-PRESIDENTA. - </w:t>
      </w:r>
    </w:p>
    <w:p w:rsidR="00DA121A" w:rsidRDefault="00904DD6">
      <w:pPr>
        <w:ind w:left="288" w:right="146"/>
      </w:pPr>
      <w:r>
        <w:t>Pues estamos pendientes porque estamos trabajando con el Gobierno de Canarias gracias a que las competencias están transferidas, porque Madrid no nos da esa concesión, nos la ha negado y estamos trabajando con el Gobierno de Canarias para solicitar una nue</w:t>
      </w:r>
      <w:r>
        <w:t xml:space="preserve">va concesión con un nuevo proyecto, nosotros hemos elevado también, hemos recurrido la decisión y también estamos trabajando en la presentación de la medida cautelar ante la Audiencia Nacional, entonces que nos lleva el procedimiento se está trabajando en </w:t>
      </w:r>
      <w:r>
        <w:t xml:space="preserve">ese sentido y confiamos a que a través del Gobierno de Canarias, porque el procedimiento judicial se puede alargar, confiamos que con el Gobierno de Canarias podamos alcanzar alguna solución para poder abrirla cuanto antes, cuándo no lo puedo decir porque </w:t>
      </w:r>
      <w:r>
        <w:t>no lo sé, dependerá de los plazos pero si es verdad que estamos trabajando para poder abrirla, si estuviera en nuestras manos ya estaría abierta, pero no está en nuestras manos, así que estamos intentando que quien tiene que tomar la decisión la otorgue fa</w:t>
      </w:r>
      <w:r>
        <w:t xml:space="preserve">vorablemente, en esa situación estamos.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INTERVIENE DON DAVID GREGO CHAVES. - </w:t>
      </w:r>
    </w:p>
    <w:p w:rsidR="00DA121A" w:rsidRDefault="00904DD6">
      <w:pPr>
        <w:ind w:left="288" w:right="146"/>
      </w:pPr>
      <w:r>
        <w:t xml:space="preserve">Muchas gracias. - </w:t>
      </w:r>
    </w:p>
    <w:p w:rsidR="00DA121A" w:rsidRDefault="00904DD6">
      <w:pPr>
        <w:spacing w:after="0" w:line="259" w:lineRule="auto"/>
        <w:ind w:left="284" w:firstLine="0"/>
        <w:jc w:val="left"/>
      </w:pPr>
      <w:r>
        <w:t xml:space="preserve"> </w:t>
      </w:r>
    </w:p>
    <w:p w:rsidR="00DA121A" w:rsidRDefault="00904DD6">
      <w:pPr>
        <w:spacing w:after="4"/>
        <w:ind w:left="279" w:right="144"/>
      </w:pPr>
      <w:r>
        <w:rPr>
          <w:b/>
        </w:rPr>
        <w:t xml:space="preserve">INTERVIENE LA SEÑORA ALCADESA-PRESIDENTA. – </w:t>
      </w:r>
    </w:p>
    <w:p w:rsidR="00DA121A" w:rsidRDefault="00904DD6">
      <w:pPr>
        <w:ind w:left="288" w:right="1320"/>
      </w:pPr>
      <w:r>
        <w:t>Muy bien, terminado el turno de preguntas, terminamos también el Pleno. Muchísimas gracias a todos y buen dí</w:t>
      </w:r>
      <w:r>
        <w:t xml:space="preserve">a. -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spacing w:after="0" w:line="259" w:lineRule="auto"/>
        <w:ind w:left="284" w:firstLine="0"/>
        <w:jc w:val="left"/>
      </w:pPr>
      <w:r>
        <w:rPr>
          <w:rFonts w:ascii="Times New Roman" w:eastAsia="Times New Roman" w:hAnsi="Times New Roman" w:cs="Times New Roman"/>
          <w:sz w:val="24"/>
        </w:rPr>
        <w:t xml:space="preserve"> </w:t>
      </w:r>
    </w:p>
    <w:p w:rsidR="00DA121A" w:rsidRDefault="00904DD6">
      <w:pPr>
        <w:ind w:left="288" w:right="146"/>
      </w:pPr>
      <w:r>
        <w:t>Se levanta la sesión a las 12:10 horas del mismo día. De todo lo cual yo, como Secretario General, doy fe.</w:t>
      </w:r>
      <w:r>
        <w:rPr>
          <w:rFonts w:ascii="Times New Roman" w:eastAsia="Times New Roman" w:hAnsi="Times New Roman" w:cs="Times New Roman"/>
          <w:sz w:val="24"/>
        </w:rPr>
        <w:t xml:space="preserve"> </w:t>
      </w:r>
    </w:p>
    <w:p w:rsidR="00DA121A" w:rsidRDefault="00904DD6">
      <w:pPr>
        <w:spacing w:after="120" w:line="259" w:lineRule="auto"/>
        <w:ind w:left="284" w:firstLine="0"/>
        <w:jc w:val="left"/>
      </w:pPr>
      <w:r>
        <w:rPr>
          <w:b/>
        </w:rPr>
        <w:t xml:space="preserve"> </w:t>
      </w:r>
    </w:p>
    <w:p w:rsidR="00DA121A" w:rsidRDefault="00904DD6">
      <w:pPr>
        <w:tabs>
          <w:tab w:val="center" w:pos="284"/>
          <w:tab w:val="center" w:pos="1811"/>
        </w:tabs>
        <w:spacing w:after="59" w:line="259" w:lineRule="auto"/>
        <w:ind w:left="0" w:firstLine="0"/>
        <w:jc w:val="left"/>
      </w:pPr>
      <w:r>
        <w:rPr>
          <w:rFonts w:ascii="Calibri" w:eastAsia="Calibri" w:hAnsi="Calibri" w:cs="Calibri"/>
        </w:rPr>
        <w:tab/>
      </w:r>
      <w:r>
        <w:rPr>
          <w:sz w:val="14"/>
        </w:rPr>
        <w:t xml:space="preserve">          </w:t>
      </w:r>
      <w:r>
        <w:rPr>
          <w:sz w:val="14"/>
        </w:rPr>
        <w:tab/>
        <w:t xml:space="preserve">                           </w:t>
      </w:r>
      <w:r>
        <w:rPr>
          <w:b/>
          <w:sz w:val="20"/>
        </w:rPr>
        <w:t>Vº. Bº.</w:t>
      </w:r>
      <w:r>
        <w:rPr>
          <w:sz w:val="14"/>
        </w:rPr>
        <w:t xml:space="preserve"> </w:t>
      </w:r>
    </w:p>
    <w:p w:rsidR="00DA121A" w:rsidRDefault="00904DD6">
      <w:pPr>
        <w:spacing w:after="61" w:line="259" w:lineRule="auto"/>
        <w:ind w:left="284" w:firstLine="0"/>
        <w:jc w:val="left"/>
      </w:pPr>
      <w:r>
        <w:rPr>
          <w:sz w:val="14"/>
        </w:rPr>
        <w:t xml:space="preserve"> </w:t>
      </w:r>
    </w:p>
    <w:p w:rsidR="00DA121A" w:rsidRDefault="00904DD6">
      <w:pPr>
        <w:tabs>
          <w:tab w:val="center" w:pos="284"/>
          <w:tab w:val="center" w:pos="2605"/>
          <w:tab w:val="center" w:pos="4532"/>
          <w:tab w:val="center" w:pos="6934"/>
        </w:tabs>
        <w:spacing w:after="282"/>
        <w:ind w:left="0" w:firstLine="0"/>
        <w:jc w:val="left"/>
      </w:pPr>
      <w:r>
        <w:rPr>
          <w:rFonts w:ascii="Calibri" w:eastAsia="Calibri" w:hAnsi="Calibri" w:cs="Calibri"/>
        </w:rPr>
        <w:tab/>
      </w:r>
      <w:r>
        <w:rPr>
          <w:b/>
          <w:sz w:val="20"/>
        </w:rPr>
        <w:t xml:space="preserve"> </w:t>
      </w:r>
      <w:r>
        <w:rPr>
          <w:b/>
          <w:sz w:val="20"/>
        </w:rPr>
        <w:tab/>
      </w:r>
      <w:r>
        <w:rPr>
          <w:b/>
        </w:rPr>
        <w:t xml:space="preserve">LA ALCALDESA-PRESIDENTA, </w:t>
      </w:r>
      <w:r>
        <w:rPr>
          <w:b/>
        </w:rPr>
        <w:tab/>
        <w:t xml:space="preserve"> </w:t>
      </w:r>
      <w:r>
        <w:rPr>
          <w:b/>
        </w:rPr>
        <w:tab/>
        <w:t xml:space="preserve">       EL SECRETARIO GENERAL,</w:t>
      </w:r>
      <w:r>
        <w:rPr>
          <w:vertAlign w:val="subscript"/>
        </w:rPr>
        <w:t xml:space="preserve"> </w:t>
      </w:r>
    </w:p>
    <w:p w:rsidR="00DA121A" w:rsidRDefault="00904DD6">
      <w:pPr>
        <w:spacing w:after="289"/>
        <w:ind w:left="288" w:right="146"/>
      </w:pPr>
      <w:r>
        <w:t xml:space="preserve">             </w:t>
      </w:r>
      <w:r>
        <w:t xml:space="preserve">María Concepción Brito Núñez                     Octavio Manuel Hernández Fernández  </w:t>
      </w:r>
    </w:p>
    <w:p w:rsidR="00DA121A" w:rsidRDefault="00904DD6">
      <w:pPr>
        <w:spacing w:after="0" w:line="259" w:lineRule="auto"/>
        <w:ind w:left="284" w:firstLine="0"/>
        <w:jc w:val="left"/>
      </w:pPr>
      <w:r>
        <w:rPr>
          <w:sz w:val="24"/>
        </w:rPr>
        <w:t xml:space="preserve"> </w:t>
      </w:r>
    </w:p>
    <w:p w:rsidR="00DA121A" w:rsidRDefault="00904DD6">
      <w:pPr>
        <w:spacing w:after="100" w:line="259" w:lineRule="auto"/>
        <w:ind w:left="186" w:firstLine="0"/>
        <w:jc w:val="center"/>
      </w:pPr>
      <w:r>
        <w:rPr>
          <w:b/>
        </w:rPr>
        <w:t xml:space="preserve"> </w:t>
      </w:r>
    </w:p>
    <w:p w:rsidR="00DA121A" w:rsidRDefault="00904DD6">
      <w:pPr>
        <w:pStyle w:val="Ttulo2"/>
        <w:spacing w:after="115"/>
        <w:ind w:right="1093"/>
      </w:pPr>
      <w:r>
        <w:t>DOCUMENTO FIRMADO ELECTRÓNICAMENTE</w:t>
      </w:r>
      <w:r>
        <w:rPr>
          <w:b w:val="0"/>
        </w:rPr>
        <w:t xml:space="preserve">  </w:t>
      </w:r>
    </w:p>
    <w:p w:rsidR="00DA121A" w:rsidRDefault="00904DD6">
      <w:pPr>
        <w:spacing w:after="0" w:line="259" w:lineRule="auto"/>
        <w:ind w:left="284" w:firstLine="0"/>
        <w:jc w:val="left"/>
      </w:pPr>
      <w:r>
        <w:rPr>
          <w:sz w:val="24"/>
        </w:rPr>
        <w:t xml:space="preserve"> </w:t>
      </w:r>
    </w:p>
    <w:sectPr w:rsidR="00DA121A">
      <w:headerReference w:type="even" r:id="rId43"/>
      <w:headerReference w:type="default" r:id="rId44"/>
      <w:footerReference w:type="even" r:id="rId45"/>
      <w:footerReference w:type="default" r:id="rId46"/>
      <w:headerReference w:type="first" r:id="rId47"/>
      <w:footerReference w:type="first" r:id="rId48"/>
      <w:pgSz w:w="11906" w:h="16838"/>
      <w:pgMar w:top="2822" w:right="766" w:bottom="572" w:left="1135"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04DD6">
      <w:pPr>
        <w:spacing w:after="0" w:line="240" w:lineRule="auto"/>
      </w:pPr>
      <w:r>
        <w:separator/>
      </w:r>
    </w:p>
  </w:endnote>
  <w:endnote w:type="continuationSeparator" w:id="0">
    <w:p w:rsidR="00000000" w:rsidRDefault="00904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1A" w:rsidRDefault="00904DD6">
    <w:pPr>
      <w:spacing w:after="0" w:line="259" w:lineRule="auto"/>
      <w:ind w:left="0" w:right="149" w:firstLine="0"/>
      <w:jc w:val="center"/>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934974</wp:posOffset>
              </wp:positionH>
              <wp:positionV relativeFrom="page">
                <wp:posOffset>9949434</wp:posOffset>
              </wp:positionV>
              <wp:extent cx="5830570" cy="17145"/>
              <wp:effectExtent l="0" t="0" r="0" b="0"/>
              <wp:wrapSquare wrapText="bothSides"/>
              <wp:docPr id="333371" name="Group 33337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33372" name="Shape 33337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3371" style="width:459.1pt;height:1.34998pt;position:absolute;mso-position-horizontal-relative:page;mso-position-horizontal:absolute;margin-left:73.62pt;mso-position-vertical-relative:page;margin-top:783.42pt;" coordsize="58305,171">
              <v:shape id="Shape 33337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DA121A" w:rsidRDefault="00904DD6">
    <w:pPr>
      <w:spacing w:after="57" w:line="238" w:lineRule="auto"/>
      <w:ind w:left="2248" w:right="2085" w:firstLine="0"/>
      <w:jc w:val="center"/>
    </w:pPr>
    <w:r>
      <w:rPr>
        <w:sz w:val="14"/>
      </w:rPr>
      <w:t xml:space="preserve">Avenida Constitución Nº 7. Código postal: 38530, Candelaria. Teléfono: 922.500.800. </w:t>
    </w:r>
    <w:r>
      <w:rPr>
        <w:b/>
        <w:sz w:val="14"/>
      </w:rPr>
      <w:t xml:space="preserve">www. candelaria. es </w:t>
    </w:r>
  </w:p>
  <w:p w:rsidR="00DA121A" w:rsidRDefault="00904DD6">
    <w:pPr>
      <w:spacing w:after="0" w:line="259" w:lineRule="auto"/>
      <w:ind w:left="0" w:right="155"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1A" w:rsidRDefault="00904DD6">
    <w:pPr>
      <w:spacing w:after="0" w:line="259" w:lineRule="auto"/>
      <w:ind w:left="0" w:right="149"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934974</wp:posOffset>
              </wp:positionH>
              <wp:positionV relativeFrom="page">
                <wp:posOffset>9949434</wp:posOffset>
              </wp:positionV>
              <wp:extent cx="5830570" cy="17145"/>
              <wp:effectExtent l="0" t="0" r="0" b="0"/>
              <wp:wrapSquare wrapText="bothSides"/>
              <wp:docPr id="333339" name="Group 33333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33340" name="Shape 33334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3339" style="width:459.1pt;height:1.34998pt;position:absolute;mso-position-horizontal-relative:page;mso-position-horizontal:absolute;margin-left:73.62pt;mso-position-vertical-relative:page;margin-top:783.42pt;" coordsize="58305,171">
              <v:shape id="Shape 33334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DA121A" w:rsidRDefault="00904DD6">
    <w:pPr>
      <w:spacing w:after="57" w:line="238" w:lineRule="auto"/>
      <w:ind w:left="2248" w:right="2085" w:firstLine="0"/>
      <w:jc w:val="center"/>
    </w:pPr>
    <w:r>
      <w:rPr>
        <w:sz w:val="14"/>
      </w:rPr>
      <w:t xml:space="preserve">Avenida Constitución Nº 7. Código postal: 38530, Candelaria. Teléfono: 922.500.800. </w:t>
    </w:r>
    <w:r>
      <w:rPr>
        <w:b/>
        <w:sz w:val="14"/>
      </w:rPr>
      <w:t xml:space="preserve">www. candelaria. es </w:t>
    </w:r>
  </w:p>
  <w:p w:rsidR="00DA121A" w:rsidRDefault="00904DD6">
    <w:pPr>
      <w:spacing w:after="0" w:line="259" w:lineRule="auto"/>
      <w:ind w:left="0" w:right="155" w:firstLine="0"/>
      <w:jc w:val="right"/>
    </w:pPr>
    <w:r>
      <w:fldChar w:fldCharType="begin"/>
    </w:r>
    <w:r>
      <w:instrText xml:space="preserve"> PAGE   \* M</w:instrText>
    </w:r>
    <w:r>
      <w:instrText xml:space="preserve">ERGEFORMAT </w:instrText>
    </w:r>
    <w:r>
      <w:fldChar w:fldCharType="separate"/>
    </w:r>
    <w:r w:rsidRPr="00904DD6">
      <w:rPr>
        <w:noProof/>
        <w:sz w:val="14"/>
      </w:rPr>
      <w:t>3</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1A" w:rsidRDefault="00DA121A">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04DD6">
      <w:pPr>
        <w:spacing w:after="0" w:line="240" w:lineRule="auto"/>
      </w:pPr>
      <w:r>
        <w:separator/>
      </w:r>
    </w:p>
  </w:footnote>
  <w:footnote w:type="continuationSeparator" w:id="0">
    <w:p w:rsidR="00000000" w:rsidRDefault="00904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1A" w:rsidRDefault="00904DD6">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934212</wp:posOffset>
              </wp:positionH>
              <wp:positionV relativeFrom="page">
                <wp:posOffset>440283</wp:posOffset>
              </wp:positionV>
              <wp:extent cx="5999607" cy="817779"/>
              <wp:effectExtent l="0" t="0" r="0" b="0"/>
              <wp:wrapSquare wrapText="bothSides"/>
              <wp:docPr id="333358" name="Group 33335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33359" name="Shape 33335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33361" name="Rectangle 333361"/>
                      <wps:cNvSpPr/>
                      <wps:spPr>
                        <a:xfrm>
                          <a:off x="1137158" y="0"/>
                          <a:ext cx="50673" cy="224380"/>
                        </a:xfrm>
                        <a:prstGeom prst="rect">
                          <a:avLst/>
                        </a:prstGeom>
                        <a:ln>
                          <a:noFill/>
                        </a:ln>
                      </wps:spPr>
                      <wps:txbx>
                        <w:txbxContent>
                          <w:p w:rsidR="00DA121A" w:rsidRDefault="00904DD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3362" name="Rectangle 333362"/>
                      <wps:cNvSpPr/>
                      <wps:spPr>
                        <a:xfrm>
                          <a:off x="495554" y="175260"/>
                          <a:ext cx="50673" cy="224380"/>
                        </a:xfrm>
                        <a:prstGeom prst="rect">
                          <a:avLst/>
                        </a:prstGeom>
                        <a:ln>
                          <a:noFill/>
                        </a:ln>
                      </wps:spPr>
                      <wps:txbx>
                        <w:txbxContent>
                          <w:p w:rsidR="00DA121A" w:rsidRDefault="00904DD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3363" name="Rectangle 333363"/>
                      <wps:cNvSpPr/>
                      <wps:spPr>
                        <a:xfrm>
                          <a:off x="495554" y="350520"/>
                          <a:ext cx="50673" cy="224380"/>
                        </a:xfrm>
                        <a:prstGeom prst="rect">
                          <a:avLst/>
                        </a:prstGeom>
                        <a:ln>
                          <a:noFill/>
                        </a:ln>
                      </wps:spPr>
                      <wps:txbx>
                        <w:txbxContent>
                          <w:p w:rsidR="00DA121A" w:rsidRDefault="00904DD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3364" name="Rectangle 333364"/>
                      <wps:cNvSpPr/>
                      <wps:spPr>
                        <a:xfrm>
                          <a:off x="495554" y="526034"/>
                          <a:ext cx="50673" cy="224380"/>
                        </a:xfrm>
                        <a:prstGeom prst="rect">
                          <a:avLst/>
                        </a:prstGeom>
                        <a:ln>
                          <a:noFill/>
                        </a:ln>
                      </wps:spPr>
                      <wps:txbx>
                        <w:txbxContent>
                          <w:p w:rsidR="00DA121A" w:rsidRDefault="00904DD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33360" name="Picture 33336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333358" style="width:472.41pt;height:64.392pt;position:absolute;mso-position-horizontal-relative:page;mso-position-horizontal:absolute;margin-left:73.56pt;mso-position-vertical-relative:page;margin-top:34.668pt;" coordsize="59996,8177">
              <v:shape id="Shape 333359" style="position:absolute;width:59988;height:0;left:7;top:8177;" coordsize="5998845,0" path="m0,0l5998845,0">
                <v:stroke weight="2.04pt" endcap="square" joinstyle="miter" miterlimit="10" on="true" color="#993366"/>
                <v:fill on="false" color="#000000" opacity="0"/>
              </v:shape>
              <v:rect id="Rectangle 333361"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3362"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3363"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3364"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333360" style="position:absolute;width:3992;height:5699;left:0;top:565;" filled="f">
                <v:imagedata r:id="rId20"/>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1A" w:rsidRDefault="00904DD6">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934212</wp:posOffset>
              </wp:positionH>
              <wp:positionV relativeFrom="page">
                <wp:posOffset>440283</wp:posOffset>
              </wp:positionV>
              <wp:extent cx="5999607" cy="817779"/>
              <wp:effectExtent l="0" t="0" r="0" b="0"/>
              <wp:wrapSquare wrapText="bothSides"/>
              <wp:docPr id="333326" name="Group 33332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33327" name="Shape 33332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33329" name="Rectangle 333329"/>
                      <wps:cNvSpPr/>
                      <wps:spPr>
                        <a:xfrm>
                          <a:off x="1137158" y="0"/>
                          <a:ext cx="50673" cy="224380"/>
                        </a:xfrm>
                        <a:prstGeom prst="rect">
                          <a:avLst/>
                        </a:prstGeom>
                        <a:ln>
                          <a:noFill/>
                        </a:ln>
                      </wps:spPr>
                      <wps:txbx>
                        <w:txbxContent>
                          <w:p w:rsidR="00DA121A" w:rsidRDefault="00904DD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3330" name="Rectangle 333330"/>
                      <wps:cNvSpPr/>
                      <wps:spPr>
                        <a:xfrm>
                          <a:off x="495554" y="175260"/>
                          <a:ext cx="50673" cy="224380"/>
                        </a:xfrm>
                        <a:prstGeom prst="rect">
                          <a:avLst/>
                        </a:prstGeom>
                        <a:ln>
                          <a:noFill/>
                        </a:ln>
                      </wps:spPr>
                      <wps:txbx>
                        <w:txbxContent>
                          <w:p w:rsidR="00DA121A" w:rsidRDefault="00904DD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3331" name="Rectangle 333331"/>
                      <wps:cNvSpPr/>
                      <wps:spPr>
                        <a:xfrm>
                          <a:off x="495554" y="350520"/>
                          <a:ext cx="50673" cy="224380"/>
                        </a:xfrm>
                        <a:prstGeom prst="rect">
                          <a:avLst/>
                        </a:prstGeom>
                        <a:ln>
                          <a:noFill/>
                        </a:ln>
                      </wps:spPr>
                      <wps:txbx>
                        <w:txbxContent>
                          <w:p w:rsidR="00DA121A" w:rsidRDefault="00904DD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3332" name="Rectangle 333332"/>
                      <wps:cNvSpPr/>
                      <wps:spPr>
                        <a:xfrm>
                          <a:off x="495554" y="526034"/>
                          <a:ext cx="50673" cy="224380"/>
                        </a:xfrm>
                        <a:prstGeom prst="rect">
                          <a:avLst/>
                        </a:prstGeom>
                        <a:ln>
                          <a:noFill/>
                        </a:ln>
                      </wps:spPr>
                      <wps:txbx>
                        <w:txbxContent>
                          <w:p w:rsidR="00DA121A" w:rsidRDefault="00904DD6">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33328" name="Picture 33332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333326" style="width:472.41pt;height:64.392pt;position:absolute;mso-position-horizontal-relative:page;mso-position-horizontal:absolute;margin-left:73.56pt;mso-position-vertical-relative:page;margin-top:34.668pt;" coordsize="59996,8177">
              <v:shape id="Shape 333327" style="position:absolute;width:59988;height:0;left:7;top:8177;" coordsize="5998845,0" path="m0,0l5998845,0">
                <v:stroke weight="2.04pt" endcap="square" joinstyle="miter" miterlimit="10" on="true" color="#993366"/>
                <v:fill on="false" color="#000000" opacity="0"/>
              </v:shape>
              <v:rect id="Rectangle 333329"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3330"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3331"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33332"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333328" style="position:absolute;width:3992;height:5699;left:0;top:565;" filled="f">
                <v:imagedata r:id="rId20"/>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121A" w:rsidRDefault="00DA121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5B7E"/>
    <w:multiLevelType w:val="hybridMultilevel"/>
    <w:tmpl w:val="64DCE3B0"/>
    <w:lvl w:ilvl="0" w:tplc="7FA668C0">
      <w:start w:val="3"/>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60E5EF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5D2A99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D10F53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BC4965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7F04DA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91A629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686CB2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24C537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BD4E71"/>
    <w:multiLevelType w:val="hybridMultilevel"/>
    <w:tmpl w:val="1528158E"/>
    <w:lvl w:ilvl="0" w:tplc="351017AA">
      <w:start w:val="5"/>
      <w:numFmt w:val="decimal"/>
      <w:lvlText w:val="%1."/>
      <w:lvlJc w:val="left"/>
      <w:pPr>
        <w:ind w:left="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ABE370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E2EB65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880811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BE8B5E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70882F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A2825D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2D29A9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E50163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B12FDC"/>
    <w:multiLevelType w:val="hybridMultilevel"/>
    <w:tmpl w:val="695432A4"/>
    <w:lvl w:ilvl="0" w:tplc="3190E506">
      <w:start w:val="1"/>
      <w:numFmt w:val="lowerLetter"/>
      <w:lvlText w:val="%1)"/>
      <w:lvlJc w:val="left"/>
      <w:pPr>
        <w:ind w:left="2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432C48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ACE613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90ACF7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B78650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91E1BE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20E969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6D4BD2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EFCC28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B050CD"/>
    <w:multiLevelType w:val="hybridMultilevel"/>
    <w:tmpl w:val="0A92EC5A"/>
    <w:lvl w:ilvl="0" w:tplc="D3283824">
      <w:start w:val="3"/>
      <w:numFmt w:val="lowerLetter"/>
      <w:lvlText w:val="%1)"/>
      <w:lvlJc w:val="left"/>
      <w:pPr>
        <w:ind w:left="456"/>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2E549776">
      <w:start w:val="1"/>
      <w:numFmt w:val="lowerLetter"/>
      <w:lvlText w:val="%2"/>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FA24E7D2">
      <w:start w:val="1"/>
      <w:numFmt w:val="lowerRoman"/>
      <w:lvlText w:val="%3"/>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E3A25544">
      <w:start w:val="1"/>
      <w:numFmt w:val="decimal"/>
      <w:lvlText w:val="%4"/>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4729F82">
      <w:start w:val="1"/>
      <w:numFmt w:val="lowerLetter"/>
      <w:lvlText w:val="%5"/>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FFE2D16">
      <w:start w:val="1"/>
      <w:numFmt w:val="lowerRoman"/>
      <w:lvlText w:val="%6"/>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058E747E">
      <w:start w:val="1"/>
      <w:numFmt w:val="decimal"/>
      <w:lvlText w:val="%7"/>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86E23224">
      <w:start w:val="1"/>
      <w:numFmt w:val="lowerLetter"/>
      <w:lvlText w:val="%8"/>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F7505B6A">
      <w:start w:val="1"/>
      <w:numFmt w:val="lowerRoman"/>
      <w:lvlText w:val="%9"/>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F6569B"/>
    <w:multiLevelType w:val="hybridMultilevel"/>
    <w:tmpl w:val="8616677E"/>
    <w:lvl w:ilvl="0" w:tplc="B54CA342">
      <w:start w:val="1"/>
      <w:numFmt w:val="decimal"/>
      <w:lvlText w:val="%1"/>
      <w:lvlJc w:val="left"/>
      <w:pPr>
        <w:ind w:left="4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9AB4D2">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6D850">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AA2D6B2">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E84A56">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7668A0">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C2C740">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AEB946">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1E0B18">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6256969"/>
    <w:multiLevelType w:val="hybridMultilevel"/>
    <w:tmpl w:val="66FA1E48"/>
    <w:lvl w:ilvl="0" w:tplc="2C60B7A8">
      <w:start w:val="4"/>
      <w:numFmt w:val="lowerLetter"/>
      <w:lvlText w:val="%1)"/>
      <w:lvlJc w:val="left"/>
      <w:pPr>
        <w:ind w:left="50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199028E2">
      <w:start w:val="1"/>
      <w:numFmt w:val="lowerLetter"/>
      <w:lvlText w:val="%2"/>
      <w:lvlJc w:val="left"/>
      <w:pPr>
        <w:ind w:left="16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DAA0B496">
      <w:start w:val="1"/>
      <w:numFmt w:val="lowerRoman"/>
      <w:lvlText w:val="%3"/>
      <w:lvlJc w:val="left"/>
      <w:pPr>
        <w:ind w:left="23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78E6822A">
      <w:start w:val="1"/>
      <w:numFmt w:val="decimal"/>
      <w:lvlText w:val="%4"/>
      <w:lvlJc w:val="left"/>
      <w:pPr>
        <w:ind w:left="30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17404234">
      <w:start w:val="1"/>
      <w:numFmt w:val="lowerLetter"/>
      <w:lvlText w:val="%5"/>
      <w:lvlJc w:val="left"/>
      <w:pPr>
        <w:ind w:left="37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AE4D054">
      <w:start w:val="1"/>
      <w:numFmt w:val="lowerRoman"/>
      <w:lvlText w:val="%6"/>
      <w:lvlJc w:val="left"/>
      <w:pPr>
        <w:ind w:left="449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AA6C859A">
      <w:start w:val="1"/>
      <w:numFmt w:val="decimal"/>
      <w:lvlText w:val="%7"/>
      <w:lvlJc w:val="left"/>
      <w:pPr>
        <w:ind w:left="52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C59CA7F2">
      <w:start w:val="1"/>
      <w:numFmt w:val="lowerLetter"/>
      <w:lvlText w:val="%8"/>
      <w:lvlJc w:val="left"/>
      <w:pPr>
        <w:ind w:left="59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98A0B1B6">
      <w:start w:val="1"/>
      <w:numFmt w:val="lowerRoman"/>
      <w:lvlText w:val="%9"/>
      <w:lvlJc w:val="left"/>
      <w:pPr>
        <w:ind w:left="66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6482592"/>
    <w:multiLevelType w:val="hybridMultilevel"/>
    <w:tmpl w:val="02ACFD62"/>
    <w:lvl w:ilvl="0" w:tplc="3CE6C962">
      <w:start w:val="1"/>
      <w:numFmt w:val="bullet"/>
      <w:lvlText w:val="•"/>
      <w:lvlJc w:val="left"/>
      <w:pPr>
        <w:ind w:left="10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2CBEF8">
      <w:start w:val="1"/>
      <w:numFmt w:val="bullet"/>
      <w:lvlText w:val="o"/>
      <w:lvlJc w:val="left"/>
      <w:pPr>
        <w:ind w:left="1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C0FE7E">
      <w:start w:val="1"/>
      <w:numFmt w:val="bullet"/>
      <w:lvlText w:val="▪"/>
      <w:lvlJc w:val="left"/>
      <w:pPr>
        <w:ind w:left="2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A2109A">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CE197C">
      <w:start w:val="1"/>
      <w:numFmt w:val="bullet"/>
      <w:lvlText w:val="o"/>
      <w:lvlJc w:val="left"/>
      <w:pPr>
        <w:ind w:left="3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7126764">
      <w:start w:val="1"/>
      <w:numFmt w:val="bullet"/>
      <w:lvlText w:val="▪"/>
      <w:lvlJc w:val="left"/>
      <w:pPr>
        <w:ind w:left="4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AE463C">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A8BAB0">
      <w:start w:val="1"/>
      <w:numFmt w:val="bullet"/>
      <w:lvlText w:val="o"/>
      <w:lvlJc w:val="left"/>
      <w:pPr>
        <w:ind w:left="57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23C2BD2">
      <w:start w:val="1"/>
      <w:numFmt w:val="bullet"/>
      <w:lvlText w:val="▪"/>
      <w:lvlJc w:val="left"/>
      <w:pPr>
        <w:ind w:left="64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66B67B0"/>
    <w:multiLevelType w:val="hybridMultilevel"/>
    <w:tmpl w:val="43AECA70"/>
    <w:lvl w:ilvl="0" w:tplc="AAD070D4">
      <w:start w:val="1"/>
      <w:numFmt w:val="lowerLetter"/>
      <w:lvlText w:val="%1)"/>
      <w:lvlJc w:val="left"/>
      <w:pPr>
        <w:ind w:left="5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A2049E6">
      <w:start w:val="3"/>
      <w:numFmt w:val="decimal"/>
      <w:lvlText w:val="%2."/>
      <w:lvlJc w:val="left"/>
      <w:pPr>
        <w:ind w:left="16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FF621B4">
      <w:start w:val="1"/>
      <w:numFmt w:val="lowerRoman"/>
      <w:lvlText w:val="%3"/>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78052A8">
      <w:start w:val="1"/>
      <w:numFmt w:val="decimal"/>
      <w:lvlText w:val="%4"/>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B261798">
      <w:start w:val="1"/>
      <w:numFmt w:val="lowerLetter"/>
      <w:lvlText w:val="%5"/>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2EE9BD8">
      <w:start w:val="1"/>
      <w:numFmt w:val="lowerRoman"/>
      <w:lvlText w:val="%6"/>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6DCE8A8">
      <w:start w:val="1"/>
      <w:numFmt w:val="decimal"/>
      <w:lvlText w:val="%7"/>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84CC338">
      <w:start w:val="1"/>
      <w:numFmt w:val="lowerLetter"/>
      <w:lvlText w:val="%8"/>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C7C02A6">
      <w:start w:val="1"/>
      <w:numFmt w:val="lowerRoman"/>
      <w:lvlText w:val="%9"/>
      <w:lvlJc w:val="left"/>
      <w:pPr>
        <w:ind w:left="6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896235C"/>
    <w:multiLevelType w:val="hybridMultilevel"/>
    <w:tmpl w:val="51521F70"/>
    <w:lvl w:ilvl="0" w:tplc="4C92FA86">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080084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1D4404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9F85AE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D24CEBE">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102E0FC">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186A75C">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8B00A7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00ED6D0">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9292727"/>
    <w:multiLevelType w:val="hybridMultilevel"/>
    <w:tmpl w:val="76A05BEE"/>
    <w:lvl w:ilvl="0" w:tplc="17F8046A">
      <w:start w:val="3"/>
      <w:numFmt w:val="lowerLetter"/>
      <w:lvlText w:val="%1)"/>
      <w:lvlJc w:val="left"/>
      <w:pPr>
        <w:ind w:left="1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59A2BC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6A45CE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892F07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73CDA5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4922D2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85E0BD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45C877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CF09C8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9930B96"/>
    <w:multiLevelType w:val="hybridMultilevel"/>
    <w:tmpl w:val="5904474E"/>
    <w:lvl w:ilvl="0" w:tplc="CC46151C">
      <w:start w:val="5"/>
      <w:numFmt w:val="decimal"/>
      <w:lvlText w:val="%1."/>
      <w:lvlJc w:val="left"/>
      <w:pPr>
        <w:ind w:left="2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2FEA9F7A">
      <w:start w:val="1"/>
      <w:numFmt w:val="lowerLetter"/>
      <w:lvlText w:val="%2"/>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394E13C">
      <w:start w:val="1"/>
      <w:numFmt w:val="lowerRoman"/>
      <w:lvlText w:val="%3"/>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A5CDDAE">
      <w:start w:val="1"/>
      <w:numFmt w:val="decimal"/>
      <w:lvlText w:val="%4"/>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D80AB196">
      <w:start w:val="1"/>
      <w:numFmt w:val="lowerLetter"/>
      <w:lvlText w:val="%5"/>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3836FF96">
      <w:start w:val="1"/>
      <w:numFmt w:val="lowerRoman"/>
      <w:lvlText w:val="%6"/>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2B2D89C">
      <w:start w:val="1"/>
      <w:numFmt w:val="decimal"/>
      <w:lvlText w:val="%7"/>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AA84A40">
      <w:start w:val="1"/>
      <w:numFmt w:val="lowerLetter"/>
      <w:lvlText w:val="%8"/>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EB5A94A6">
      <w:start w:val="1"/>
      <w:numFmt w:val="lowerRoman"/>
      <w:lvlText w:val="%9"/>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B6731E8"/>
    <w:multiLevelType w:val="hybridMultilevel"/>
    <w:tmpl w:val="A18C0B8A"/>
    <w:lvl w:ilvl="0" w:tplc="E8CA116C">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DA5D2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EC1CA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85C2F1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DE38B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5AF70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F07B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1C0E9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CD2E3EA">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BC838D2"/>
    <w:multiLevelType w:val="hybridMultilevel"/>
    <w:tmpl w:val="25E88EFE"/>
    <w:lvl w:ilvl="0" w:tplc="2D6044C0">
      <w:start w:val="1"/>
      <w:numFmt w:val="lowerLetter"/>
      <w:lvlText w:val="%1)"/>
      <w:lvlJc w:val="left"/>
      <w:pPr>
        <w:ind w:left="2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6A43A0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A8CA5A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172B4F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8641B5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86844E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DE4DCA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AF4140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EA4846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CBF3BBB"/>
    <w:multiLevelType w:val="hybridMultilevel"/>
    <w:tmpl w:val="43E0564E"/>
    <w:lvl w:ilvl="0" w:tplc="88BC222A">
      <w:start w:val="1"/>
      <w:numFmt w:val="bullet"/>
      <w:lvlText w:val="-"/>
      <w:lvlJc w:val="left"/>
      <w:pPr>
        <w:ind w:left="10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F68DFE">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000B4A">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629A8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288212">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BCC758">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AC43E7C">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A0F8F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7AEB1C">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E940328"/>
    <w:multiLevelType w:val="hybridMultilevel"/>
    <w:tmpl w:val="876498FC"/>
    <w:lvl w:ilvl="0" w:tplc="6BD06D2C">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9B8CE4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F9C3D1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BA6A13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2E847B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5E27AC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D9E886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CEA07A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D38A7B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F8D50CE"/>
    <w:multiLevelType w:val="hybridMultilevel"/>
    <w:tmpl w:val="643CDCF8"/>
    <w:lvl w:ilvl="0" w:tplc="C2F8533E">
      <w:start w:val="1"/>
      <w:numFmt w:val="decimal"/>
      <w:lvlText w:val="%1."/>
      <w:lvlJc w:val="left"/>
      <w:pPr>
        <w:ind w:left="2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458FD0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5A88C0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214D54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EC6D7F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5AC735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F7E0A7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2D656F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1A62C2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2D1154F"/>
    <w:multiLevelType w:val="hybridMultilevel"/>
    <w:tmpl w:val="6C9C3EE8"/>
    <w:lvl w:ilvl="0" w:tplc="AA445C2A">
      <w:start w:val="1"/>
      <w:numFmt w:val="upperLetter"/>
      <w:lvlText w:val="%1)"/>
      <w:lvlJc w:val="left"/>
      <w:pPr>
        <w:ind w:left="62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5604EA6">
      <w:start w:val="1"/>
      <w:numFmt w:val="lowerLetter"/>
      <w:lvlText w:val="%2"/>
      <w:lvlJc w:val="left"/>
      <w:pPr>
        <w:ind w:left="12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0D4893E">
      <w:start w:val="1"/>
      <w:numFmt w:val="lowerRoman"/>
      <w:lvlText w:val="%3"/>
      <w:lvlJc w:val="left"/>
      <w:pPr>
        <w:ind w:left="19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5868F74">
      <w:start w:val="1"/>
      <w:numFmt w:val="decimal"/>
      <w:lvlText w:val="%4"/>
      <w:lvlJc w:val="left"/>
      <w:pPr>
        <w:ind w:left="26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F5029EE">
      <w:start w:val="1"/>
      <w:numFmt w:val="lowerLetter"/>
      <w:lvlText w:val="%5"/>
      <w:lvlJc w:val="left"/>
      <w:pPr>
        <w:ind w:left="33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E688214">
      <w:start w:val="1"/>
      <w:numFmt w:val="lowerRoman"/>
      <w:lvlText w:val="%6"/>
      <w:lvlJc w:val="left"/>
      <w:pPr>
        <w:ind w:left="40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234854C">
      <w:start w:val="1"/>
      <w:numFmt w:val="decimal"/>
      <w:lvlText w:val="%7"/>
      <w:lvlJc w:val="left"/>
      <w:pPr>
        <w:ind w:left="48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FB08A24">
      <w:start w:val="1"/>
      <w:numFmt w:val="lowerLetter"/>
      <w:lvlText w:val="%8"/>
      <w:lvlJc w:val="left"/>
      <w:pPr>
        <w:ind w:left="55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FB805F6">
      <w:start w:val="1"/>
      <w:numFmt w:val="lowerRoman"/>
      <w:lvlText w:val="%9"/>
      <w:lvlJc w:val="left"/>
      <w:pPr>
        <w:ind w:left="62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33F0CFB"/>
    <w:multiLevelType w:val="hybridMultilevel"/>
    <w:tmpl w:val="3EFEFB2E"/>
    <w:lvl w:ilvl="0" w:tplc="DAD4997C">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AC4B1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52F46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0E987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60718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1E881E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FC44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F4A84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38DC3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36D716D"/>
    <w:multiLevelType w:val="hybridMultilevel"/>
    <w:tmpl w:val="5B6EEFA2"/>
    <w:lvl w:ilvl="0" w:tplc="DB723F88">
      <w:start w:val="1"/>
      <w:numFmt w:val="lowerLetter"/>
      <w:lvlText w:val="%1)"/>
      <w:lvlJc w:val="left"/>
      <w:pPr>
        <w:ind w:left="5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9626D80">
      <w:start w:val="3"/>
      <w:numFmt w:val="decimal"/>
      <w:lvlText w:val="%2."/>
      <w:lvlJc w:val="left"/>
      <w:pPr>
        <w:ind w:left="16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F5A3952">
      <w:start w:val="1"/>
      <w:numFmt w:val="lowerRoman"/>
      <w:lvlText w:val="%3"/>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4FC3358">
      <w:start w:val="1"/>
      <w:numFmt w:val="decimal"/>
      <w:lvlText w:val="%4"/>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49A3106">
      <w:start w:val="1"/>
      <w:numFmt w:val="lowerLetter"/>
      <w:lvlText w:val="%5"/>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29E1F60">
      <w:start w:val="1"/>
      <w:numFmt w:val="lowerRoman"/>
      <w:lvlText w:val="%6"/>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F100FB8">
      <w:start w:val="1"/>
      <w:numFmt w:val="decimal"/>
      <w:lvlText w:val="%7"/>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D48EC82">
      <w:start w:val="1"/>
      <w:numFmt w:val="lowerLetter"/>
      <w:lvlText w:val="%8"/>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0260190">
      <w:start w:val="1"/>
      <w:numFmt w:val="lowerRoman"/>
      <w:lvlText w:val="%9"/>
      <w:lvlJc w:val="left"/>
      <w:pPr>
        <w:ind w:left="6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38C26AD"/>
    <w:multiLevelType w:val="hybridMultilevel"/>
    <w:tmpl w:val="F1A0061C"/>
    <w:lvl w:ilvl="0" w:tplc="DB7A6D02">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FE8B78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A541DF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C28B27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728300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880CD9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128157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7E435F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C82484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402513F"/>
    <w:multiLevelType w:val="hybridMultilevel"/>
    <w:tmpl w:val="4EAA4192"/>
    <w:lvl w:ilvl="0" w:tplc="13E6B560">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C260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1040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DABA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FE02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D4798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9A76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38B0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58EC0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40829EE"/>
    <w:multiLevelType w:val="hybridMultilevel"/>
    <w:tmpl w:val="92BCBC48"/>
    <w:lvl w:ilvl="0" w:tplc="9D184A4C">
      <w:start w:val="1"/>
      <w:numFmt w:val="bullet"/>
      <w:lvlText w:val="•"/>
      <w:lvlJc w:val="left"/>
      <w:pPr>
        <w:ind w:left="2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3EA4B4">
      <w:start w:val="1"/>
      <w:numFmt w:val="bullet"/>
      <w:lvlText w:val="o"/>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842078">
      <w:start w:val="1"/>
      <w:numFmt w:val="bullet"/>
      <w:lvlText w:val="▪"/>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70067D8">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8273D6">
      <w:start w:val="1"/>
      <w:numFmt w:val="bullet"/>
      <w:lvlText w:val="o"/>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70983C">
      <w:start w:val="1"/>
      <w:numFmt w:val="bullet"/>
      <w:lvlText w:val="▪"/>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207DEC">
      <w:start w:val="1"/>
      <w:numFmt w:val="bullet"/>
      <w:lvlText w:val="•"/>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28CAC8">
      <w:start w:val="1"/>
      <w:numFmt w:val="bullet"/>
      <w:lvlText w:val="o"/>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26F188">
      <w:start w:val="1"/>
      <w:numFmt w:val="bullet"/>
      <w:lvlText w:val="▪"/>
      <w:lvlJc w:val="left"/>
      <w:pPr>
        <w:ind w:left="7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140D743D"/>
    <w:multiLevelType w:val="hybridMultilevel"/>
    <w:tmpl w:val="550E8C0E"/>
    <w:lvl w:ilvl="0" w:tplc="7220BB5C">
      <w:start w:val="5"/>
      <w:numFmt w:val="decimal"/>
      <w:lvlText w:val="%1."/>
      <w:lvlJc w:val="left"/>
      <w:pPr>
        <w:ind w:left="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A9C8AD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5302A2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BFC343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84037A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2B8495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A12A40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D1E769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7D0C78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6641DD0"/>
    <w:multiLevelType w:val="hybridMultilevel"/>
    <w:tmpl w:val="BA0AC4D4"/>
    <w:lvl w:ilvl="0" w:tplc="85102E82">
      <w:start w:val="1"/>
      <w:numFmt w:val="lowerLetter"/>
      <w:lvlText w:val="%1)"/>
      <w:lvlJc w:val="left"/>
      <w:pPr>
        <w:ind w:left="2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AC6C2F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BE0A42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A84576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AD06E7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32A3C8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418D4B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334C7F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DE48C6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6EE6DA1"/>
    <w:multiLevelType w:val="hybridMultilevel"/>
    <w:tmpl w:val="0598D600"/>
    <w:lvl w:ilvl="0" w:tplc="46D60A1A">
      <w:start w:val="1"/>
      <w:numFmt w:val="upperLetter"/>
      <w:lvlText w:val="%1)"/>
      <w:lvlJc w:val="left"/>
      <w:pPr>
        <w:ind w:left="98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C8727A64">
      <w:start w:val="1"/>
      <w:numFmt w:val="lowerLetter"/>
      <w:lvlText w:val="%2"/>
      <w:lvlJc w:val="left"/>
      <w:pPr>
        <w:ind w:left="14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B9625B06">
      <w:start w:val="1"/>
      <w:numFmt w:val="lowerRoman"/>
      <w:lvlText w:val="%3"/>
      <w:lvlJc w:val="left"/>
      <w:pPr>
        <w:ind w:left="21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77961404">
      <w:start w:val="1"/>
      <w:numFmt w:val="decimal"/>
      <w:lvlText w:val="%4"/>
      <w:lvlJc w:val="left"/>
      <w:pPr>
        <w:ind w:left="28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29364BB8">
      <w:start w:val="1"/>
      <w:numFmt w:val="lowerLetter"/>
      <w:lvlText w:val="%5"/>
      <w:lvlJc w:val="left"/>
      <w:pPr>
        <w:ind w:left="36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3EE8A23E">
      <w:start w:val="1"/>
      <w:numFmt w:val="lowerRoman"/>
      <w:lvlText w:val="%6"/>
      <w:lvlJc w:val="left"/>
      <w:pPr>
        <w:ind w:left="43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C21E6DFC">
      <w:start w:val="1"/>
      <w:numFmt w:val="decimal"/>
      <w:lvlText w:val="%7"/>
      <w:lvlJc w:val="left"/>
      <w:pPr>
        <w:ind w:left="50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BDAE5F4A">
      <w:start w:val="1"/>
      <w:numFmt w:val="lowerLetter"/>
      <w:lvlText w:val="%8"/>
      <w:lvlJc w:val="left"/>
      <w:pPr>
        <w:ind w:left="57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09D6D218">
      <w:start w:val="1"/>
      <w:numFmt w:val="lowerRoman"/>
      <w:lvlText w:val="%9"/>
      <w:lvlJc w:val="left"/>
      <w:pPr>
        <w:ind w:left="64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7C64F25"/>
    <w:multiLevelType w:val="hybridMultilevel"/>
    <w:tmpl w:val="286411CC"/>
    <w:lvl w:ilvl="0" w:tplc="264C940C">
      <w:start w:val="1"/>
      <w:numFmt w:val="lowerLetter"/>
      <w:lvlText w:val="%1)"/>
      <w:lvlJc w:val="left"/>
      <w:pPr>
        <w:ind w:left="2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218407CC">
      <w:start w:val="1"/>
      <w:numFmt w:val="lowerLetter"/>
      <w:lvlText w:val="%2"/>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14CB820">
      <w:start w:val="1"/>
      <w:numFmt w:val="lowerRoman"/>
      <w:lvlText w:val="%3"/>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60E314A">
      <w:start w:val="1"/>
      <w:numFmt w:val="decimal"/>
      <w:lvlText w:val="%4"/>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3B768D68">
      <w:start w:val="1"/>
      <w:numFmt w:val="lowerLetter"/>
      <w:lvlText w:val="%5"/>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72A493AA">
      <w:start w:val="1"/>
      <w:numFmt w:val="lowerRoman"/>
      <w:lvlText w:val="%6"/>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4C34F9C2">
      <w:start w:val="1"/>
      <w:numFmt w:val="decimal"/>
      <w:lvlText w:val="%7"/>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51A231FA">
      <w:start w:val="1"/>
      <w:numFmt w:val="lowerLetter"/>
      <w:lvlText w:val="%8"/>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BF66234C">
      <w:start w:val="1"/>
      <w:numFmt w:val="lowerRoman"/>
      <w:lvlText w:val="%9"/>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B80377A"/>
    <w:multiLevelType w:val="hybridMultilevel"/>
    <w:tmpl w:val="0C2AF040"/>
    <w:lvl w:ilvl="0" w:tplc="47BAFC22">
      <w:start w:val="7"/>
      <w:numFmt w:val="decimal"/>
      <w:lvlText w:val="%1."/>
      <w:lvlJc w:val="left"/>
      <w:pPr>
        <w:ind w:left="63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4F0E3178">
      <w:start w:val="1"/>
      <w:numFmt w:val="lowerLetter"/>
      <w:lvlText w:val="%2"/>
      <w:lvlJc w:val="left"/>
      <w:pPr>
        <w:ind w:left="16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0DA26062">
      <w:start w:val="1"/>
      <w:numFmt w:val="lowerRoman"/>
      <w:lvlText w:val="%3"/>
      <w:lvlJc w:val="left"/>
      <w:pPr>
        <w:ind w:left="23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0408F84">
      <w:start w:val="1"/>
      <w:numFmt w:val="decimal"/>
      <w:lvlText w:val="%4"/>
      <w:lvlJc w:val="left"/>
      <w:pPr>
        <w:ind w:left="30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38AC8C24">
      <w:start w:val="1"/>
      <w:numFmt w:val="lowerLetter"/>
      <w:lvlText w:val="%5"/>
      <w:lvlJc w:val="left"/>
      <w:pPr>
        <w:ind w:left="37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DA102134">
      <w:start w:val="1"/>
      <w:numFmt w:val="lowerRoman"/>
      <w:lvlText w:val="%6"/>
      <w:lvlJc w:val="left"/>
      <w:pPr>
        <w:ind w:left="449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330A6984">
      <w:start w:val="1"/>
      <w:numFmt w:val="decimal"/>
      <w:lvlText w:val="%7"/>
      <w:lvlJc w:val="left"/>
      <w:pPr>
        <w:ind w:left="52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50DEEEA2">
      <w:start w:val="1"/>
      <w:numFmt w:val="lowerLetter"/>
      <w:lvlText w:val="%8"/>
      <w:lvlJc w:val="left"/>
      <w:pPr>
        <w:ind w:left="59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CC461C4">
      <w:start w:val="1"/>
      <w:numFmt w:val="lowerRoman"/>
      <w:lvlText w:val="%9"/>
      <w:lvlJc w:val="left"/>
      <w:pPr>
        <w:ind w:left="66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CCD28D1"/>
    <w:multiLevelType w:val="hybridMultilevel"/>
    <w:tmpl w:val="33302F46"/>
    <w:lvl w:ilvl="0" w:tplc="20C823F2">
      <w:start w:val="1"/>
      <w:numFmt w:val="bullet"/>
      <w:lvlText w:val="o"/>
      <w:lvlJc w:val="left"/>
      <w:pPr>
        <w:ind w:left="100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41673E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002907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6A0476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80E241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DB2DF5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C380EF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A4AAD7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0AEEDB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FF41863"/>
    <w:multiLevelType w:val="hybridMultilevel"/>
    <w:tmpl w:val="9318828C"/>
    <w:lvl w:ilvl="0" w:tplc="BB568934">
      <w:start w:val="3"/>
      <w:numFmt w:val="lowerLetter"/>
      <w:lvlText w:val="%1)"/>
      <w:lvlJc w:val="left"/>
      <w:pPr>
        <w:ind w:left="139"/>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F9B664E0">
      <w:start w:val="1"/>
      <w:numFmt w:val="lowerLetter"/>
      <w:lvlText w:val="%2"/>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4F08778E">
      <w:start w:val="1"/>
      <w:numFmt w:val="lowerRoman"/>
      <w:lvlText w:val="%3"/>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158AA6AE">
      <w:start w:val="1"/>
      <w:numFmt w:val="decimal"/>
      <w:lvlText w:val="%4"/>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C9A437C2">
      <w:start w:val="1"/>
      <w:numFmt w:val="lowerLetter"/>
      <w:lvlText w:val="%5"/>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614884CE">
      <w:start w:val="1"/>
      <w:numFmt w:val="lowerRoman"/>
      <w:lvlText w:val="%6"/>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30C4260C">
      <w:start w:val="1"/>
      <w:numFmt w:val="decimal"/>
      <w:lvlText w:val="%7"/>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E3CCBE48">
      <w:start w:val="1"/>
      <w:numFmt w:val="lowerLetter"/>
      <w:lvlText w:val="%8"/>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FB2BEE8">
      <w:start w:val="1"/>
      <w:numFmt w:val="lowerRoman"/>
      <w:lvlText w:val="%9"/>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03C684D"/>
    <w:multiLevelType w:val="hybridMultilevel"/>
    <w:tmpl w:val="2CE00EEC"/>
    <w:lvl w:ilvl="0" w:tplc="DCB8FA7A">
      <w:start w:val="1"/>
      <w:numFmt w:val="lowerLetter"/>
      <w:lvlText w:val="%1)"/>
      <w:lvlJc w:val="left"/>
      <w:pPr>
        <w:ind w:left="5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7F62AB4">
      <w:start w:val="3"/>
      <w:numFmt w:val="decimal"/>
      <w:lvlText w:val="%2."/>
      <w:lvlJc w:val="left"/>
      <w:pPr>
        <w:ind w:left="16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03CF598">
      <w:start w:val="1"/>
      <w:numFmt w:val="lowerRoman"/>
      <w:lvlText w:val="%3"/>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8D8ADA2">
      <w:start w:val="1"/>
      <w:numFmt w:val="decimal"/>
      <w:lvlText w:val="%4"/>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D0A5DAE">
      <w:start w:val="1"/>
      <w:numFmt w:val="lowerLetter"/>
      <w:lvlText w:val="%5"/>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BC67DE8">
      <w:start w:val="1"/>
      <w:numFmt w:val="lowerRoman"/>
      <w:lvlText w:val="%6"/>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FAA7E9C">
      <w:start w:val="1"/>
      <w:numFmt w:val="decimal"/>
      <w:lvlText w:val="%7"/>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E886D36">
      <w:start w:val="1"/>
      <w:numFmt w:val="lowerLetter"/>
      <w:lvlText w:val="%8"/>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8544BC4">
      <w:start w:val="1"/>
      <w:numFmt w:val="lowerRoman"/>
      <w:lvlText w:val="%9"/>
      <w:lvlJc w:val="left"/>
      <w:pPr>
        <w:ind w:left="6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0FE7801"/>
    <w:multiLevelType w:val="hybridMultilevel"/>
    <w:tmpl w:val="0400F514"/>
    <w:lvl w:ilvl="0" w:tplc="899CB12A">
      <w:start w:val="1"/>
      <w:numFmt w:val="decimal"/>
      <w:lvlText w:val="%1."/>
      <w:lvlJc w:val="left"/>
      <w:pPr>
        <w:ind w:left="2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4F026316">
      <w:start w:val="1"/>
      <w:numFmt w:val="lowerLetter"/>
      <w:lvlText w:val="%2"/>
      <w:lvlJc w:val="left"/>
      <w:pPr>
        <w:ind w:left="14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D95AFB5E">
      <w:start w:val="1"/>
      <w:numFmt w:val="lowerRoman"/>
      <w:lvlText w:val="%3"/>
      <w:lvlJc w:val="left"/>
      <w:pPr>
        <w:ind w:left="21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E6A00EB2">
      <w:start w:val="1"/>
      <w:numFmt w:val="decimal"/>
      <w:lvlText w:val="%4"/>
      <w:lvlJc w:val="left"/>
      <w:pPr>
        <w:ind w:left="28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304092C0">
      <w:start w:val="1"/>
      <w:numFmt w:val="lowerLetter"/>
      <w:lvlText w:val="%5"/>
      <w:lvlJc w:val="left"/>
      <w:pPr>
        <w:ind w:left="359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397A9124">
      <w:start w:val="1"/>
      <w:numFmt w:val="lowerRoman"/>
      <w:lvlText w:val="%6"/>
      <w:lvlJc w:val="left"/>
      <w:pPr>
        <w:ind w:left="43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8B7E04DE">
      <w:start w:val="1"/>
      <w:numFmt w:val="decimal"/>
      <w:lvlText w:val="%7"/>
      <w:lvlJc w:val="left"/>
      <w:pPr>
        <w:ind w:left="50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1242D604">
      <w:start w:val="1"/>
      <w:numFmt w:val="lowerLetter"/>
      <w:lvlText w:val="%8"/>
      <w:lvlJc w:val="left"/>
      <w:pPr>
        <w:ind w:left="57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E13AFB1C">
      <w:start w:val="1"/>
      <w:numFmt w:val="lowerRoman"/>
      <w:lvlText w:val="%9"/>
      <w:lvlJc w:val="left"/>
      <w:pPr>
        <w:ind w:left="64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1957D5A"/>
    <w:multiLevelType w:val="hybridMultilevel"/>
    <w:tmpl w:val="7738048E"/>
    <w:lvl w:ilvl="0" w:tplc="2D86B81C">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724D2E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C1A6D6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DFE45D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304525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7860AE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F5E26E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8C6F07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B7A725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5E87791"/>
    <w:multiLevelType w:val="hybridMultilevel"/>
    <w:tmpl w:val="8AFC8C2E"/>
    <w:lvl w:ilvl="0" w:tplc="23D65442">
      <w:start w:val="1"/>
      <w:numFmt w:val="upperLetter"/>
      <w:lvlText w:val="%1)"/>
      <w:lvlJc w:val="left"/>
      <w:pPr>
        <w:ind w:left="1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B41886">
      <w:start w:val="1"/>
      <w:numFmt w:val="bullet"/>
      <w:lvlText w:val="-"/>
      <w:lvlJc w:val="left"/>
      <w:pPr>
        <w:ind w:left="18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50DBBE">
      <w:start w:val="1"/>
      <w:numFmt w:val="bullet"/>
      <w:lvlText w:val="▪"/>
      <w:lvlJc w:val="left"/>
      <w:pPr>
        <w:ind w:left="2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01036D0">
      <w:start w:val="1"/>
      <w:numFmt w:val="bullet"/>
      <w:lvlText w:val="•"/>
      <w:lvlJc w:val="left"/>
      <w:pPr>
        <w:ind w:left="3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789D02">
      <w:start w:val="1"/>
      <w:numFmt w:val="bullet"/>
      <w:lvlText w:val="o"/>
      <w:lvlJc w:val="left"/>
      <w:pPr>
        <w:ind w:left="3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AEE538">
      <w:start w:val="1"/>
      <w:numFmt w:val="bullet"/>
      <w:lvlText w:val="▪"/>
      <w:lvlJc w:val="left"/>
      <w:pPr>
        <w:ind w:left="4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7E9D04">
      <w:start w:val="1"/>
      <w:numFmt w:val="bullet"/>
      <w:lvlText w:val="•"/>
      <w:lvlJc w:val="left"/>
      <w:pPr>
        <w:ind w:left="5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8443CA">
      <w:start w:val="1"/>
      <w:numFmt w:val="bullet"/>
      <w:lvlText w:val="o"/>
      <w:lvlJc w:val="left"/>
      <w:pPr>
        <w:ind w:left="6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FC3346">
      <w:start w:val="1"/>
      <w:numFmt w:val="bullet"/>
      <w:lvlText w:val="▪"/>
      <w:lvlJc w:val="left"/>
      <w:pPr>
        <w:ind w:left="6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6705BDF"/>
    <w:multiLevelType w:val="hybridMultilevel"/>
    <w:tmpl w:val="808AADC2"/>
    <w:lvl w:ilvl="0" w:tplc="592C5496">
      <w:start w:val="1"/>
      <w:numFmt w:val="decimal"/>
      <w:lvlText w:val="%1."/>
      <w:lvlJc w:val="left"/>
      <w:pPr>
        <w:ind w:left="17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66A25CE">
      <w:start w:val="1"/>
      <w:numFmt w:val="lowerLetter"/>
      <w:lvlText w:val="%2"/>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5AE768C">
      <w:start w:val="1"/>
      <w:numFmt w:val="lowerRoman"/>
      <w:lvlText w:val="%3"/>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1C0B91C">
      <w:start w:val="1"/>
      <w:numFmt w:val="decimal"/>
      <w:lvlText w:val="%4"/>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EF49DC6">
      <w:start w:val="1"/>
      <w:numFmt w:val="lowerLetter"/>
      <w:lvlText w:val="%5"/>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64697F6">
      <w:start w:val="1"/>
      <w:numFmt w:val="lowerRoman"/>
      <w:lvlText w:val="%6"/>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F0CED98">
      <w:start w:val="1"/>
      <w:numFmt w:val="decimal"/>
      <w:lvlText w:val="%7"/>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A342C0E">
      <w:start w:val="1"/>
      <w:numFmt w:val="lowerLetter"/>
      <w:lvlText w:val="%8"/>
      <w:lvlJc w:val="left"/>
      <w:pPr>
        <w:ind w:left="6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F067AD2">
      <w:start w:val="1"/>
      <w:numFmt w:val="lowerRoman"/>
      <w:lvlText w:val="%9"/>
      <w:lvlJc w:val="left"/>
      <w:pPr>
        <w:ind w:left="72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7DE2CB9"/>
    <w:multiLevelType w:val="hybridMultilevel"/>
    <w:tmpl w:val="E0D03486"/>
    <w:lvl w:ilvl="0" w:tplc="524468F0">
      <w:start w:val="2"/>
      <w:numFmt w:val="lowerLetter"/>
      <w:lvlText w:val="%1)"/>
      <w:lvlJc w:val="left"/>
      <w:pPr>
        <w:ind w:left="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8C075E8">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B7E99F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B04AFB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D484E0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0DE7BF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416717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E5E184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0EA89D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8045884"/>
    <w:multiLevelType w:val="hybridMultilevel"/>
    <w:tmpl w:val="0572533E"/>
    <w:lvl w:ilvl="0" w:tplc="FAF429D2">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1623DE">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3AE1D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4242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1C101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E8F6A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428D7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A623DE">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6A832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A3A3B47"/>
    <w:multiLevelType w:val="hybridMultilevel"/>
    <w:tmpl w:val="81040DC6"/>
    <w:lvl w:ilvl="0" w:tplc="ADD69FBC">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3C4700">
      <w:start w:val="1"/>
      <w:numFmt w:val="bullet"/>
      <w:lvlText w:val="o"/>
      <w:lvlJc w:val="left"/>
      <w:pPr>
        <w:ind w:left="1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B23234">
      <w:start w:val="1"/>
      <w:numFmt w:val="bullet"/>
      <w:lvlText w:val="▪"/>
      <w:lvlJc w:val="left"/>
      <w:pPr>
        <w:ind w:left="1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468138">
      <w:start w:val="1"/>
      <w:numFmt w:val="bullet"/>
      <w:lvlText w:val="•"/>
      <w:lvlJc w:val="left"/>
      <w:pPr>
        <w:ind w:left="2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3ACDBA">
      <w:start w:val="1"/>
      <w:numFmt w:val="bullet"/>
      <w:lvlText w:val="o"/>
      <w:lvlJc w:val="left"/>
      <w:pPr>
        <w:ind w:left="3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60E4B0">
      <w:start w:val="1"/>
      <w:numFmt w:val="bullet"/>
      <w:lvlText w:val="▪"/>
      <w:lvlJc w:val="left"/>
      <w:pPr>
        <w:ind w:left="4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D4CE48">
      <w:start w:val="1"/>
      <w:numFmt w:val="bullet"/>
      <w:lvlText w:val="•"/>
      <w:lvlJc w:val="left"/>
      <w:pPr>
        <w:ind w:left="4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625B16">
      <w:start w:val="1"/>
      <w:numFmt w:val="bullet"/>
      <w:lvlText w:val="o"/>
      <w:lvlJc w:val="left"/>
      <w:pPr>
        <w:ind w:left="5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D85F52">
      <w:start w:val="1"/>
      <w:numFmt w:val="bullet"/>
      <w:lvlText w:val="▪"/>
      <w:lvlJc w:val="left"/>
      <w:pPr>
        <w:ind w:left="6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A7636D3"/>
    <w:multiLevelType w:val="hybridMultilevel"/>
    <w:tmpl w:val="E9AE68A0"/>
    <w:lvl w:ilvl="0" w:tplc="17DC9032">
      <w:start w:val="3"/>
      <w:numFmt w:val="lowerLetter"/>
      <w:lvlText w:val="%1)"/>
      <w:lvlJc w:val="left"/>
      <w:pPr>
        <w:ind w:left="1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F64C7B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58E302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75E7B8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98C8DF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DAA237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814AC0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816DBB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4E4F4C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AAB2AC6"/>
    <w:multiLevelType w:val="hybridMultilevel"/>
    <w:tmpl w:val="43DCBC54"/>
    <w:lvl w:ilvl="0" w:tplc="906AA996">
      <w:start w:val="3"/>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168B07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16C5DD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D8676B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FEAEE3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12EC90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504105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966560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00AF7D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B4D6E37"/>
    <w:multiLevelType w:val="hybridMultilevel"/>
    <w:tmpl w:val="ED22B2EA"/>
    <w:lvl w:ilvl="0" w:tplc="339EB58A">
      <w:start w:val="2"/>
      <w:numFmt w:val="upperLetter"/>
      <w:lvlText w:val="%1)"/>
      <w:lvlJc w:val="left"/>
      <w:pPr>
        <w:ind w:left="98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072C8716">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9DC6AA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7702D6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858DCDC">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5D84FE34">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9FA664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ECA4FD12">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57896DA">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B65092C"/>
    <w:multiLevelType w:val="hybridMultilevel"/>
    <w:tmpl w:val="050C06E0"/>
    <w:lvl w:ilvl="0" w:tplc="319C75CC">
      <w:start w:val="1"/>
      <w:numFmt w:val="bullet"/>
      <w:lvlText w:val="-"/>
      <w:lvlJc w:val="left"/>
      <w:pPr>
        <w:ind w:left="2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DAAFC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8C8EE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36B5A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4262C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AEAEB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1B041A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52561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AB8403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BEF2557"/>
    <w:multiLevelType w:val="hybridMultilevel"/>
    <w:tmpl w:val="693470F6"/>
    <w:lvl w:ilvl="0" w:tplc="17346B92">
      <w:start w:val="1"/>
      <w:numFmt w:val="decimal"/>
      <w:lvlText w:val="%1."/>
      <w:lvlJc w:val="left"/>
      <w:pPr>
        <w:ind w:left="2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9741CB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37AD93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47EFF2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C7E6D3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E0CF29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48CDE1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50ED18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85CD58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2DC468C2"/>
    <w:multiLevelType w:val="hybridMultilevel"/>
    <w:tmpl w:val="4F84EA7C"/>
    <w:lvl w:ilvl="0" w:tplc="3668C632">
      <w:start w:val="1"/>
      <w:numFmt w:val="bullet"/>
      <w:lvlText w:val="-"/>
      <w:lvlJc w:val="left"/>
      <w:pPr>
        <w:ind w:left="4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B3085B4">
      <w:start w:val="1"/>
      <w:numFmt w:val="bullet"/>
      <w:lvlText w:val="o"/>
      <w:lvlJc w:val="left"/>
      <w:pPr>
        <w:ind w:left="10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D5028C2">
      <w:start w:val="1"/>
      <w:numFmt w:val="bullet"/>
      <w:lvlText w:val="▪"/>
      <w:lvlJc w:val="left"/>
      <w:pPr>
        <w:ind w:left="18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B3AF07E">
      <w:start w:val="1"/>
      <w:numFmt w:val="bullet"/>
      <w:lvlText w:val="•"/>
      <w:lvlJc w:val="left"/>
      <w:pPr>
        <w:ind w:left="2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7B45820">
      <w:start w:val="1"/>
      <w:numFmt w:val="bullet"/>
      <w:lvlText w:val="o"/>
      <w:lvlJc w:val="left"/>
      <w:pPr>
        <w:ind w:left="3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81267B6">
      <w:start w:val="1"/>
      <w:numFmt w:val="bullet"/>
      <w:lvlText w:val="▪"/>
      <w:lvlJc w:val="left"/>
      <w:pPr>
        <w:ind w:left="3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D6EA750">
      <w:start w:val="1"/>
      <w:numFmt w:val="bullet"/>
      <w:lvlText w:val="•"/>
      <w:lvlJc w:val="left"/>
      <w:pPr>
        <w:ind w:left="4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114F9A0">
      <w:start w:val="1"/>
      <w:numFmt w:val="bullet"/>
      <w:lvlText w:val="o"/>
      <w:lvlJc w:val="left"/>
      <w:pPr>
        <w:ind w:left="54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A72EB80">
      <w:start w:val="1"/>
      <w:numFmt w:val="bullet"/>
      <w:lvlText w:val="▪"/>
      <w:lvlJc w:val="left"/>
      <w:pPr>
        <w:ind w:left="61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2EBA60BE"/>
    <w:multiLevelType w:val="hybridMultilevel"/>
    <w:tmpl w:val="51C8C7E2"/>
    <w:lvl w:ilvl="0" w:tplc="CD7A5DE2">
      <w:start w:val="2"/>
      <w:numFmt w:val="lowerLetter"/>
      <w:lvlText w:val="%1)"/>
      <w:lvlJc w:val="left"/>
      <w:pPr>
        <w:ind w:left="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DD8713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E8C268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C26500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4341A5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EA2582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5E4887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9CE654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9D2847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F700AD1"/>
    <w:multiLevelType w:val="hybridMultilevel"/>
    <w:tmpl w:val="24E84544"/>
    <w:lvl w:ilvl="0" w:tplc="D71CCE34">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E810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F067F8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36C5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FEBE0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FE2EE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7C8F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C0A21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78C4F7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1235529"/>
    <w:multiLevelType w:val="hybridMultilevel"/>
    <w:tmpl w:val="AAF85A04"/>
    <w:lvl w:ilvl="0" w:tplc="CBF89832">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88605F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D187D8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FF0942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F8C4C1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CEA7A5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73C277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026AAC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42436C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1317168"/>
    <w:multiLevelType w:val="hybridMultilevel"/>
    <w:tmpl w:val="0A748122"/>
    <w:lvl w:ilvl="0" w:tplc="81EE0934">
      <w:start w:val="2"/>
      <w:numFmt w:val="lowerLetter"/>
      <w:lvlText w:val="%1)"/>
      <w:lvlJc w:val="left"/>
      <w:pPr>
        <w:ind w:left="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BE6AD2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C02587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7321F4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914CA2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ADA66F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7FE54D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24E59E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E8C8E5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1467669"/>
    <w:multiLevelType w:val="hybridMultilevel"/>
    <w:tmpl w:val="F92EEADE"/>
    <w:lvl w:ilvl="0" w:tplc="E9EA6D24">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88FD6A">
      <w:start w:val="1"/>
      <w:numFmt w:val="bullet"/>
      <w:lvlText w:val="o"/>
      <w:lvlJc w:val="left"/>
      <w:pPr>
        <w:ind w:left="13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8EA604">
      <w:start w:val="1"/>
      <w:numFmt w:val="bullet"/>
      <w:lvlText w:val="▪"/>
      <w:lvlJc w:val="left"/>
      <w:pPr>
        <w:ind w:left="2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E64A4E">
      <w:start w:val="1"/>
      <w:numFmt w:val="bullet"/>
      <w:lvlText w:val="•"/>
      <w:lvlJc w:val="left"/>
      <w:pPr>
        <w:ind w:left="2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C87A7E">
      <w:start w:val="1"/>
      <w:numFmt w:val="bullet"/>
      <w:lvlText w:val="o"/>
      <w:lvlJc w:val="left"/>
      <w:pPr>
        <w:ind w:left="3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500000">
      <w:start w:val="1"/>
      <w:numFmt w:val="bullet"/>
      <w:lvlText w:val="▪"/>
      <w:lvlJc w:val="left"/>
      <w:pPr>
        <w:ind w:left="4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CC921A">
      <w:start w:val="1"/>
      <w:numFmt w:val="bullet"/>
      <w:lvlText w:val="•"/>
      <w:lvlJc w:val="left"/>
      <w:pPr>
        <w:ind w:left="4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96696A">
      <w:start w:val="1"/>
      <w:numFmt w:val="bullet"/>
      <w:lvlText w:val="o"/>
      <w:lvlJc w:val="left"/>
      <w:pPr>
        <w:ind w:left="5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580C22">
      <w:start w:val="1"/>
      <w:numFmt w:val="bullet"/>
      <w:lvlText w:val="▪"/>
      <w:lvlJc w:val="left"/>
      <w:pPr>
        <w:ind w:left="6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1913D90"/>
    <w:multiLevelType w:val="hybridMultilevel"/>
    <w:tmpl w:val="0A04AC58"/>
    <w:lvl w:ilvl="0" w:tplc="431AB116">
      <w:start w:val="3"/>
      <w:numFmt w:val="upperLetter"/>
      <w:lvlText w:val="%1)"/>
      <w:lvlJc w:val="left"/>
      <w:pPr>
        <w:ind w:left="79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3FCCE398">
      <w:start w:val="1"/>
      <w:numFmt w:val="lowerLetter"/>
      <w:lvlText w:val="%2"/>
      <w:lvlJc w:val="left"/>
      <w:pPr>
        <w:ind w:left="146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C1E04CCE">
      <w:start w:val="1"/>
      <w:numFmt w:val="lowerRoman"/>
      <w:lvlText w:val="%3"/>
      <w:lvlJc w:val="left"/>
      <w:pPr>
        <w:ind w:left="218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F8BCF1C8">
      <w:start w:val="1"/>
      <w:numFmt w:val="decimal"/>
      <w:lvlText w:val="%4"/>
      <w:lvlJc w:val="left"/>
      <w:pPr>
        <w:ind w:left="290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1462716E">
      <w:start w:val="1"/>
      <w:numFmt w:val="lowerLetter"/>
      <w:lvlText w:val="%5"/>
      <w:lvlJc w:val="left"/>
      <w:pPr>
        <w:ind w:left="362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104803DE">
      <w:start w:val="1"/>
      <w:numFmt w:val="lowerRoman"/>
      <w:lvlText w:val="%6"/>
      <w:lvlJc w:val="left"/>
      <w:pPr>
        <w:ind w:left="434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D5385534">
      <w:start w:val="1"/>
      <w:numFmt w:val="decimal"/>
      <w:lvlText w:val="%7"/>
      <w:lvlJc w:val="left"/>
      <w:pPr>
        <w:ind w:left="506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0A20D0F6">
      <w:start w:val="1"/>
      <w:numFmt w:val="lowerLetter"/>
      <w:lvlText w:val="%8"/>
      <w:lvlJc w:val="left"/>
      <w:pPr>
        <w:ind w:left="578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FC3E912E">
      <w:start w:val="1"/>
      <w:numFmt w:val="lowerRoman"/>
      <w:lvlText w:val="%9"/>
      <w:lvlJc w:val="left"/>
      <w:pPr>
        <w:ind w:left="650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31CB072B"/>
    <w:multiLevelType w:val="hybridMultilevel"/>
    <w:tmpl w:val="4FB65AF8"/>
    <w:lvl w:ilvl="0" w:tplc="48486758">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AD86882">
      <w:start w:val="1"/>
      <w:numFmt w:val="lowerLetter"/>
      <w:lvlText w:val="%2"/>
      <w:lvlJc w:val="left"/>
      <w:pPr>
        <w:ind w:left="14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FF0DB36">
      <w:start w:val="1"/>
      <w:numFmt w:val="lowerRoman"/>
      <w:lvlText w:val="%3"/>
      <w:lvlJc w:val="left"/>
      <w:pPr>
        <w:ind w:left="21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6940676">
      <w:start w:val="1"/>
      <w:numFmt w:val="decimal"/>
      <w:lvlText w:val="%4"/>
      <w:lvlJc w:val="left"/>
      <w:pPr>
        <w:ind w:left="288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E7A860A">
      <w:start w:val="1"/>
      <w:numFmt w:val="lowerLetter"/>
      <w:lvlText w:val="%5"/>
      <w:lvlJc w:val="left"/>
      <w:pPr>
        <w:ind w:left="3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762DC72">
      <w:start w:val="1"/>
      <w:numFmt w:val="lowerRoman"/>
      <w:lvlText w:val="%6"/>
      <w:lvlJc w:val="left"/>
      <w:pPr>
        <w:ind w:left="432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20C1B0E">
      <w:start w:val="1"/>
      <w:numFmt w:val="decimal"/>
      <w:lvlText w:val="%7"/>
      <w:lvlJc w:val="left"/>
      <w:pPr>
        <w:ind w:left="50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A2AE36E">
      <w:start w:val="1"/>
      <w:numFmt w:val="lowerLetter"/>
      <w:lvlText w:val="%8"/>
      <w:lvlJc w:val="left"/>
      <w:pPr>
        <w:ind w:left="57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DE6AD52">
      <w:start w:val="1"/>
      <w:numFmt w:val="lowerRoman"/>
      <w:lvlText w:val="%9"/>
      <w:lvlJc w:val="left"/>
      <w:pPr>
        <w:ind w:left="648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27E5708"/>
    <w:multiLevelType w:val="hybridMultilevel"/>
    <w:tmpl w:val="1C9293B4"/>
    <w:lvl w:ilvl="0" w:tplc="DE8C1C40">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F007D3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C5EB04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11C6BD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EEC9FA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F86F74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FE2C82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9681E0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968C5D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3665097D"/>
    <w:multiLevelType w:val="hybridMultilevel"/>
    <w:tmpl w:val="551EF052"/>
    <w:lvl w:ilvl="0" w:tplc="04FA4E54">
      <w:start w:val="5"/>
      <w:numFmt w:val="lowerLetter"/>
      <w:lvlText w:val="%1)"/>
      <w:lvlJc w:val="left"/>
      <w:pPr>
        <w:ind w:left="456"/>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7160FAD8">
      <w:start w:val="1"/>
      <w:numFmt w:val="lowerLetter"/>
      <w:lvlText w:val="%2"/>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D2B651B0">
      <w:start w:val="1"/>
      <w:numFmt w:val="lowerRoman"/>
      <w:lvlText w:val="%3"/>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9483498">
      <w:start w:val="1"/>
      <w:numFmt w:val="decimal"/>
      <w:lvlText w:val="%4"/>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44E9B22">
      <w:start w:val="1"/>
      <w:numFmt w:val="lowerLetter"/>
      <w:lvlText w:val="%5"/>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FF4A71FE">
      <w:start w:val="1"/>
      <w:numFmt w:val="lowerRoman"/>
      <w:lvlText w:val="%6"/>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A1247450">
      <w:start w:val="1"/>
      <w:numFmt w:val="decimal"/>
      <w:lvlText w:val="%7"/>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7C346C42">
      <w:start w:val="1"/>
      <w:numFmt w:val="lowerLetter"/>
      <w:lvlText w:val="%8"/>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919A5F86">
      <w:start w:val="1"/>
      <w:numFmt w:val="lowerRoman"/>
      <w:lvlText w:val="%9"/>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B6E2E42"/>
    <w:multiLevelType w:val="hybridMultilevel"/>
    <w:tmpl w:val="8B00EA2E"/>
    <w:lvl w:ilvl="0" w:tplc="7E5CEC5C">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EEE34F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F60F734">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4EEE11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0BEEEC8">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2B67C3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A444AA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2D0BFC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0422BB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CC7676B"/>
    <w:multiLevelType w:val="hybridMultilevel"/>
    <w:tmpl w:val="5D226048"/>
    <w:lvl w:ilvl="0" w:tplc="14ECF0BE">
      <w:start w:val="3"/>
      <w:numFmt w:val="decimal"/>
      <w:lvlText w:val="%1."/>
      <w:lvlJc w:val="left"/>
      <w:pPr>
        <w:ind w:left="2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6E6E0B1A">
      <w:start w:val="1"/>
      <w:numFmt w:val="lowerLetter"/>
      <w:lvlText w:val="%2"/>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63AACF28">
      <w:start w:val="1"/>
      <w:numFmt w:val="lowerRoman"/>
      <w:lvlText w:val="%3"/>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ED324DB8">
      <w:start w:val="1"/>
      <w:numFmt w:val="decimal"/>
      <w:lvlText w:val="%4"/>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E6F02BC0">
      <w:start w:val="1"/>
      <w:numFmt w:val="lowerLetter"/>
      <w:lvlText w:val="%5"/>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C0D43C1C">
      <w:start w:val="1"/>
      <w:numFmt w:val="lowerRoman"/>
      <w:lvlText w:val="%6"/>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8C54E9B0">
      <w:start w:val="1"/>
      <w:numFmt w:val="decimal"/>
      <w:lvlText w:val="%7"/>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BDE48E96">
      <w:start w:val="1"/>
      <w:numFmt w:val="lowerLetter"/>
      <w:lvlText w:val="%8"/>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E329EC6">
      <w:start w:val="1"/>
      <w:numFmt w:val="lowerRoman"/>
      <w:lvlText w:val="%9"/>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3CF71839"/>
    <w:multiLevelType w:val="hybridMultilevel"/>
    <w:tmpl w:val="D5B04EEA"/>
    <w:lvl w:ilvl="0" w:tplc="00F8996E">
      <w:start w:val="5"/>
      <w:numFmt w:val="decimal"/>
      <w:lvlText w:val="%1."/>
      <w:lvlJc w:val="left"/>
      <w:pPr>
        <w:ind w:left="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F8662A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E28FC3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DCA9D4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588782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B0AC4D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EB0DAC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11E693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B98002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D023B8D"/>
    <w:multiLevelType w:val="hybridMultilevel"/>
    <w:tmpl w:val="BB869544"/>
    <w:lvl w:ilvl="0" w:tplc="E31E97AC">
      <w:start w:val="2"/>
      <w:numFmt w:val="lowerLetter"/>
      <w:lvlText w:val="%1)"/>
      <w:lvlJc w:val="left"/>
      <w:pPr>
        <w:ind w:left="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81A451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30453A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79C21B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142CE9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0FCF69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A24FA1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EA2DCB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076669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3DC02EA2"/>
    <w:multiLevelType w:val="hybridMultilevel"/>
    <w:tmpl w:val="7BEEB530"/>
    <w:lvl w:ilvl="0" w:tplc="8BBC1A02">
      <w:start w:val="5"/>
      <w:numFmt w:val="upperLetter"/>
      <w:lvlText w:val="%1)"/>
      <w:lvlJc w:val="left"/>
      <w:pPr>
        <w:ind w:left="5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E827AC0">
      <w:start w:val="1"/>
      <w:numFmt w:val="lowerLetter"/>
      <w:lvlText w:val="%2"/>
      <w:lvlJc w:val="left"/>
      <w:pPr>
        <w:ind w:left="12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FDAB444">
      <w:start w:val="1"/>
      <w:numFmt w:val="lowerRoman"/>
      <w:lvlText w:val="%3"/>
      <w:lvlJc w:val="left"/>
      <w:pPr>
        <w:ind w:left="20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412088A">
      <w:start w:val="1"/>
      <w:numFmt w:val="decimal"/>
      <w:lvlText w:val="%4"/>
      <w:lvlJc w:val="left"/>
      <w:pPr>
        <w:ind w:left="27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598EB98">
      <w:start w:val="1"/>
      <w:numFmt w:val="lowerLetter"/>
      <w:lvlText w:val="%5"/>
      <w:lvlJc w:val="left"/>
      <w:pPr>
        <w:ind w:left="34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E881714">
      <w:start w:val="1"/>
      <w:numFmt w:val="lowerRoman"/>
      <w:lvlText w:val="%6"/>
      <w:lvlJc w:val="left"/>
      <w:pPr>
        <w:ind w:left="41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896C2E8">
      <w:start w:val="1"/>
      <w:numFmt w:val="decimal"/>
      <w:lvlText w:val="%7"/>
      <w:lvlJc w:val="left"/>
      <w:pPr>
        <w:ind w:left="48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47058F0">
      <w:start w:val="1"/>
      <w:numFmt w:val="lowerLetter"/>
      <w:lvlText w:val="%8"/>
      <w:lvlJc w:val="left"/>
      <w:pPr>
        <w:ind w:left="56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5A0624AC">
      <w:start w:val="1"/>
      <w:numFmt w:val="lowerRoman"/>
      <w:lvlText w:val="%9"/>
      <w:lvlJc w:val="left"/>
      <w:pPr>
        <w:ind w:left="63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3ECB4083"/>
    <w:multiLevelType w:val="hybridMultilevel"/>
    <w:tmpl w:val="6B1A3BC8"/>
    <w:lvl w:ilvl="0" w:tplc="EA0C914A">
      <w:start w:val="5"/>
      <w:numFmt w:val="decimal"/>
      <w:lvlText w:val="%1."/>
      <w:lvlJc w:val="left"/>
      <w:pPr>
        <w:ind w:left="632"/>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31A6FBE6">
      <w:start w:val="1"/>
      <w:numFmt w:val="lowerLetter"/>
      <w:lvlText w:val="%2"/>
      <w:lvlJc w:val="left"/>
      <w:pPr>
        <w:ind w:left="16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57083CC0">
      <w:start w:val="1"/>
      <w:numFmt w:val="lowerRoman"/>
      <w:lvlText w:val="%3"/>
      <w:lvlJc w:val="left"/>
      <w:pPr>
        <w:ind w:left="23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E264C812">
      <w:start w:val="1"/>
      <w:numFmt w:val="decimal"/>
      <w:lvlText w:val="%4"/>
      <w:lvlJc w:val="left"/>
      <w:pPr>
        <w:ind w:left="30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16ECA448">
      <w:start w:val="1"/>
      <w:numFmt w:val="lowerLetter"/>
      <w:lvlText w:val="%5"/>
      <w:lvlJc w:val="left"/>
      <w:pPr>
        <w:ind w:left="37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0A6E6796">
      <w:start w:val="1"/>
      <w:numFmt w:val="lowerRoman"/>
      <w:lvlText w:val="%6"/>
      <w:lvlJc w:val="left"/>
      <w:pPr>
        <w:ind w:left="449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7CE61C5C">
      <w:start w:val="1"/>
      <w:numFmt w:val="decimal"/>
      <w:lvlText w:val="%7"/>
      <w:lvlJc w:val="left"/>
      <w:pPr>
        <w:ind w:left="52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47F85AFE">
      <w:start w:val="1"/>
      <w:numFmt w:val="lowerLetter"/>
      <w:lvlText w:val="%8"/>
      <w:lvlJc w:val="left"/>
      <w:pPr>
        <w:ind w:left="59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3901B64">
      <w:start w:val="1"/>
      <w:numFmt w:val="lowerRoman"/>
      <w:lvlText w:val="%9"/>
      <w:lvlJc w:val="left"/>
      <w:pPr>
        <w:ind w:left="66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3F64225A"/>
    <w:multiLevelType w:val="hybridMultilevel"/>
    <w:tmpl w:val="1A56A992"/>
    <w:lvl w:ilvl="0" w:tplc="B1826A9A">
      <w:start w:val="1"/>
      <w:numFmt w:val="bullet"/>
      <w:lvlText w:val="-"/>
      <w:lvlJc w:val="left"/>
      <w:pPr>
        <w:ind w:left="4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1564ECA">
      <w:start w:val="1"/>
      <w:numFmt w:val="bullet"/>
      <w:lvlText w:val="o"/>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A0ECE8C">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568EEBCA">
      <w:start w:val="1"/>
      <w:numFmt w:val="bullet"/>
      <w:lvlText w:val="•"/>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E247014">
      <w:start w:val="1"/>
      <w:numFmt w:val="bullet"/>
      <w:lvlText w:val="o"/>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BDAC948">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546E642">
      <w:start w:val="1"/>
      <w:numFmt w:val="bullet"/>
      <w:lvlText w:val="•"/>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876880C">
      <w:start w:val="1"/>
      <w:numFmt w:val="bullet"/>
      <w:lvlText w:val="o"/>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BEAAFC58">
      <w:start w:val="1"/>
      <w:numFmt w:val="bullet"/>
      <w:lvlText w:val="▪"/>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0400EEA"/>
    <w:multiLevelType w:val="hybridMultilevel"/>
    <w:tmpl w:val="CA66538C"/>
    <w:lvl w:ilvl="0" w:tplc="7D3846AA">
      <w:start w:val="1"/>
      <w:numFmt w:val="decimal"/>
      <w:lvlText w:val="%1."/>
      <w:lvlJc w:val="left"/>
      <w:pPr>
        <w:ind w:left="2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0A2861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E3E4A9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71856A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834C9C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40617F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974D34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9E8687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078A39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09F4910"/>
    <w:multiLevelType w:val="hybridMultilevel"/>
    <w:tmpl w:val="7B00355A"/>
    <w:lvl w:ilvl="0" w:tplc="50564E56">
      <w:start w:val="1"/>
      <w:numFmt w:val="bullet"/>
      <w:lvlText w:val="-"/>
      <w:lvlJc w:val="left"/>
      <w:pPr>
        <w:ind w:left="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C8FAC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742CC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F836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04C72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16E0A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7E745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4444F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18C47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15B73E3"/>
    <w:multiLevelType w:val="hybridMultilevel"/>
    <w:tmpl w:val="19204992"/>
    <w:lvl w:ilvl="0" w:tplc="CDFA8312">
      <w:start w:val="3"/>
      <w:numFmt w:val="lowerLetter"/>
      <w:lvlText w:val="%1)"/>
      <w:lvlJc w:val="left"/>
      <w:pPr>
        <w:ind w:left="1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766713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E625A6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202809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E18150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5FC843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4188904">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FA4638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6565F0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1B91316"/>
    <w:multiLevelType w:val="hybridMultilevel"/>
    <w:tmpl w:val="CD503342"/>
    <w:lvl w:ilvl="0" w:tplc="CD5E04F6">
      <w:start w:val="1"/>
      <w:numFmt w:val="lowerLetter"/>
      <w:lvlText w:val="%1)"/>
      <w:lvlJc w:val="left"/>
      <w:pPr>
        <w:ind w:left="9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1EE7E8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AE2BAE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9B8A9A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5E800D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B20C85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65C326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4125CD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2C2C90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1F76935"/>
    <w:multiLevelType w:val="hybridMultilevel"/>
    <w:tmpl w:val="C376225A"/>
    <w:lvl w:ilvl="0" w:tplc="2192258C">
      <w:start w:val="1"/>
      <w:numFmt w:val="bullet"/>
      <w:lvlText w:val="•"/>
      <w:lvlJc w:val="left"/>
      <w:pPr>
        <w:ind w:left="2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B8715C">
      <w:start w:val="1"/>
      <w:numFmt w:val="bullet"/>
      <w:lvlText w:val="o"/>
      <w:lvlJc w:val="left"/>
      <w:pPr>
        <w:ind w:left="2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84EBC0">
      <w:start w:val="1"/>
      <w:numFmt w:val="bullet"/>
      <w:lvlText w:val="▪"/>
      <w:lvlJc w:val="left"/>
      <w:pPr>
        <w:ind w:left="3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22ABE6">
      <w:start w:val="1"/>
      <w:numFmt w:val="bullet"/>
      <w:lvlText w:val="•"/>
      <w:lvlJc w:val="left"/>
      <w:pPr>
        <w:ind w:left="4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2CB946">
      <w:start w:val="1"/>
      <w:numFmt w:val="bullet"/>
      <w:lvlText w:val="o"/>
      <w:lvlJc w:val="left"/>
      <w:pPr>
        <w:ind w:left="4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04AC92">
      <w:start w:val="1"/>
      <w:numFmt w:val="bullet"/>
      <w:lvlText w:val="▪"/>
      <w:lvlJc w:val="left"/>
      <w:pPr>
        <w:ind w:left="5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CE65020">
      <w:start w:val="1"/>
      <w:numFmt w:val="bullet"/>
      <w:lvlText w:val="•"/>
      <w:lvlJc w:val="left"/>
      <w:pPr>
        <w:ind w:left="6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0C77F0">
      <w:start w:val="1"/>
      <w:numFmt w:val="bullet"/>
      <w:lvlText w:val="o"/>
      <w:lvlJc w:val="left"/>
      <w:pPr>
        <w:ind w:left="6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92EB80">
      <w:start w:val="1"/>
      <w:numFmt w:val="bullet"/>
      <w:lvlText w:val="▪"/>
      <w:lvlJc w:val="left"/>
      <w:pPr>
        <w:ind w:left="7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33C29E8"/>
    <w:multiLevelType w:val="hybridMultilevel"/>
    <w:tmpl w:val="AF7A695C"/>
    <w:lvl w:ilvl="0" w:tplc="68CA8870">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874E48A">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382A0E94">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FA8755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F4079FE">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9E8348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720463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66E8D30">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F7C852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3AE347E"/>
    <w:multiLevelType w:val="hybridMultilevel"/>
    <w:tmpl w:val="EE64195A"/>
    <w:lvl w:ilvl="0" w:tplc="DE9C97FA">
      <w:start w:val="1"/>
      <w:numFmt w:val="decimal"/>
      <w:lvlText w:val="%1."/>
      <w:lvlJc w:val="left"/>
      <w:pPr>
        <w:ind w:left="17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0828294">
      <w:start w:val="1"/>
      <w:numFmt w:val="lowerLetter"/>
      <w:lvlText w:val="%2"/>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AE86DB6">
      <w:start w:val="1"/>
      <w:numFmt w:val="lowerRoman"/>
      <w:lvlText w:val="%3"/>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D64855E">
      <w:start w:val="1"/>
      <w:numFmt w:val="decimal"/>
      <w:lvlText w:val="%4"/>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B644284">
      <w:start w:val="1"/>
      <w:numFmt w:val="lowerLetter"/>
      <w:lvlText w:val="%5"/>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63AAA4A">
      <w:start w:val="1"/>
      <w:numFmt w:val="lowerRoman"/>
      <w:lvlText w:val="%6"/>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CE6A134">
      <w:start w:val="1"/>
      <w:numFmt w:val="decimal"/>
      <w:lvlText w:val="%7"/>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7E4C6D4">
      <w:start w:val="1"/>
      <w:numFmt w:val="lowerLetter"/>
      <w:lvlText w:val="%8"/>
      <w:lvlJc w:val="left"/>
      <w:pPr>
        <w:ind w:left="6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46C8F4E">
      <w:start w:val="1"/>
      <w:numFmt w:val="lowerRoman"/>
      <w:lvlText w:val="%9"/>
      <w:lvlJc w:val="left"/>
      <w:pPr>
        <w:ind w:left="72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44D271FA"/>
    <w:multiLevelType w:val="hybridMultilevel"/>
    <w:tmpl w:val="944EE7EE"/>
    <w:lvl w:ilvl="0" w:tplc="4E1CDA6C">
      <w:start w:val="1"/>
      <w:numFmt w:val="decimal"/>
      <w:lvlText w:val="%1."/>
      <w:lvlJc w:val="left"/>
      <w:pPr>
        <w:ind w:left="17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530C7B2">
      <w:start w:val="1"/>
      <w:numFmt w:val="lowerLetter"/>
      <w:lvlText w:val="%2"/>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B0E1296">
      <w:start w:val="1"/>
      <w:numFmt w:val="lowerRoman"/>
      <w:lvlText w:val="%3"/>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E321B50">
      <w:start w:val="1"/>
      <w:numFmt w:val="decimal"/>
      <w:lvlText w:val="%4"/>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1DCEC2E">
      <w:start w:val="1"/>
      <w:numFmt w:val="lowerLetter"/>
      <w:lvlText w:val="%5"/>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9405668">
      <w:start w:val="1"/>
      <w:numFmt w:val="lowerRoman"/>
      <w:lvlText w:val="%6"/>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AE6BD1E">
      <w:start w:val="1"/>
      <w:numFmt w:val="decimal"/>
      <w:lvlText w:val="%7"/>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C700132">
      <w:start w:val="1"/>
      <w:numFmt w:val="lowerLetter"/>
      <w:lvlText w:val="%8"/>
      <w:lvlJc w:val="left"/>
      <w:pPr>
        <w:ind w:left="6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BF85E48">
      <w:start w:val="1"/>
      <w:numFmt w:val="lowerRoman"/>
      <w:lvlText w:val="%9"/>
      <w:lvlJc w:val="left"/>
      <w:pPr>
        <w:ind w:left="72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45911928"/>
    <w:multiLevelType w:val="hybridMultilevel"/>
    <w:tmpl w:val="9528A770"/>
    <w:lvl w:ilvl="0" w:tplc="DEA644B6">
      <w:start w:val="1"/>
      <w:numFmt w:val="lowerLetter"/>
      <w:lvlText w:val="%1)"/>
      <w:lvlJc w:val="left"/>
      <w:pPr>
        <w:ind w:left="5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A18DE22">
      <w:start w:val="3"/>
      <w:numFmt w:val="decimal"/>
      <w:lvlText w:val="%2."/>
      <w:lvlJc w:val="left"/>
      <w:pPr>
        <w:ind w:left="10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EF6663A">
      <w:start w:val="1"/>
      <w:numFmt w:val="lowerRoman"/>
      <w:lvlText w:val="%3"/>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73A83B6">
      <w:start w:val="1"/>
      <w:numFmt w:val="decimal"/>
      <w:lvlText w:val="%4"/>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8402046">
      <w:start w:val="1"/>
      <w:numFmt w:val="lowerLetter"/>
      <w:lvlText w:val="%5"/>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0BC1A28">
      <w:start w:val="1"/>
      <w:numFmt w:val="lowerRoman"/>
      <w:lvlText w:val="%6"/>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CD209A2">
      <w:start w:val="1"/>
      <w:numFmt w:val="decimal"/>
      <w:lvlText w:val="%7"/>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3BC7DAE">
      <w:start w:val="1"/>
      <w:numFmt w:val="lowerLetter"/>
      <w:lvlText w:val="%8"/>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5F2DB10">
      <w:start w:val="1"/>
      <w:numFmt w:val="lowerRoman"/>
      <w:lvlText w:val="%9"/>
      <w:lvlJc w:val="left"/>
      <w:pPr>
        <w:ind w:left="6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46351A1E"/>
    <w:multiLevelType w:val="hybridMultilevel"/>
    <w:tmpl w:val="4D2E5E4E"/>
    <w:lvl w:ilvl="0" w:tplc="34A4C7FE">
      <w:start w:val="1"/>
      <w:numFmt w:val="bullet"/>
      <w:lvlText w:val="-"/>
      <w:lvlJc w:val="left"/>
      <w:pPr>
        <w:ind w:left="4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1CC0DE4">
      <w:start w:val="1"/>
      <w:numFmt w:val="bullet"/>
      <w:lvlText w:val="o"/>
      <w:lvlJc w:val="left"/>
      <w:pPr>
        <w:ind w:left="13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1F253E2">
      <w:start w:val="1"/>
      <w:numFmt w:val="bullet"/>
      <w:lvlText w:val="▪"/>
      <w:lvlJc w:val="left"/>
      <w:pPr>
        <w:ind w:left="20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A26974A">
      <w:start w:val="1"/>
      <w:numFmt w:val="bullet"/>
      <w:lvlText w:val="•"/>
      <w:lvlJc w:val="left"/>
      <w:pPr>
        <w:ind w:left="27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7FC80AE">
      <w:start w:val="1"/>
      <w:numFmt w:val="bullet"/>
      <w:lvlText w:val="o"/>
      <w:lvlJc w:val="left"/>
      <w:pPr>
        <w:ind w:left="35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FC28F1E">
      <w:start w:val="1"/>
      <w:numFmt w:val="bullet"/>
      <w:lvlText w:val="▪"/>
      <w:lvlJc w:val="left"/>
      <w:pPr>
        <w:ind w:left="42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9586B18">
      <w:start w:val="1"/>
      <w:numFmt w:val="bullet"/>
      <w:lvlText w:val="•"/>
      <w:lvlJc w:val="left"/>
      <w:pPr>
        <w:ind w:left="49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59C5050">
      <w:start w:val="1"/>
      <w:numFmt w:val="bullet"/>
      <w:lvlText w:val="o"/>
      <w:lvlJc w:val="left"/>
      <w:pPr>
        <w:ind w:left="56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D0A3982">
      <w:start w:val="1"/>
      <w:numFmt w:val="bullet"/>
      <w:lvlText w:val="▪"/>
      <w:lvlJc w:val="left"/>
      <w:pPr>
        <w:ind w:left="63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8D02AAE"/>
    <w:multiLevelType w:val="hybridMultilevel"/>
    <w:tmpl w:val="3ADEB366"/>
    <w:lvl w:ilvl="0" w:tplc="BC826810">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0F8140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10C346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C92DBB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296999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4CCEFD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C7E0E3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708C5A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988BD3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49255449"/>
    <w:multiLevelType w:val="hybridMultilevel"/>
    <w:tmpl w:val="827C7326"/>
    <w:lvl w:ilvl="0" w:tplc="05BC81B0">
      <w:start w:val="1"/>
      <w:numFmt w:val="decimal"/>
      <w:lvlText w:val="%1."/>
      <w:lvlJc w:val="left"/>
      <w:pPr>
        <w:ind w:left="2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41C6A5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B24F51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C3C7A96">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FCE991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28E0D7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0DE6B2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69C2E6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C56C10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4AB5561C"/>
    <w:multiLevelType w:val="hybridMultilevel"/>
    <w:tmpl w:val="6F8A7154"/>
    <w:lvl w:ilvl="0" w:tplc="342CCAFC">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1EA26B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0D888C8">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3E0D99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EAE1FB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58EDFB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97C59E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8D2981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46EA7C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4DA03F5F"/>
    <w:multiLevelType w:val="hybridMultilevel"/>
    <w:tmpl w:val="DEFAA336"/>
    <w:lvl w:ilvl="0" w:tplc="CB60DBE8">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59655EC">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BE4E528">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544608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BC83A76">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98EE06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CBCC1CA">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E54AFC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540CDB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DD061CA"/>
    <w:multiLevelType w:val="hybridMultilevel"/>
    <w:tmpl w:val="7844250E"/>
    <w:lvl w:ilvl="0" w:tplc="FC086B6A">
      <w:start w:val="2"/>
      <w:numFmt w:val="lowerLetter"/>
      <w:lvlText w:val="%1)"/>
      <w:lvlJc w:val="left"/>
      <w:pPr>
        <w:ind w:left="50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53AC6556">
      <w:start w:val="1"/>
      <w:numFmt w:val="lowerLetter"/>
      <w:lvlText w:val="%2"/>
      <w:lvlJc w:val="left"/>
      <w:pPr>
        <w:ind w:left="16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7708236">
      <w:start w:val="1"/>
      <w:numFmt w:val="lowerRoman"/>
      <w:lvlText w:val="%3"/>
      <w:lvlJc w:val="left"/>
      <w:pPr>
        <w:ind w:left="23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EDE04B1C">
      <w:start w:val="1"/>
      <w:numFmt w:val="decimal"/>
      <w:lvlText w:val="%4"/>
      <w:lvlJc w:val="left"/>
      <w:pPr>
        <w:ind w:left="30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D53E5BEC">
      <w:start w:val="1"/>
      <w:numFmt w:val="lowerLetter"/>
      <w:lvlText w:val="%5"/>
      <w:lvlJc w:val="left"/>
      <w:pPr>
        <w:ind w:left="37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F79E193E">
      <w:start w:val="1"/>
      <w:numFmt w:val="lowerRoman"/>
      <w:lvlText w:val="%6"/>
      <w:lvlJc w:val="left"/>
      <w:pPr>
        <w:ind w:left="449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9D565830">
      <w:start w:val="1"/>
      <w:numFmt w:val="decimal"/>
      <w:lvlText w:val="%7"/>
      <w:lvlJc w:val="left"/>
      <w:pPr>
        <w:ind w:left="52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C6A892FC">
      <w:start w:val="1"/>
      <w:numFmt w:val="lowerLetter"/>
      <w:lvlText w:val="%8"/>
      <w:lvlJc w:val="left"/>
      <w:pPr>
        <w:ind w:left="59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4E02F78C">
      <w:start w:val="1"/>
      <w:numFmt w:val="lowerRoman"/>
      <w:lvlText w:val="%9"/>
      <w:lvlJc w:val="left"/>
      <w:pPr>
        <w:ind w:left="66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4EAE1F65"/>
    <w:multiLevelType w:val="hybridMultilevel"/>
    <w:tmpl w:val="4E9075FC"/>
    <w:lvl w:ilvl="0" w:tplc="ABFA395A">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530DB0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92A655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41C5F3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354A65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65247D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266E4C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D82D6C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5EEC9E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4F634A0A"/>
    <w:multiLevelType w:val="hybridMultilevel"/>
    <w:tmpl w:val="69487C16"/>
    <w:lvl w:ilvl="0" w:tplc="C9AC5C8A">
      <w:start w:val="1"/>
      <w:numFmt w:val="lowerLetter"/>
      <w:lvlText w:val="%1)"/>
      <w:lvlJc w:val="left"/>
      <w:pPr>
        <w:ind w:left="9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378070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802F4F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4309C9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2E4844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450A78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358126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6C2C91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1A29DB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4F676D38"/>
    <w:multiLevelType w:val="hybridMultilevel"/>
    <w:tmpl w:val="A7B69062"/>
    <w:lvl w:ilvl="0" w:tplc="70EC9CA6">
      <w:start w:val="1"/>
      <w:numFmt w:val="lowerLetter"/>
      <w:lvlText w:val="%1)"/>
      <w:lvlJc w:val="left"/>
      <w:pPr>
        <w:ind w:left="28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7C02D9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708BB8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7125A4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47C540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FD2FF0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970585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198E37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9D6F49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18360FB"/>
    <w:multiLevelType w:val="hybridMultilevel"/>
    <w:tmpl w:val="8B04C390"/>
    <w:lvl w:ilvl="0" w:tplc="E9E6CF58">
      <w:start w:val="3"/>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7927BE8">
      <w:start w:val="1"/>
      <w:numFmt w:val="lowerLetter"/>
      <w:lvlText w:val="%2"/>
      <w:lvlJc w:val="left"/>
      <w:pPr>
        <w:ind w:left="14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550FE92">
      <w:start w:val="1"/>
      <w:numFmt w:val="lowerRoman"/>
      <w:lvlText w:val="%3"/>
      <w:lvlJc w:val="left"/>
      <w:pPr>
        <w:ind w:left="21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2880D34">
      <w:start w:val="1"/>
      <w:numFmt w:val="decimal"/>
      <w:lvlText w:val="%4"/>
      <w:lvlJc w:val="left"/>
      <w:pPr>
        <w:ind w:left="288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29E1F5C">
      <w:start w:val="1"/>
      <w:numFmt w:val="lowerLetter"/>
      <w:lvlText w:val="%5"/>
      <w:lvlJc w:val="left"/>
      <w:pPr>
        <w:ind w:left="3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9707ABE">
      <w:start w:val="1"/>
      <w:numFmt w:val="lowerRoman"/>
      <w:lvlText w:val="%6"/>
      <w:lvlJc w:val="left"/>
      <w:pPr>
        <w:ind w:left="432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BDA5838">
      <w:start w:val="1"/>
      <w:numFmt w:val="decimal"/>
      <w:lvlText w:val="%7"/>
      <w:lvlJc w:val="left"/>
      <w:pPr>
        <w:ind w:left="50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5B43EC2">
      <w:start w:val="1"/>
      <w:numFmt w:val="lowerLetter"/>
      <w:lvlText w:val="%8"/>
      <w:lvlJc w:val="left"/>
      <w:pPr>
        <w:ind w:left="57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FF8A3A0">
      <w:start w:val="1"/>
      <w:numFmt w:val="lowerRoman"/>
      <w:lvlText w:val="%9"/>
      <w:lvlJc w:val="left"/>
      <w:pPr>
        <w:ind w:left="648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535C4508"/>
    <w:multiLevelType w:val="hybridMultilevel"/>
    <w:tmpl w:val="F6047EDA"/>
    <w:lvl w:ilvl="0" w:tplc="0A000CB0">
      <w:start w:val="3"/>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820CAA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518AB3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394A87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222B75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F18C530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A46EF7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DCA201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C920FB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56931E95"/>
    <w:multiLevelType w:val="hybridMultilevel"/>
    <w:tmpl w:val="EB92BE46"/>
    <w:lvl w:ilvl="0" w:tplc="2B3E4168">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4E8C3F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10EC20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D5EB818">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9E2D62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0666BF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25A856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B827C4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13C1EB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574549E9"/>
    <w:multiLevelType w:val="hybridMultilevel"/>
    <w:tmpl w:val="87E04558"/>
    <w:lvl w:ilvl="0" w:tplc="A0C2C7C4">
      <w:start w:val="1"/>
      <w:numFmt w:val="decimal"/>
      <w:lvlText w:val="%1."/>
      <w:lvlJc w:val="left"/>
      <w:pPr>
        <w:ind w:left="2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580415A6">
      <w:start w:val="1"/>
      <w:numFmt w:val="lowerLetter"/>
      <w:lvlText w:val="%2"/>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C532C230">
      <w:start w:val="1"/>
      <w:numFmt w:val="lowerRoman"/>
      <w:lvlText w:val="%3"/>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83014A0">
      <w:start w:val="1"/>
      <w:numFmt w:val="decimal"/>
      <w:lvlText w:val="%4"/>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B5A85B12">
      <w:start w:val="1"/>
      <w:numFmt w:val="lowerLetter"/>
      <w:lvlText w:val="%5"/>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511AD746">
      <w:start w:val="1"/>
      <w:numFmt w:val="lowerRoman"/>
      <w:lvlText w:val="%6"/>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2C148046">
      <w:start w:val="1"/>
      <w:numFmt w:val="decimal"/>
      <w:lvlText w:val="%7"/>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F866CC">
      <w:start w:val="1"/>
      <w:numFmt w:val="lowerLetter"/>
      <w:lvlText w:val="%8"/>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2C981112">
      <w:start w:val="1"/>
      <w:numFmt w:val="lowerRoman"/>
      <w:lvlText w:val="%9"/>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586A1BB9"/>
    <w:multiLevelType w:val="hybridMultilevel"/>
    <w:tmpl w:val="97A0799E"/>
    <w:lvl w:ilvl="0" w:tplc="063C9364">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7E4D56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49A425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CF4D1B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FD6A71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024B5B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16067F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55C2AC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16EA00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8C83001"/>
    <w:multiLevelType w:val="hybridMultilevel"/>
    <w:tmpl w:val="B9FA5B0C"/>
    <w:lvl w:ilvl="0" w:tplc="30F0D2DC">
      <w:start w:val="7"/>
      <w:numFmt w:val="decimal"/>
      <w:lvlText w:val="%1."/>
      <w:lvlJc w:val="left"/>
      <w:pPr>
        <w:ind w:left="3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E24B646">
      <w:start w:val="1"/>
      <w:numFmt w:val="lowerLetter"/>
      <w:lvlText w:val="%2"/>
      <w:lvlJc w:val="left"/>
      <w:pPr>
        <w:ind w:left="22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7822FB4">
      <w:start w:val="1"/>
      <w:numFmt w:val="lowerRoman"/>
      <w:lvlText w:val="%3"/>
      <w:lvlJc w:val="left"/>
      <w:pPr>
        <w:ind w:left="29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B94A22C">
      <w:start w:val="1"/>
      <w:numFmt w:val="decimal"/>
      <w:lvlText w:val="%4"/>
      <w:lvlJc w:val="left"/>
      <w:pPr>
        <w:ind w:left="36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1C65894">
      <w:start w:val="1"/>
      <w:numFmt w:val="lowerLetter"/>
      <w:lvlText w:val="%5"/>
      <w:lvlJc w:val="left"/>
      <w:pPr>
        <w:ind w:left="43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DE89940">
      <w:start w:val="1"/>
      <w:numFmt w:val="lowerRoman"/>
      <w:lvlText w:val="%6"/>
      <w:lvlJc w:val="left"/>
      <w:pPr>
        <w:ind w:left="51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B14BBE8">
      <w:start w:val="1"/>
      <w:numFmt w:val="decimal"/>
      <w:lvlText w:val="%7"/>
      <w:lvlJc w:val="left"/>
      <w:pPr>
        <w:ind w:left="58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27CE282">
      <w:start w:val="1"/>
      <w:numFmt w:val="lowerLetter"/>
      <w:lvlText w:val="%8"/>
      <w:lvlJc w:val="left"/>
      <w:pPr>
        <w:ind w:left="65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63079BE">
      <w:start w:val="1"/>
      <w:numFmt w:val="lowerRoman"/>
      <w:lvlText w:val="%9"/>
      <w:lvlJc w:val="left"/>
      <w:pPr>
        <w:ind w:left="72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591C58BB"/>
    <w:multiLevelType w:val="hybridMultilevel"/>
    <w:tmpl w:val="9D1224A6"/>
    <w:lvl w:ilvl="0" w:tplc="4AAC0DA8">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BA2E2E">
      <w:start w:val="1"/>
      <w:numFmt w:val="bullet"/>
      <w:lvlText w:val="o"/>
      <w:lvlJc w:val="left"/>
      <w:pPr>
        <w:ind w:left="1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F4AFDE">
      <w:start w:val="1"/>
      <w:numFmt w:val="bullet"/>
      <w:lvlText w:val="▪"/>
      <w:lvlJc w:val="left"/>
      <w:pPr>
        <w:ind w:left="2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0AEE42">
      <w:start w:val="1"/>
      <w:numFmt w:val="bullet"/>
      <w:lvlText w:val="•"/>
      <w:lvlJc w:val="left"/>
      <w:pPr>
        <w:ind w:left="2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92A540">
      <w:start w:val="1"/>
      <w:numFmt w:val="bullet"/>
      <w:lvlText w:val="o"/>
      <w:lvlJc w:val="left"/>
      <w:pPr>
        <w:ind w:left="3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C40B98">
      <w:start w:val="1"/>
      <w:numFmt w:val="bullet"/>
      <w:lvlText w:val="▪"/>
      <w:lvlJc w:val="left"/>
      <w:pPr>
        <w:ind w:left="4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56C4BA">
      <w:start w:val="1"/>
      <w:numFmt w:val="bullet"/>
      <w:lvlText w:val="•"/>
      <w:lvlJc w:val="left"/>
      <w:pPr>
        <w:ind w:left="4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BAF2CA">
      <w:start w:val="1"/>
      <w:numFmt w:val="bullet"/>
      <w:lvlText w:val="o"/>
      <w:lvlJc w:val="left"/>
      <w:pPr>
        <w:ind w:left="5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2C1BA6">
      <w:start w:val="1"/>
      <w:numFmt w:val="bullet"/>
      <w:lvlText w:val="▪"/>
      <w:lvlJc w:val="left"/>
      <w:pPr>
        <w:ind w:left="6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95B526F"/>
    <w:multiLevelType w:val="hybridMultilevel"/>
    <w:tmpl w:val="7C403C46"/>
    <w:lvl w:ilvl="0" w:tplc="B62ADF1E">
      <w:start w:val="1"/>
      <w:numFmt w:val="bullet"/>
      <w:lvlText w:val=""/>
      <w:lvlJc w:val="left"/>
      <w:pPr>
        <w:ind w:left="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E70D8E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40325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F268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A21CD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A65A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ACA6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4E40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5EED6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99E57F0"/>
    <w:multiLevelType w:val="hybridMultilevel"/>
    <w:tmpl w:val="CE229BFC"/>
    <w:lvl w:ilvl="0" w:tplc="AB8CB284">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34D6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BEA767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52AFA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842E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4C89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AF0C0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02BB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B844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59DE5208"/>
    <w:multiLevelType w:val="hybridMultilevel"/>
    <w:tmpl w:val="A6684F76"/>
    <w:lvl w:ilvl="0" w:tplc="ED3CD86C">
      <w:start w:val="1"/>
      <w:numFmt w:val="decimal"/>
      <w:lvlText w:val="%1."/>
      <w:lvlJc w:val="left"/>
      <w:pPr>
        <w:ind w:left="2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570609C6">
      <w:start w:val="1"/>
      <w:numFmt w:val="lowerLetter"/>
      <w:lvlText w:val="%2"/>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6C6855F4">
      <w:start w:val="1"/>
      <w:numFmt w:val="lowerRoman"/>
      <w:lvlText w:val="%3"/>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5E6B692">
      <w:start w:val="1"/>
      <w:numFmt w:val="decimal"/>
      <w:lvlText w:val="%4"/>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B76C5D60">
      <w:start w:val="1"/>
      <w:numFmt w:val="lowerLetter"/>
      <w:lvlText w:val="%5"/>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CEEC5C8">
      <w:start w:val="1"/>
      <w:numFmt w:val="lowerRoman"/>
      <w:lvlText w:val="%6"/>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4002FE1C">
      <w:start w:val="1"/>
      <w:numFmt w:val="decimal"/>
      <w:lvlText w:val="%7"/>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31DAC558">
      <w:start w:val="1"/>
      <w:numFmt w:val="lowerLetter"/>
      <w:lvlText w:val="%8"/>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444EF5AA">
      <w:start w:val="1"/>
      <w:numFmt w:val="lowerRoman"/>
      <w:lvlText w:val="%9"/>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E2A3918"/>
    <w:multiLevelType w:val="hybridMultilevel"/>
    <w:tmpl w:val="163AF12A"/>
    <w:lvl w:ilvl="0" w:tplc="65FCD9BC">
      <w:start w:val="1"/>
      <w:numFmt w:val="bullet"/>
      <w:lvlText w:val="•"/>
      <w:lvlJc w:val="left"/>
      <w:pPr>
        <w:ind w:left="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6462BC">
      <w:start w:val="1"/>
      <w:numFmt w:val="bullet"/>
      <w:lvlText w:val="o"/>
      <w:lvlJc w:val="left"/>
      <w:pPr>
        <w:ind w:left="10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F2082A">
      <w:start w:val="1"/>
      <w:numFmt w:val="bullet"/>
      <w:lvlText w:val="▪"/>
      <w:lvlJc w:val="left"/>
      <w:pPr>
        <w:ind w:left="1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F89200">
      <w:start w:val="1"/>
      <w:numFmt w:val="bullet"/>
      <w:lvlText w:val="•"/>
      <w:lvlJc w:val="left"/>
      <w:pPr>
        <w:ind w:left="2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68853A">
      <w:start w:val="1"/>
      <w:numFmt w:val="bullet"/>
      <w:lvlText w:val="o"/>
      <w:lvlJc w:val="left"/>
      <w:pPr>
        <w:ind w:left="32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927A50">
      <w:start w:val="1"/>
      <w:numFmt w:val="bullet"/>
      <w:lvlText w:val="▪"/>
      <w:lvlJc w:val="left"/>
      <w:pPr>
        <w:ind w:left="39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CC0D68">
      <w:start w:val="1"/>
      <w:numFmt w:val="bullet"/>
      <w:lvlText w:val="•"/>
      <w:lvlJc w:val="left"/>
      <w:pPr>
        <w:ind w:left="4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B49C76">
      <w:start w:val="1"/>
      <w:numFmt w:val="bullet"/>
      <w:lvlText w:val="o"/>
      <w:lvlJc w:val="left"/>
      <w:pPr>
        <w:ind w:left="54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823A46">
      <w:start w:val="1"/>
      <w:numFmt w:val="bullet"/>
      <w:lvlText w:val="▪"/>
      <w:lvlJc w:val="left"/>
      <w:pPr>
        <w:ind w:left="61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5E5A65E3"/>
    <w:multiLevelType w:val="hybridMultilevel"/>
    <w:tmpl w:val="13086A82"/>
    <w:lvl w:ilvl="0" w:tplc="83582C00">
      <w:start w:val="7"/>
      <w:numFmt w:val="decimal"/>
      <w:lvlText w:val="%1."/>
      <w:lvlJc w:val="left"/>
      <w:pPr>
        <w:ind w:left="3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1CA32FC">
      <w:start w:val="1"/>
      <w:numFmt w:val="lowerLetter"/>
      <w:lvlText w:val="%2"/>
      <w:lvlJc w:val="left"/>
      <w:pPr>
        <w:ind w:left="22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DD6632C">
      <w:start w:val="1"/>
      <w:numFmt w:val="lowerRoman"/>
      <w:lvlText w:val="%3"/>
      <w:lvlJc w:val="left"/>
      <w:pPr>
        <w:ind w:left="29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8D26298">
      <w:start w:val="1"/>
      <w:numFmt w:val="decimal"/>
      <w:lvlText w:val="%4"/>
      <w:lvlJc w:val="left"/>
      <w:pPr>
        <w:ind w:left="36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56026E4">
      <w:start w:val="1"/>
      <w:numFmt w:val="lowerLetter"/>
      <w:lvlText w:val="%5"/>
      <w:lvlJc w:val="left"/>
      <w:pPr>
        <w:ind w:left="43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380974E">
      <w:start w:val="1"/>
      <w:numFmt w:val="lowerRoman"/>
      <w:lvlText w:val="%6"/>
      <w:lvlJc w:val="left"/>
      <w:pPr>
        <w:ind w:left="51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1C87878">
      <w:start w:val="1"/>
      <w:numFmt w:val="decimal"/>
      <w:lvlText w:val="%7"/>
      <w:lvlJc w:val="left"/>
      <w:pPr>
        <w:ind w:left="58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6445A94">
      <w:start w:val="1"/>
      <w:numFmt w:val="lowerLetter"/>
      <w:lvlText w:val="%8"/>
      <w:lvlJc w:val="left"/>
      <w:pPr>
        <w:ind w:left="65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E00AD60">
      <w:start w:val="1"/>
      <w:numFmt w:val="lowerRoman"/>
      <w:lvlText w:val="%9"/>
      <w:lvlJc w:val="left"/>
      <w:pPr>
        <w:ind w:left="72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5EA659A1"/>
    <w:multiLevelType w:val="hybridMultilevel"/>
    <w:tmpl w:val="9BA47238"/>
    <w:lvl w:ilvl="0" w:tplc="428411B2">
      <w:start w:val="1"/>
      <w:numFmt w:val="lowerLetter"/>
      <w:lvlText w:val="%1)"/>
      <w:lvlJc w:val="left"/>
      <w:pPr>
        <w:ind w:left="1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CC863C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7800A7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CE4877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046196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18C8EC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46041A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E6453B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0DEFCF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60DD3F18"/>
    <w:multiLevelType w:val="hybridMultilevel"/>
    <w:tmpl w:val="8CF298D2"/>
    <w:lvl w:ilvl="0" w:tplc="46AE0A9C">
      <w:start w:val="7"/>
      <w:numFmt w:val="decimal"/>
      <w:lvlText w:val="%1."/>
      <w:lvlJc w:val="left"/>
      <w:pPr>
        <w:ind w:left="3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68CAA0E">
      <w:start w:val="1"/>
      <w:numFmt w:val="lowerLetter"/>
      <w:lvlText w:val="%2"/>
      <w:lvlJc w:val="left"/>
      <w:pPr>
        <w:ind w:left="22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55AA8E4">
      <w:start w:val="1"/>
      <w:numFmt w:val="lowerRoman"/>
      <w:lvlText w:val="%3"/>
      <w:lvlJc w:val="left"/>
      <w:pPr>
        <w:ind w:left="29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1FE9F58">
      <w:start w:val="1"/>
      <w:numFmt w:val="decimal"/>
      <w:lvlText w:val="%4"/>
      <w:lvlJc w:val="left"/>
      <w:pPr>
        <w:ind w:left="36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F6E4B42">
      <w:start w:val="1"/>
      <w:numFmt w:val="lowerLetter"/>
      <w:lvlText w:val="%5"/>
      <w:lvlJc w:val="left"/>
      <w:pPr>
        <w:ind w:left="43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D20BFCC">
      <w:start w:val="1"/>
      <w:numFmt w:val="lowerRoman"/>
      <w:lvlText w:val="%6"/>
      <w:lvlJc w:val="left"/>
      <w:pPr>
        <w:ind w:left="51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AF64784">
      <w:start w:val="1"/>
      <w:numFmt w:val="decimal"/>
      <w:lvlText w:val="%7"/>
      <w:lvlJc w:val="left"/>
      <w:pPr>
        <w:ind w:left="58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1D489B2">
      <w:start w:val="1"/>
      <w:numFmt w:val="lowerLetter"/>
      <w:lvlText w:val="%8"/>
      <w:lvlJc w:val="left"/>
      <w:pPr>
        <w:ind w:left="65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CAADF7C">
      <w:start w:val="1"/>
      <w:numFmt w:val="lowerRoman"/>
      <w:lvlText w:val="%9"/>
      <w:lvlJc w:val="left"/>
      <w:pPr>
        <w:ind w:left="72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60E0343E"/>
    <w:multiLevelType w:val="hybridMultilevel"/>
    <w:tmpl w:val="FD4C01A6"/>
    <w:lvl w:ilvl="0" w:tplc="AF8AED40">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A74746E">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AC63C5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614754E">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A5AC4EE">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D70B100">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C4A2C3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4F080F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32ADA62">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61925869"/>
    <w:multiLevelType w:val="hybridMultilevel"/>
    <w:tmpl w:val="0F2A3AFA"/>
    <w:lvl w:ilvl="0" w:tplc="D48A59C2">
      <w:start w:val="5"/>
      <w:numFmt w:val="decimal"/>
      <w:lvlText w:val="%1."/>
      <w:lvlJc w:val="left"/>
      <w:pPr>
        <w:ind w:left="46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8C0D27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F3C497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29E65E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2501A5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0885D9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1A876A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A32A89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F56232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62504FBD"/>
    <w:multiLevelType w:val="hybridMultilevel"/>
    <w:tmpl w:val="949CA132"/>
    <w:lvl w:ilvl="0" w:tplc="74D0C69A">
      <w:start w:val="1"/>
      <w:numFmt w:val="bullet"/>
      <w:lvlText w:val=""/>
      <w:lvlJc w:val="left"/>
      <w:pPr>
        <w:ind w:left="6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3D6E4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AC42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5CD31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842E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D40D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4299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D23B4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3E23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2871E43"/>
    <w:multiLevelType w:val="hybridMultilevel"/>
    <w:tmpl w:val="336AC098"/>
    <w:lvl w:ilvl="0" w:tplc="417E13CC">
      <w:start w:val="7"/>
      <w:numFmt w:val="decimal"/>
      <w:lvlText w:val="%1."/>
      <w:lvlJc w:val="left"/>
      <w:pPr>
        <w:ind w:left="3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2C8E97C">
      <w:start w:val="1"/>
      <w:numFmt w:val="lowerLetter"/>
      <w:lvlText w:val="%2"/>
      <w:lvlJc w:val="left"/>
      <w:pPr>
        <w:ind w:left="22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608375E">
      <w:start w:val="1"/>
      <w:numFmt w:val="lowerRoman"/>
      <w:lvlText w:val="%3"/>
      <w:lvlJc w:val="left"/>
      <w:pPr>
        <w:ind w:left="29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3A05ECE">
      <w:start w:val="1"/>
      <w:numFmt w:val="decimal"/>
      <w:lvlText w:val="%4"/>
      <w:lvlJc w:val="left"/>
      <w:pPr>
        <w:ind w:left="36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1923A84">
      <w:start w:val="1"/>
      <w:numFmt w:val="lowerLetter"/>
      <w:lvlText w:val="%5"/>
      <w:lvlJc w:val="left"/>
      <w:pPr>
        <w:ind w:left="43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0FC8E80">
      <w:start w:val="1"/>
      <w:numFmt w:val="lowerRoman"/>
      <w:lvlText w:val="%6"/>
      <w:lvlJc w:val="left"/>
      <w:pPr>
        <w:ind w:left="51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79E1E2E">
      <w:start w:val="1"/>
      <w:numFmt w:val="decimal"/>
      <w:lvlText w:val="%7"/>
      <w:lvlJc w:val="left"/>
      <w:pPr>
        <w:ind w:left="58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66293C2">
      <w:start w:val="1"/>
      <w:numFmt w:val="lowerLetter"/>
      <w:lvlText w:val="%8"/>
      <w:lvlJc w:val="left"/>
      <w:pPr>
        <w:ind w:left="65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404F9AC">
      <w:start w:val="1"/>
      <w:numFmt w:val="lowerRoman"/>
      <w:lvlText w:val="%9"/>
      <w:lvlJc w:val="left"/>
      <w:pPr>
        <w:ind w:left="72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62D95864"/>
    <w:multiLevelType w:val="hybridMultilevel"/>
    <w:tmpl w:val="72849E28"/>
    <w:lvl w:ilvl="0" w:tplc="CA9200B0">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CA5B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6ACD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62F6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D294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B0A5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68BC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EC99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0204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63F16C88"/>
    <w:multiLevelType w:val="hybridMultilevel"/>
    <w:tmpl w:val="D8421580"/>
    <w:lvl w:ilvl="0" w:tplc="1DD83A4E">
      <w:start w:val="1"/>
      <w:numFmt w:val="lowerLetter"/>
      <w:lvlText w:val="%1)"/>
      <w:lvlJc w:val="left"/>
      <w:pPr>
        <w:ind w:left="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E5E1A5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A1CEAC0">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FC80F50">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57C551C">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C9450A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BBAF20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2EA97C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074D6C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656803AC"/>
    <w:multiLevelType w:val="hybridMultilevel"/>
    <w:tmpl w:val="0C2653BA"/>
    <w:lvl w:ilvl="0" w:tplc="8FB0CA9C">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27C62E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5626FA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89C011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3680AC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080F308">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4B2535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BEC2A4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60851D4">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6A7F4DD5"/>
    <w:multiLevelType w:val="hybridMultilevel"/>
    <w:tmpl w:val="5E18371E"/>
    <w:lvl w:ilvl="0" w:tplc="E8A6DE4C">
      <w:start w:val="1"/>
      <w:numFmt w:val="lowerLetter"/>
      <w:lvlText w:val="%1)"/>
      <w:lvlJc w:val="left"/>
      <w:pPr>
        <w:ind w:left="13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952C60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1588F4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480028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376B8A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CF0B85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02E9540">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D88457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8EE5CA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6C484BBE"/>
    <w:multiLevelType w:val="hybridMultilevel"/>
    <w:tmpl w:val="19F8804A"/>
    <w:lvl w:ilvl="0" w:tplc="3EBAD66A">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8768BD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06A8F64">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20437A6">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BF6286E">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15C651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4C4709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C62959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FD8CF5C">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19354E1"/>
    <w:multiLevelType w:val="hybridMultilevel"/>
    <w:tmpl w:val="F70AE97C"/>
    <w:lvl w:ilvl="0" w:tplc="FF06357A">
      <w:start w:val="3"/>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872779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B30F97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0B887C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E0A10D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2F0703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4D0BBC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334A6C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4A838E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728934E3"/>
    <w:multiLevelType w:val="hybridMultilevel"/>
    <w:tmpl w:val="35B6F8FA"/>
    <w:lvl w:ilvl="0" w:tplc="4712D400">
      <w:start w:val="3"/>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F68CA62">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AC253B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238E680">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A2ED410">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C043A3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0CE818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DE8DB58">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EA410E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73FD1512"/>
    <w:multiLevelType w:val="hybridMultilevel"/>
    <w:tmpl w:val="3354AF6E"/>
    <w:lvl w:ilvl="0" w:tplc="7E609C78">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34D6B4">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3066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D493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36EF8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32CE2E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80FF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B8207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2EF5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86802E1"/>
    <w:multiLevelType w:val="hybridMultilevel"/>
    <w:tmpl w:val="2E280FD8"/>
    <w:lvl w:ilvl="0" w:tplc="5498DBCA">
      <w:start w:val="1"/>
      <w:numFmt w:val="upperLetter"/>
      <w:lvlText w:val="%1)"/>
      <w:lvlJc w:val="left"/>
      <w:pPr>
        <w:ind w:left="6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D4EB1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CF049C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0C4A098">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79A8D2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A3A8EA2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7C0BDB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AE6E200">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2CABD1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78C86AC0"/>
    <w:multiLevelType w:val="hybridMultilevel"/>
    <w:tmpl w:val="2A881CF0"/>
    <w:lvl w:ilvl="0" w:tplc="7CC4E45C">
      <w:start w:val="1"/>
      <w:numFmt w:val="bullet"/>
      <w:lvlText w:val="o"/>
      <w:lvlJc w:val="left"/>
      <w:pPr>
        <w:ind w:left="10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F025B96">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3E40410">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15224D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7E66FD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3121182">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45C4F1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45066DA">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2AEB118">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7908090B"/>
    <w:multiLevelType w:val="hybridMultilevel"/>
    <w:tmpl w:val="33B6195C"/>
    <w:lvl w:ilvl="0" w:tplc="6854FE9E">
      <w:start w:val="1"/>
      <w:numFmt w:val="bullet"/>
      <w:lvlText w:val="•"/>
      <w:lvlJc w:val="left"/>
      <w:pPr>
        <w:ind w:left="2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F2AF60">
      <w:start w:val="1"/>
      <w:numFmt w:val="bullet"/>
      <w:lvlText w:val="o"/>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800EE2">
      <w:start w:val="1"/>
      <w:numFmt w:val="bullet"/>
      <w:lvlText w:val="▪"/>
      <w:lvlJc w:val="left"/>
      <w:pPr>
        <w:ind w:left="3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243768">
      <w:start w:val="1"/>
      <w:numFmt w:val="bullet"/>
      <w:lvlText w:val="•"/>
      <w:lvlJc w:val="left"/>
      <w:pPr>
        <w:ind w:left="4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34BF34">
      <w:start w:val="1"/>
      <w:numFmt w:val="bullet"/>
      <w:lvlText w:val="o"/>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CAA32E">
      <w:start w:val="1"/>
      <w:numFmt w:val="bullet"/>
      <w:lvlText w:val="▪"/>
      <w:lvlJc w:val="left"/>
      <w:pPr>
        <w:ind w:left="5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803464">
      <w:start w:val="1"/>
      <w:numFmt w:val="bullet"/>
      <w:lvlText w:val="•"/>
      <w:lvlJc w:val="left"/>
      <w:pPr>
        <w:ind w:left="6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8A2B14">
      <w:start w:val="1"/>
      <w:numFmt w:val="bullet"/>
      <w:lvlText w:val="o"/>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AE1554">
      <w:start w:val="1"/>
      <w:numFmt w:val="bullet"/>
      <w:lvlText w:val="▪"/>
      <w:lvlJc w:val="left"/>
      <w:pPr>
        <w:ind w:left="7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BC87373"/>
    <w:multiLevelType w:val="hybridMultilevel"/>
    <w:tmpl w:val="C780FC22"/>
    <w:lvl w:ilvl="0" w:tplc="534E372E">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2CC3C7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A8C25C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EE66E9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42C889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94CC9A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1ACBC5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ABE7A8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39CE41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7C801A23"/>
    <w:multiLevelType w:val="hybridMultilevel"/>
    <w:tmpl w:val="E7B0E38C"/>
    <w:lvl w:ilvl="0" w:tplc="29389310">
      <w:start w:val="1"/>
      <w:numFmt w:val="bullet"/>
      <w:lvlText w:val="-"/>
      <w:lvlJc w:val="left"/>
      <w:pPr>
        <w:ind w:left="405"/>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55B698C0">
      <w:start w:val="1"/>
      <w:numFmt w:val="bullet"/>
      <w:lvlText w:val="o"/>
      <w:lvlJc w:val="left"/>
      <w:pPr>
        <w:ind w:left="10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713ED278">
      <w:start w:val="1"/>
      <w:numFmt w:val="bullet"/>
      <w:lvlText w:val="▪"/>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F3F83BC0">
      <w:start w:val="1"/>
      <w:numFmt w:val="bullet"/>
      <w:lvlText w:val="•"/>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A0682DAA">
      <w:start w:val="1"/>
      <w:numFmt w:val="bullet"/>
      <w:lvlText w:val="o"/>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17103358">
      <w:start w:val="1"/>
      <w:numFmt w:val="bullet"/>
      <w:lvlText w:val="▪"/>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31A61312">
      <w:start w:val="1"/>
      <w:numFmt w:val="bullet"/>
      <w:lvlText w:val="•"/>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1CA418D6">
      <w:start w:val="1"/>
      <w:numFmt w:val="bullet"/>
      <w:lvlText w:val="o"/>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1F7651FA">
      <w:start w:val="1"/>
      <w:numFmt w:val="bullet"/>
      <w:lvlText w:val="▪"/>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7E497904"/>
    <w:multiLevelType w:val="hybridMultilevel"/>
    <w:tmpl w:val="CE40027A"/>
    <w:lvl w:ilvl="0" w:tplc="7D3E2A80">
      <w:start w:val="1"/>
      <w:numFmt w:val="decimal"/>
      <w:lvlText w:val="%1."/>
      <w:lvlJc w:val="left"/>
      <w:pPr>
        <w:ind w:left="174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236ADFA">
      <w:start w:val="1"/>
      <w:numFmt w:val="lowerLetter"/>
      <w:lvlText w:val="%2"/>
      <w:lvlJc w:val="left"/>
      <w:pPr>
        <w:ind w:left="22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A821AC4">
      <w:start w:val="1"/>
      <w:numFmt w:val="lowerRoman"/>
      <w:lvlText w:val="%3"/>
      <w:lvlJc w:val="left"/>
      <w:pPr>
        <w:ind w:left="29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B523206">
      <w:start w:val="1"/>
      <w:numFmt w:val="decimal"/>
      <w:lvlText w:val="%4"/>
      <w:lvlJc w:val="left"/>
      <w:pPr>
        <w:ind w:left="36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6F2D6AA">
      <w:start w:val="1"/>
      <w:numFmt w:val="lowerLetter"/>
      <w:lvlText w:val="%5"/>
      <w:lvlJc w:val="left"/>
      <w:pPr>
        <w:ind w:left="43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A76AB72">
      <w:start w:val="1"/>
      <w:numFmt w:val="lowerRoman"/>
      <w:lvlText w:val="%6"/>
      <w:lvlJc w:val="left"/>
      <w:pPr>
        <w:ind w:left="50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794D6EE">
      <w:start w:val="1"/>
      <w:numFmt w:val="decimal"/>
      <w:lvlText w:val="%7"/>
      <w:lvlJc w:val="left"/>
      <w:pPr>
        <w:ind w:left="58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D561A36">
      <w:start w:val="1"/>
      <w:numFmt w:val="lowerLetter"/>
      <w:lvlText w:val="%8"/>
      <w:lvlJc w:val="left"/>
      <w:pPr>
        <w:ind w:left="65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B3E7454">
      <w:start w:val="1"/>
      <w:numFmt w:val="lowerRoman"/>
      <w:lvlText w:val="%9"/>
      <w:lvlJc w:val="left"/>
      <w:pPr>
        <w:ind w:left="72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7EA12F73"/>
    <w:multiLevelType w:val="hybridMultilevel"/>
    <w:tmpl w:val="F36AE7D4"/>
    <w:lvl w:ilvl="0" w:tplc="4FCC9A6A">
      <w:start w:val="3"/>
      <w:numFmt w:val="decimal"/>
      <w:lvlText w:val="%1."/>
      <w:lvlJc w:val="left"/>
      <w:pPr>
        <w:ind w:left="2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4D8C4EEA">
      <w:start w:val="1"/>
      <w:numFmt w:val="lowerLetter"/>
      <w:lvlText w:val="%2"/>
      <w:lvlJc w:val="left"/>
      <w:pPr>
        <w:ind w:left="14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EFDA2AB8">
      <w:start w:val="1"/>
      <w:numFmt w:val="lowerRoman"/>
      <w:lvlText w:val="%3"/>
      <w:lvlJc w:val="left"/>
      <w:pPr>
        <w:ind w:left="21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2883A0A">
      <w:start w:val="1"/>
      <w:numFmt w:val="decimal"/>
      <w:lvlText w:val="%4"/>
      <w:lvlJc w:val="left"/>
      <w:pPr>
        <w:ind w:left="28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3E46680">
      <w:start w:val="1"/>
      <w:numFmt w:val="lowerLetter"/>
      <w:lvlText w:val="%5"/>
      <w:lvlJc w:val="left"/>
      <w:pPr>
        <w:ind w:left="359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C7CAEC6">
      <w:start w:val="1"/>
      <w:numFmt w:val="lowerRoman"/>
      <w:lvlText w:val="%6"/>
      <w:lvlJc w:val="left"/>
      <w:pPr>
        <w:ind w:left="431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5BBA53B4">
      <w:start w:val="1"/>
      <w:numFmt w:val="decimal"/>
      <w:lvlText w:val="%7"/>
      <w:lvlJc w:val="left"/>
      <w:pPr>
        <w:ind w:left="503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A7749D5C">
      <w:start w:val="1"/>
      <w:numFmt w:val="lowerLetter"/>
      <w:lvlText w:val="%8"/>
      <w:lvlJc w:val="left"/>
      <w:pPr>
        <w:ind w:left="575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C9C4EBE">
      <w:start w:val="1"/>
      <w:numFmt w:val="lowerRoman"/>
      <w:lvlText w:val="%9"/>
      <w:lvlJc w:val="left"/>
      <w:pPr>
        <w:ind w:left="64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7EBB17FF"/>
    <w:multiLevelType w:val="hybridMultilevel"/>
    <w:tmpl w:val="B06A4932"/>
    <w:lvl w:ilvl="0" w:tplc="66FEAD0C">
      <w:start w:val="4"/>
      <w:numFmt w:val="lowerLetter"/>
      <w:lvlText w:val="%1)"/>
      <w:lvlJc w:val="left"/>
      <w:pPr>
        <w:ind w:left="278"/>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1E04C46C">
      <w:start w:val="1"/>
      <w:numFmt w:val="lowerLetter"/>
      <w:lvlText w:val="%2"/>
      <w:lvlJc w:val="left"/>
      <w:pPr>
        <w:ind w:left="14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D4BA9316">
      <w:start w:val="1"/>
      <w:numFmt w:val="lowerRoman"/>
      <w:lvlText w:val="%3"/>
      <w:lvlJc w:val="left"/>
      <w:pPr>
        <w:ind w:left="21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B76D4A4">
      <w:start w:val="1"/>
      <w:numFmt w:val="decimal"/>
      <w:lvlText w:val="%4"/>
      <w:lvlJc w:val="left"/>
      <w:pPr>
        <w:ind w:left="28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B1C1B1A">
      <w:start w:val="1"/>
      <w:numFmt w:val="lowerLetter"/>
      <w:lvlText w:val="%5"/>
      <w:lvlJc w:val="left"/>
      <w:pPr>
        <w:ind w:left="360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100CEADC">
      <w:start w:val="1"/>
      <w:numFmt w:val="lowerRoman"/>
      <w:lvlText w:val="%6"/>
      <w:lvlJc w:val="left"/>
      <w:pPr>
        <w:ind w:left="432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A5E27C5A">
      <w:start w:val="1"/>
      <w:numFmt w:val="decimal"/>
      <w:lvlText w:val="%7"/>
      <w:lvlJc w:val="left"/>
      <w:pPr>
        <w:ind w:left="50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EA5419B8">
      <w:start w:val="1"/>
      <w:numFmt w:val="lowerLetter"/>
      <w:lvlText w:val="%8"/>
      <w:lvlJc w:val="left"/>
      <w:pPr>
        <w:ind w:left="57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1B82A58E">
      <w:start w:val="1"/>
      <w:numFmt w:val="lowerRoman"/>
      <w:lvlText w:val="%9"/>
      <w:lvlJc w:val="left"/>
      <w:pPr>
        <w:ind w:left="648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7FA832E7"/>
    <w:multiLevelType w:val="hybridMultilevel"/>
    <w:tmpl w:val="F2A8A02E"/>
    <w:lvl w:ilvl="0" w:tplc="6C7A1D76">
      <w:start w:val="1"/>
      <w:numFmt w:val="decimal"/>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FD0EF9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BFC0DE6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800264C">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516BD9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AE886E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440D5D6">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BF487B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8C68A4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39"/>
  </w:num>
  <w:num w:numId="2">
    <w:abstractNumId w:val="96"/>
  </w:num>
  <w:num w:numId="3">
    <w:abstractNumId w:val="95"/>
  </w:num>
  <w:num w:numId="4">
    <w:abstractNumId w:val="17"/>
  </w:num>
  <w:num w:numId="5">
    <w:abstractNumId w:val="35"/>
  </w:num>
  <w:num w:numId="6">
    <w:abstractNumId w:val="102"/>
  </w:num>
  <w:num w:numId="7">
    <w:abstractNumId w:val="84"/>
  </w:num>
  <w:num w:numId="8">
    <w:abstractNumId w:val="56"/>
  </w:num>
  <w:num w:numId="9">
    <w:abstractNumId w:val="48"/>
  </w:num>
  <w:num w:numId="10">
    <w:abstractNumId w:val="6"/>
  </w:num>
  <w:num w:numId="11">
    <w:abstractNumId w:val="75"/>
  </w:num>
  <w:num w:numId="12">
    <w:abstractNumId w:val="62"/>
  </w:num>
  <w:num w:numId="13">
    <w:abstractNumId w:val="93"/>
  </w:num>
  <w:num w:numId="14">
    <w:abstractNumId w:val="60"/>
  </w:num>
  <w:num w:numId="15">
    <w:abstractNumId w:val="40"/>
  </w:num>
  <w:num w:numId="16">
    <w:abstractNumId w:val="87"/>
  </w:num>
  <w:num w:numId="17">
    <w:abstractNumId w:val="107"/>
  </w:num>
  <w:num w:numId="18">
    <w:abstractNumId w:val="58"/>
  </w:num>
  <w:num w:numId="19">
    <w:abstractNumId w:val="42"/>
  </w:num>
  <w:num w:numId="20">
    <w:abstractNumId w:val="13"/>
  </w:num>
  <w:num w:numId="21">
    <w:abstractNumId w:val="16"/>
  </w:num>
  <w:num w:numId="22">
    <w:abstractNumId w:val="4"/>
  </w:num>
  <w:num w:numId="23">
    <w:abstractNumId w:val="103"/>
  </w:num>
  <w:num w:numId="24">
    <w:abstractNumId w:val="47"/>
  </w:num>
  <w:num w:numId="25">
    <w:abstractNumId w:val="83"/>
  </w:num>
  <w:num w:numId="26">
    <w:abstractNumId w:val="11"/>
  </w:num>
  <w:num w:numId="27">
    <w:abstractNumId w:val="20"/>
  </w:num>
  <w:num w:numId="28">
    <w:abstractNumId w:val="36"/>
  </w:num>
  <w:num w:numId="29">
    <w:abstractNumId w:val="44"/>
  </w:num>
  <w:num w:numId="30">
    <w:abstractNumId w:val="85"/>
  </w:num>
  <w:num w:numId="31">
    <w:abstractNumId w:val="32"/>
  </w:num>
  <w:num w:numId="32">
    <w:abstractNumId w:val="68"/>
  </w:num>
  <w:num w:numId="33">
    <w:abstractNumId w:val="64"/>
  </w:num>
  <w:num w:numId="34">
    <w:abstractNumId w:val="104"/>
  </w:num>
  <w:num w:numId="35">
    <w:abstractNumId w:val="66"/>
  </w:num>
  <w:num w:numId="36">
    <w:abstractNumId w:val="67"/>
  </w:num>
  <w:num w:numId="37">
    <w:abstractNumId w:val="76"/>
  </w:num>
  <w:num w:numId="38">
    <w:abstractNumId w:val="94"/>
  </w:num>
  <w:num w:numId="39">
    <w:abstractNumId w:val="91"/>
  </w:num>
  <w:num w:numId="40">
    <w:abstractNumId w:val="52"/>
  </w:num>
  <w:num w:numId="41">
    <w:abstractNumId w:val="33"/>
  </w:num>
  <w:num w:numId="42">
    <w:abstractNumId w:val="18"/>
  </w:num>
  <w:num w:numId="43">
    <w:abstractNumId w:val="23"/>
  </w:num>
  <w:num w:numId="44">
    <w:abstractNumId w:val="82"/>
  </w:num>
  <w:num w:numId="45">
    <w:abstractNumId w:val="8"/>
  </w:num>
  <w:num w:numId="46">
    <w:abstractNumId w:val="72"/>
  </w:num>
  <w:num w:numId="47">
    <w:abstractNumId w:val="30"/>
  </w:num>
  <w:num w:numId="48">
    <w:abstractNumId w:val="3"/>
  </w:num>
  <w:num w:numId="49">
    <w:abstractNumId w:val="53"/>
  </w:num>
  <w:num w:numId="50">
    <w:abstractNumId w:val="73"/>
  </w:num>
  <w:num w:numId="51">
    <w:abstractNumId w:val="57"/>
  </w:num>
  <w:num w:numId="52">
    <w:abstractNumId w:val="25"/>
  </w:num>
  <w:num w:numId="53">
    <w:abstractNumId w:val="49"/>
  </w:num>
  <w:num w:numId="54">
    <w:abstractNumId w:val="86"/>
  </w:num>
  <w:num w:numId="55">
    <w:abstractNumId w:val="109"/>
  </w:num>
  <w:num w:numId="56">
    <w:abstractNumId w:val="28"/>
  </w:num>
  <w:num w:numId="57">
    <w:abstractNumId w:val="51"/>
  </w:num>
  <w:num w:numId="58">
    <w:abstractNumId w:val="10"/>
  </w:num>
  <w:num w:numId="59">
    <w:abstractNumId w:val="5"/>
  </w:num>
  <w:num w:numId="60">
    <w:abstractNumId w:val="26"/>
  </w:num>
  <w:num w:numId="61">
    <w:abstractNumId w:val="110"/>
  </w:num>
  <w:num w:numId="62">
    <w:abstractNumId w:val="77"/>
  </w:num>
  <w:num w:numId="63">
    <w:abstractNumId w:val="80"/>
  </w:num>
  <w:num w:numId="64">
    <w:abstractNumId w:val="15"/>
  </w:num>
  <w:num w:numId="65">
    <w:abstractNumId w:val="74"/>
  </w:num>
  <w:num w:numId="66">
    <w:abstractNumId w:val="37"/>
  </w:num>
  <w:num w:numId="67">
    <w:abstractNumId w:val="38"/>
  </w:num>
  <w:num w:numId="68">
    <w:abstractNumId w:val="55"/>
  </w:num>
  <w:num w:numId="69">
    <w:abstractNumId w:val="54"/>
  </w:num>
  <w:num w:numId="70">
    <w:abstractNumId w:val="69"/>
  </w:num>
  <w:num w:numId="71">
    <w:abstractNumId w:val="98"/>
  </w:num>
  <w:num w:numId="72">
    <w:abstractNumId w:val="111"/>
  </w:num>
  <w:num w:numId="73">
    <w:abstractNumId w:val="41"/>
  </w:num>
  <w:num w:numId="74">
    <w:abstractNumId w:val="14"/>
  </w:num>
  <w:num w:numId="75">
    <w:abstractNumId w:val="61"/>
  </w:num>
  <w:num w:numId="76">
    <w:abstractNumId w:val="100"/>
  </w:num>
  <w:num w:numId="77">
    <w:abstractNumId w:val="43"/>
  </w:num>
  <w:num w:numId="78">
    <w:abstractNumId w:val="92"/>
  </w:num>
  <w:num w:numId="79">
    <w:abstractNumId w:val="50"/>
  </w:num>
  <w:num w:numId="80">
    <w:abstractNumId w:val="97"/>
  </w:num>
  <w:num w:numId="81">
    <w:abstractNumId w:val="81"/>
  </w:num>
  <w:num w:numId="82">
    <w:abstractNumId w:val="70"/>
  </w:num>
  <w:num w:numId="83">
    <w:abstractNumId w:val="71"/>
  </w:num>
  <w:num w:numId="84">
    <w:abstractNumId w:val="101"/>
  </w:num>
  <w:num w:numId="85">
    <w:abstractNumId w:val="78"/>
  </w:num>
  <w:num w:numId="86">
    <w:abstractNumId w:val="46"/>
  </w:num>
  <w:num w:numId="87">
    <w:abstractNumId w:val="1"/>
  </w:num>
  <w:num w:numId="88">
    <w:abstractNumId w:val="19"/>
  </w:num>
  <w:num w:numId="89">
    <w:abstractNumId w:val="45"/>
  </w:num>
  <w:num w:numId="90">
    <w:abstractNumId w:val="99"/>
  </w:num>
  <w:num w:numId="91">
    <w:abstractNumId w:val="59"/>
  </w:num>
  <w:num w:numId="92">
    <w:abstractNumId w:val="31"/>
  </w:num>
  <w:num w:numId="93">
    <w:abstractNumId w:val="9"/>
  </w:num>
  <w:num w:numId="94">
    <w:abstractNumId w:val="0"/>
  </w:num>
  <w:num w:numId="95">
    <w:abstractNumId w:val="34"/>
  </w:num>
  <w:num w:numId="96">
    <w:abstractNumId w:val="22"/>
  </w:num>
  <w:num w:numId="97">
    <w:abstractNumId w:val="106"/>
  </w:num>
  <w:num w:numId="98">
    <w:abstractNumId w:val="89"/>
  </w:num>
  <w:num w:numId="99">
    <w:abstractNumId w:val="79"/>
  </w:num>
  <w:num w:numId="100">
    <w:abstractNumId w:val="27"/>
  </w:num>
  <w:num w:numId="101">
    <w:abstractNumId w:val="108"/>
  </w:num>
  <w:num w:numId="102">
    <w:abstractNumId w:val="29"/>
  </w:num>
  <w:num w:numId="103">
    <w:abstractNumId w:val="2"/>
  </w:num>
  <w:num w:numId="104">
    <w:abstractNumId w:val="88"/>
  </w:num>
  <w:num w:numId="105">
    <w:abstractNumId w:val="105"/>
  </w:num>
  <w:num w:numId="106">
    <w:abstractNumId w:val="65"/>
  </w:num>
  <w:num w:numId="107">
    <w:abstractNumId w:val="7"/>
  </w:num>
  <w:num w:numId="108">
    <w:abstractNumId w:val="12"/>
  </w:num>
  <w:num w:numId="109">
    <w:abstractNumId w:val="90"/>
  </w:num>
  <w:num w:numId="110">
    <w:abstractNumId w:val="21"/>
  </w:num>
  <w:num w:numId="111">
    <w:abstractNumId w:val="63"/>
  </w:num>
  <w:num w:numId="112">
    <w:abstractNumId w:val="2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21A"/>
    <w:rsid w:val="00904DD6"/>
    <w:rsid w:val="00DA12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8BAD6A-3728-4265-9C11-78ED780CA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294"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0" w:line="262" w:lineRule="auto"/>
      <w:ind w:left="1228" w:right="1029"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0" w:line="262" w:lineRule="auto"/>
      <w:ind w:left="1228" w:right="1029"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0"/>
      <w:ind w:left="433" w:hanging="10"/>
      <w:outlineLvl w:val="2"/>
    </w:pPr>
    <w:rPr>
      <w:rFonts w:ascii="Times New Roman" w:eastAsia="Times New Roman" w:hAnsi="Times New Roman" w:cs="Times New Roman"/>
      <w:b/>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b/>
      <w:color w:val="000000"/>
      <w:sz w:val="18"/>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noticias.juridicas.com/base_datos/Admin/rdleg2-2004.html" TargetMode="External"/><Relationship Id="rId18" Type="http://schemas.openxmlformats.org/officeDocument/2006/relationships/hyperlink" Target="http://noticias.juridicas.com/base_datos/Admin/rdleg2-2004.t1.html" TargetMode="External"/><Relationship Id="rId26" Type="http://schemas.openxmlformats.org/officeDocument/2006/relationships/hyperlink" Target="http://noticias.juridicas.com/base_datos/Admin/rdleg2-2004.t1.html" TargetMode="External"/><Relationship Id="rId39" Type="http://schemas.openxmlformats.org/officeDocument/2006/relationships/image" Target="media/image10.jpg"/><Relationship Id="rId21" Type="http://schemas.openxmlformats.org/officeDocument/2006/relationships/hyperlink" Target="http://noticias.juridicas.com/base_datos/Admin/rdleg2-2004.t1.html" TargetMode="External"/><Relationship Id="rId34" Type="http://schemas.openxmlformats.org/officeDocument/2006/relationships/image" Target="media/image5.jpg"/><Relationship Id="rId42" Type="http://schemas.openxmlformats.org/officeDocument/2006/relationships/image" Target="media/image13.jp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noticias.juridicas.com/base_datos/Admin/rdleg2-2004.html" TargetMode="External"/><Relationship Id="rId29" Type="http://schemas.openxmlformats.org/officeDocument/2006/relationships/hyperlink" Target="http://noticias.juridicas.com/base_datos/Fiscal/lo2-2012.html" TargetMode="External"/><Relationship Id="rId11" Type="http://schemas.openxmlformats.org/officeDocument/2006/relationships/image" Target="media/image2.jpg"/><Relationship Id="rId24" Type="http://schemas.openxmlformats.org/officeDocument/2006/relationships/hyperlink" Target="http://noticias.juridicas.com/base_datos/Admin/rdleg2-2004.t1.html" TargetMode="External"/><Relationship Id="rId32" Type="http://schemas.openxmlformats.org/officeDocument/2006/relationships/hyperlink" Target="http://noticias.juridicas.com/base_datos/Fiscal/lo2-2012.html" TargetMode="External"/><Relationship Id="rId37" Type="http://schemas.openxmlformats.org/officeDocument/2006/relationships/image" Target="media/image8.jpg"/><Relationship Id="rId40" Type="http://schemas.openxmlformats.org/officeDocument/2006/relationships/image" Target="media/image11.jp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noticias.juridicas.com/base_datos/Admin/rdleg2-2004.html" TargetMode="External"/><Relationship Id="rId23" Type="http://schemas.openxmlformats.org/officeDocument/2006/relationships/hyperlink" Target="http://noticias.juridicas.com/base_datos/Admin/rdleg2-2004.t1.html" TargetMode="External"/><Relationship Id="rId28" Type="http://schemas.openxmlformats.org/officeDocument/2006/relationships/hyperlink" Target="http://noticias.juridicas.com/base_datos/Admin/rdleg2-2004.t1.html" TargetMode="External"/><Relationship Id="rId36" Type="http://schemas.openxmlformats.org/officeDocument/2006/relationships/image" Target="media/image7.jpg"/><Relationship Id="rId49" Type="http://schemas.openxmlformats.org/officeDocument/2006/relationships/fontTable" Target="fontTable.xml"/><Relationship Id="rId10" Type="http://schemas.openxmlformats.org/officeDocument/2006/relationships/hyperlink" Target="https://www.youtube.com/watch?v=a8x_oMibppI" TargetMode="External"/><Relationship Id="rId19" Type="http://schemas.openxmlformats.org/officeDocument/2006/relationships/hyperlink" Target="http://noticias.juridicas.com/base_datos/Admin/rdleg2-2004.t1.html" TargetMode="External"/><Relationship Id="rId31" Type="http://schemas.openxmlformats.org/officeDocument/2006/relationships/hyperlink" Target="http://noticias.juridicas.com/base_datos/Fiscal/lo2-2012.html"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youtube.com/watch?v=a8x_oMibppI" TargetMode="External"/><Relationship Id="rId14" Type="http://schemas.openxmlformats.org/officeDocument/2006/relationships/hyperlink" Target="http://noticias.juridicas.com/base_datos/Admin/rdleg2-2004.html" TargetMode="External"/><Relationship Id="rId22" Type="http://schemas.openxmlformats.org/officeDocument/2006/relationships/hyperlink" Target="http://noticias.juridicas.com/base_datos/Admin/rdleg2-2004.t1.html" TargetMode="External"/><Relationship Id="rId27" Type="http://schemas.openxmlformats.org/officeDocument/2006/relationships/hyperlink" Target="http://noticias.juridicas.com/base_datos/Admin/rdleg2-2004.t1.html" TargetMode="External"/><Relationship Id="rId30" Type="http://schemas.openxmlformats.org/officeDocument/2006/relationships/hyperlink" Target="http://noticias.juridicas.com/base_datos/Fiscal/lo2-2012.html" TargetMode="External"/><Relationship Id="rId35" Type="http://schemas.openxmlformats.org/officeDocument/2006/relationships/image" Target="media/image6.jp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0.png"/><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noticias.juridicas.com/base_datos/Admin/rdleg2-2004.t1.html" TargetMode="External"/><Relationship Id="rId25" Type="http://schemas.openxmlformats.org/officeDocument/2006/relationships/hyperlink" Target="http://noticias.juridicas.com/base_datos/Admin/rdleg2-2004.t1.html" TargetMode="External"/><Relationship Id="rId33" Type="http://schemas.openxmlformats.org/officeDocument/2006/relationships/image" Target="media/image4.jpg"/><Relationship Id="rId38" Type="http://schemas.openxmlformats.org/officeDocument/2006/relationships/image" Target="media/image9.jpg"/><Relationship Id="rId46" Type="http://schemas.openxmlformats.org/officeDocument/2006/relationships/footer" Target="footer2.xml"/><Relationship Id="rId20" Type="http://schemas.openxmlformats.org/officeDocument/2006/relationships/hyperlink" Target="http://noticias.juridicas.com/base_datos/Admin/rdleg2-2004.t1.html" TargetMode="External"/><Relationship Id="rId41"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0" Type="http://schemas.openxmlformats.org/officeDocument/2006/relationships/image" Target="media/image10.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0" Type="http://schemas.openxmlformats.org/officeDocument/2006/relationships/image" Target="media/image10.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191</Pages>
  <Words>67655</Words>
  <Characters>372108</Characters>
  <Application>Microsoft Office Word</Application>
  <DocSecurity>0</DocSecurity>
  <Lines>3100</Lines>
  <Paragraphs>877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teresa.freijido</dc:creator>
  <cp:keywords/>
  <cp:lastModifiedBy>Aurelio Díaz Palenzuela</cp:lastModifiedBy>
  <cp:revision>2</cp:revision>
  <dcterms:created xsi:type="dcterms:W3CDTF">2024-01-16T13:30:00Z</dcterms:created>
  <dcterms:modified xsi:type="dcterms:W3CDTF">2024-01-16T13:30:00Z</dcterms:modified>
</cp:coreProperties>
</file>